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3.xml" ContentType="application/vnd.openxmlformats-officedocument.drawingml.chart+xml"/>
  <Override PartName="/word/drawings/drawing2.xml" ContentType="application/vnd.openxmlformats-officedocument.drawingml.chartshapes+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theme/themeOverride2.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drawings/drawing3.xml" ContentType="application/vnd.openxmlformats-officedocument.drawingml.chartshapes+xml"/>
  <Override PartName="/word/charts/chart9.xml" ContentType="application/vnd.openxmlformats-officedocument.drawingml.chart+xml"/>
  <Override PartName="/word/drawings/drawing4.xml" ContentType="application/vnd.openxmlformats-officedocument.drawingml.chartshapes+xml"/>
  <Override PartName="/word/charts/chart10.xml" ContentType="application/vnd.openxmlformats-officedocument.drawingml.chart+xml"/>
  <Override PartName="/word/charts/chart11.xml" ContentType="application/vnd.openxmlformats-officedocument.drawingml.chart+xml"/>
  <Override PartName="/word/drawings/drawing5.xml" ContentType="application/vnd.openxmlformats-officedocument.drawingml.chartshapes+xml"/>
  <Override PartName="/word/charts/chart12.xml" ContentType="application/vnd.openxmlformats-officedocument.drawingml.chart+xml"/>
  <Override PartName="/word/drawings/drawing6.xml" ContentType="application/vnd.openxmlformats-officedocument.drawingml.chartshapes+xml"/>
  <Override PartName="/word/charts/chart13.xml" ContentType="application/vnd.openxmlformats-officedocument.drawingml.chart+xml"/>
  <Override PartName="/word/charts/chart14.xml" ContentType="application/vnd.openxmlformats-officedocument.drawingml.chart+xml"/>
  <Override PartName="/word/drawings/drawing7.xml" ContentType="application/vnd.openxmlformats-officedocument.drawingml.chartshapes+xml"/>
  <Override PartName="/word/charts/chart15.xml" ContentType="application/vnd.openxmlformats-officedocument.drawingml.chart+xml"/>
  <Override PartName="/word/drawings/drawing8.xml" ContentType="application/vnd.openxmlformats-officedocument.drawingml.chartshapes+xml"/>
  <Override PartName="/word/charts/chart16.xml" ContentType="application/vnd.openxmlformats-officedocument.drawingml.chart+xml"/>
  <Override PartName="/word/drawings/drawing9.xml" ContentType="application/vnd.openxmlformats-officedocument.drawingml.chartshapes+xml"/>
  <Override PartName="/word/charts/chart17.xml" ContentType="application/vnd.openxmlformats-officedocument.drawingml.chart+xml"/>
  <Override PartName="/word/drawings/drawing10.xml" ContentType="application/vnd.openxmlformats-officedocument.drawingml.chartshapes+xml"/>
  <Override PartName="/word/charts/chart18.xml" ContentType="application/vnd.openxmlformats-officedocument.drawingml.chart+xml"/>
  <Override PartName="/word/drawings/drawing11.xml" ContentType="application/vnd.openxmlformats-officedocument.drawingml.chartshapes+xml"/>
  <Override PartName="/word/charts/chart19.xml" ContentType="application/vnd.openxmlformats-officedocument.drawingml.chart+xml"/>
  <Override PartName="/word/drawings/drawing12.xml" ContentType="application/vnd.openxmlformats-officedocument.drawingml.chartshapes+xml"/>
  <Override PartName="/word/charts/chart20.xml" ContentType="application/vnd.openxmlformats-officedocument.drawingml.chart+xml"/>
  <Override PartName="/word/drawings/drawing13.xml" ContentType="application/vnd.openxmlformats-officedocument.drawingml.chartshapes+xml"/>
  <Override PartName="/word/charts/chart21.xml" ContentType="application/vnd.openxmlformats-officedocument.drawingml.chart+xml"/>
  <Override PartName="/word/drawings/drawing14.xml" ContentType="application/vnd.openxmlformats-officedocument.drawingml.chartshapes+xml"/>
  <Override PartName="/word/charts/chart22.xml" ContentType="application/vnd.openxmlformats-officedocument.drawingml.chart+xml"/>
  <Override PartName="/word/drawings/drawing15.xml" ContentType="application/vnd.openxmlformats-officedocument.drawingml.chartshapes+xml"/>
  <Override PartName="/word/charts/chart23.xml" ContentType="application/vnd.openxmlformats-officedocument.drawingml.chart+xml"/>
  <Override PartName="/word/drawings/drawing16.xml" ContentType="application/vnd.openxmlformats-officedocument.drawingml.chartshapes+xml"/>
  <Override PartName="/word/charts/chart24.xml" ContentType="application/vnd.openxmlformats-officedocument.drawingml.chart+xml"/>
  <Override PartName="/word/drawings/drawing17.xml" ContentType="application/vnd.openxmlformats-officedocument.drawingml.chartshapes+xml"/>
  <Override PartName="/word/charts/chart25.xml" ContentType="application/vnd.openxmlformats-officedocument.drawingml.chart+xml"/>
  <Override PartName="/word/charts/chart26.xml" ContentType="application/vnd.openxmlformats-officedocument.drawingml.chart+xml"/>
  <Override PartName="/word/drawings/drawing18.xml" ContentType="application/vnd.openxmlformats-officedocument.drawingml.chartshapes+xml"/>
  <Override PartName="/word/charts/chart27.xml" ContentType="application/vnd.openxmlformats-officedocument.drawingml.chart+xml"/>
  <Override PartName="/word/drawings/drawing19.xml" ContentType="application/vnd.openxmlformats-officedocument.drawingml.chartshapes+xml"/>
  <Override PartName="/word/charts/chart28.xml" ContentType="application/vnd.openxmlformats-officedocument.drawingml.chart+xml"/>
  <Override PartName="/word/charts/chart29.xml" ContentType="application/vnd.openxmlformats-officedocument.drawingml.chart+xml"/>
  <Override PartName="/word/drawings/drawing20.xml" ContentType="application/vnd.openxmlformats-officedocument.drawingml.chartshapes+xml"/>
  <Override PartName="/word/charts/chart30.xml" ContentType="application/vnd.openxmlformats-officedocument.drawingml.chart+xml"/>
  <Override PartName="/word/drawings/drawing21.xml" ContentType="application/vnd.openxmlformats-officedocument.drawingml.chartshapes+xml"/>
  <Override PartName="/word/charts/chart31.xml" ContentType="application/vnd.openxmlformats-officedocument.drawingml.chart+xml"/>
  <Override PartName="/word/drawings/drawing22.xml" ContentType="application/vnd.openxmlformats-officedocument.drawingml.chartshapes+xml"/>
  <Override PartName="/word/charts/chart32.xml" ContentType="application/vnd.openxmlformats-officedocument.drawingml.chart+xml"/>
  <Override PartName="/word/drawings/drawing23.xml" ContentType="application/vnd.openxmlformats-officedocument.drawingml.chartshapes+xml"/>
  <Override PartName="/word/charts/chart33.xml" ContentType="application/vnd.openxmlformats-officedocument.drawingml.chart+xml"/>
  <Override PartName="/word/theme/themeOverride3.xml" ContentType="application/vnd.openxmlformats-officedocument.themeOverride+xml"/>
  <Override PartName="/word/charts/chart34.xml" ContentType="application/vnd.openxmlformats-officedocument.drawingml.chart+xml"/>
  <Override PartName="/word/theme/themeOverride4.xml" ContentType="application/vnd.openxmlformats-officedocument.themeOverride+xml"/>
  <Override PartName="/word/charts/chart35.xml" ContentType="application/vnd.openxmlformats-officedocument.drawingml.chart+xml"/>
  <Override PartName="/word/drawings/drawing24.xml" ContentType="application/vnd.openxmlformats-officedocument.drawingml.chartshapes+xml"/>
  <Override PartName="/word/charts/chart36.xml" ContentType="application/vnd.openxmlformats-officedocument.drawingml.chart+xml"/>
  <Override PartName="/word/drawings/drawing25.xml" ContentType="application/vnd.openxmlformats-officedocument.drawingml.chartshapes+xml"/>
  <Override PartName="/word/charts/chart37.xml" ContentType="application/vnd.openxmlformats-officedocument.drawingml.chart+xml"/>
  <Override PartName="/word/drawings/drawing26.xml" ContentType="application/vnd.openxmlformats-officedocument.drawingml.chartshapes+xml"/>
  <Override PartName="/word/charts/chart38.xml" ContentType="application/vnd.openxmlformats-officedocument.drawingml.chart+xml"/>
  <Override PartName="/word/drawings/drawing27.xml" ContentType="application/vnd.openxmlformats-officedocument.drawingml.chartshapes+xml"/>
  <Override PartName="/word/charts/chart39.xml" ContentType="application/vnd.openxmlformats-officedocument.drawingml.chart+xml"/>
  <Override PartName="/word/drawings/drawing28.xml" ContentType="application/vnd.openxmlformats-officedocument.drawingml.chartshapes+xml"/>
  <Override PartName="/word/charts/chart40.xml" ContentType="application/vnd.openxmlformats-officedocument.drawingml.chart+xml"/>
  <Override PartName="/word/drawings/drawing29.xml" ContentType="application/vnd.openxmlformats-officedocument.drawingml.chartshapes+xml"/>
  <Override PartName="/word/charts/chart41.xml" ContentType="application/vnd.openxmlformats-officedocument.drawingml.chart+xml"/>
  <Override PartName="/word/drawings/drawing30.xml" ContentType="application/vnd.openxmlformats-officedocument.drawingml.chartshapes+xml"/>
  <Override PartName="/word/charts/chart42.xml" ContentType="application/vnd.openxmlformats-officedocument.drawingml.chart+xml"/>
  <Override PartName="/word/drawings/drawing31.xml" ContentType="application/vnd.openxmlformats-officedocument.drawingml.chartshapes+xml"/>
  <Override PartName="/word/charts/chart43.xml" ContentType="application/vnd.openxmlformats-officedocument.drawingml.chart+xml"/>
  <Override PartName="/word/charts/chart44.xml" ContentType="application/vnd.openxmlformats-officedocument.drawingml.chart+xml"/>
  <Override PartName="/word/drawings/drawing32.xml" ContentType="application/vnd.openxmlformats-officedocument.drawingml.chartshapes+xml"/>
  <Override PartName="/word/charts/chart45.xml" ContentType="application/vnd.openxmlformats-officedocument.drawingml.chart+xml"/>
  <Override PartName="/word/drawings/drawing33.xml" ContentType="application/vnd.openxmlformats-officedocument.drawingml.chartshapes+xml"/>
  <Override PartName="/word/charts/chart46.xml" ContentType="application/vnd.openxmlformats-officedocument.drawingml.chart+xml"/>
  <Override PartName="/word/drawings/drawing34.xml" ContentType="application/vnd.openxmlformats-officedocument.drawingml.chartshapes+xml"/>
  <Override PartName="/word/charts/chart47.xml" ContentType="application/vnd.openxmlformats-officedocument.drawingml.chart+xml"/>
  <Override PartName="/word/drawings/drawing35.xml" ContentType="application/vnd.openxmlformats-officedocument.drawingml.chartshapes+xml"/>
  <Override PartName="/word/charts/chart48.xml" ContentType="application/vnd.openxmlformats-officedocument.drawingml.chart+xml"/>
  <Override PartName="/word/drawings/drawing36.xml" ContentType="application/vnd.openxmlformats-officedocument.drawingml.chartshapes+xml"/>
  <Override PartName="/word/charts/chart49.xml" ContentType="application/vnd.openxmlformats-officedocument.drawingml.chart+xml"/>
  <Override PartName="/word/drawings/drawing37.xml" ContentType="application/vnd.openxmlformats-officedocument.drawingml.chartshapes+xml"/>
  <Override PartName="/word/charts/chart50.xml" ContentType="application/vnd.openxmlformats-officedocument.drawingml.chart+xml"/>
  <Override PartName="/word/drawings/drawing38.xml" ContentType="application/vnd.openxmlformats-officedocument.drawingml.chartshapes+xml"/>
  <Override PartName="/word/comments.xml" ContentType="application/vnd.openxmlformats-officedocument.wordprocessingml.comments+xml"/>
  <Override PartName="/word/charts/chart51.xml" ContentType="application/vnd.openxmlformats-officedocument.drawingml.chart+xml"/>
  <Override PartName="/word/charts/chart52.xml" ContentType="application/vnd.openxmlformats-officedocument.drawingml.chart+xml"/>
  <Override PartName="/word/charts/chart53.xml" ContentType="application/vnd.openxmlformats-officedocument.drawingml.chart+xml"/>
  <Override PartName="/word/charts/chart54.xml" ContentType="application/vnd.openxmlformats-officedocument.drawingml.chart+xml"/>
  <Override PartName="/word/charts/chart55.xml" ContentType="application/vnd.openxmlformats-officedocument.drawingml.chart+xml"/>
  <Override PartName="/word/charts/chart56.xml" ContentType="application/vnd.openxmlformats-officedocument.drawingml.chart+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sz w:val="20"/>
        </w:rPr>
        <w:id w:val="945272941"/>
        <w:docPartObj>
          <w:docPartGallery w:val="Cover Pages"/>
          <w:docPartUnique/>
        </w:docPartObj>
      </w:sdtPr>
      <w:sdtEndPr>
        <w:rPr>
          <w:szCs w:val="20"/>
        </w:rPr>
      </w:sdtEndPr>
      <w:sdtContent>
        <w:p w14:paraId="19C5F069" w14:textId="77777777" w:rsidR="007D7720" w:rsidRPr="00660167" w:rsidRDefault="007D7720">
          <w:pPr>
            <w:rPr>
              <w:noProof/>
              <w:sz w:val="20"/>
            </w:rPr>
          </w:pPr>
        </w:p>
        <w:p w14:paraId="59A4AFA7" w14:textId="77777777" w:rsidR="007D7720" w:rsidRPr="00660167" w:rsidRDefault="007D7720">
          <w:pPr>
            <w:rPr>
              <w:noProof/>
              <w:sz w:val="20"/>
            </w:rPr>
          </w:pPr>
        </w:p>
        <w:p w14:paraId="1DF38CC3" w14:textId="77777777" w:rsidR="003A684D" w:rsidRPr="00660167" w:rsidRDefault="003A684D" w:rsidP="00B10E31">
          <w:pPr>
            <w:jc w:val="center"/>
            <w:rPr>
              <w:noProof/>
            </w:rPr>
          </w:pPr>
        </w:p>
        <w:p w14:paraId="236BC851" w14:textId="0DFB915F" w:rsidR="00135920" w:rsidRPr="00660167" w:rsidRDefault="007760BA" w:rsidP="00660167">
          <w:pPr>
            <w:tabs>
              <w:tab w:val="left" w:pos="1459"/>
            </w:tabs>
            <w:rPr>
              <w:b/>
              <w:noProof/>
              <w:sz w:val="24"/>
            </w:rPr>
          </w:pPr>
          <w:r>
            <w:rPr>
              <w:b/>
              <w:noProof/>
              <w:sz w:val="24"/>
            </w:rPr>
            <w:tab/>
          </w:r>
        </w:p>
        <w:p w14:paraId="516FFCF1" w14:textId="267CCE6C" w:rsidR="007760BA" w:rsidRDefault="007760BA" w:rsidP="007760BA">
          <w:pPr>
            <w:pStyle w:val="NoSpacing"/>
            <w:jc w:val="center"/>
            <w:rPr>
              <w:rFonts w:eastAsiaTheme="majorEastAsia" w:cstheme="minorHAnsi"/>
              <w:b/>
              <w:color w:val="EEECE1" w:themeColor="background2"/>
              <w:sz w:val="56"/>
              <w:szCs w:val="72"/>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noProof/>
              <w:sz w:val="24"/>
            </w:rPr>
            <w:tab/>
          </w:r>
        </w:p>
        <w:p w14:paraId="78F09D18" w14:textId="2E8B1462" w:rsidR="00135920" w:rsidRPr="00660167" w:rsidRDefault="00135920" w:rsidP="00660167">
          <w:pPr>
            <w:tabs>
              <w:tab w:val="left" w:pos="5741"/>
            </w:tabs>
            <w:rPr>
              <w:b/>
              <w:noProof/>
              <w:sz w:val="24"/>
            </w:rPr>
          </w:pPr>
        </w:p>
        <w:p w14:paraId="41C7A179" w14:textId="77777777" w:rsidR="00135920" w:rsidRPr="00660167" w:rsidRDefault="00135920" w:rsidP="00135920">
          <w:pPr>
            <w:spacing w:before="120"/>
            <w:jc w:val="center"/>
            <w:rPr>
              <w:b/>
              <w:noProof/>
              <w:color w:val="7F7F7F" w:themeColor="text1" w:themeTint="80"/>
              <w:sz w:val="6"/>
            </w:rPr>
          </w:pPr>
        </w:p>
        <w:p w14:paraId="228A6D42" w14:textId="4E4709E6" w:rsidR="00135920" w:rsidRPr="00660167" w:rsidRDefault="007760BA" w:rsidP="00135920">
          <w:pPr>
            <w:spacing w:before="120"/>
            <w:jc w:val="center"/>
            <w:rPr>
              <w:rFonts w:ascii="Arial" w:hAnsi="Arial" w:cs="Arial"/>
              <w:b/>
              <w:noProof/>
              <w:color w:val="9BBB59" w:themeColor="accent3"/>
              <w:sz w:val="36"/>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5A0F50">
            <w:rPr>
              <w:rFonts w:ascii="Arial" w:hAnsi="Arial" w:cs="Arial"/>
              <w:b/>
              <w:noProof/>
              <w:color w:val="9BBB59" w:themeColor="accent3"/>
              <w:sz w:val="4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2013</w:t>
          </w:r>
          <w:r>
            <w:rPr>
              <w:rFonts w:ascii="Arial" w:hAnsi="Arial" w:cs="Arial"/>
              <w:b/>
              <w:noProof/>
              <w:color w:val="9BBB59" w:themeColor="accent3"/>
              <w:sz w:val="40"/>
              <w:lang w:val="mn-MN"/>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ОНЫ 11 ДҮГЭЭР САР</w:t>
          </w:r>
          <w:r w:rsidRPr="00247EC7" w:rsidDel="007760BA">
            <w:rPr>
              <w:rFonts w:ascii="Arial" w:hAnsi="Arial" w:cs="Arial"/>
              <w:b/>
              <w:noProof/>
              <w:color w:val="9BBB59" w:themeColor="accent3"/>
              <w:sz w:val="36"/>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p>
        <w:p w14:paraId="338E4FB3" w14:textId="77777777" w:rsidR="00135920" w:rsidRPr="00660167" w:rsidRDefault="00644F96" w:rsidP="00644F96">
          <w:pPr>
            <w:jc w:val="center"/>
            <w:rPr>
              <w:b/>
              <w:noProof/>
              <w:sz w:val="24"/>
            </w:rPr>
          </w:pPr>
          <w:r w:rsidRPr="00660167">
            <w:rPr>
              <w:b/>
              <w:noProof/>
              <w:sz w:val="24"/>
            </w:rPr>
            <w:drawing>
              <wp:inline distT="0" distB="0" distL="0" distR="0" wp14:anchorId="747BF6B1" wp14:editId="52B3EC5F">
                <wp:extent cx="4486275" cy="333410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86275" cy="3334102"/>
                        </a:xfrm>
                        <a:prstGeom prst="rect">
                          <a:avLst/>
                        </a:prstGeom>
                        <a:noFill/>
                        <a:ln>
                          <a:noFill/>
                        </a:ln>
                      </pic:spPr>
                    </pic:pic>
                  </a:graphicData>
                </a:graphic>
              </wp:inline>
            </w:drawing>
          </w:r>
        </w:p>
        <w:p w14:paraId="557CB85C" w14:textId="7086D22D" w:rsidR="001D77E9" w:rsidRPr="001C04A6" w:rsidRDefault="007760BA" w:rsidP="000F48D4">
          <w:pPr>
            <w:jc w:val="both"/>
            <w:rPr>
              <w:noProof/>
              <w:sz w:val="20"/>
              <w:szCs w:val="20"/>
            </w:rPr>
          </w:pPr>
          <w:r w:rsidRPr="00660167">
            <w:rPr>
              <w:rFonts w:ascii="Arial" w:hAnsi="Arial" w:cs="Arial"/>
              <w:noProof/>
              <w:sz w:val="18"/>
              <w:szCs w:val="18"/>
              <w:lang w:val="mn-MN"/>
            </w:rPr>
            <w:t xml:space="preserve">Эдийн засгийн энэхүү тойм нь Монгол улсын эдийн засагт гарсан өөрчлөлтүүдийг үнэлэн дүгнэдэг нийтлэл юм. Чорчинг Гогийн </w:t>
          </w:r>
          <w:r w:rsidRPr="00660167">
            <w:rPr>
              <w:rFonts w:ascii="Arial" w:hAnsi="Arial" w:cs="Arial"/>
              <w:noProof/>
              <w:sz w:val="18"/>
              <w:szCs w:val="18"/>
            </w:rPr>
            <w:t>(</w:t>
          </w:r>
          <w:r w:rsidRPr="00660167">
            <w:rPr>
              <w:rFonts w:ascii="Arial" w:hAnsi="Arial" w:cs="Arial"/>
              <w:noProof/>
              <w:sz w:val="18"/>
              <w:szCs w:val="18"/>
              <w:lang w:val="mn-MN"/>
            </w:rPr>
            <w:t>Монгол улс, БНХАУ, БНСУ хариуцсан тэргүүлэх эдийн засагч</w:t>
          </w:r>
          <w:r w:rsidRPr="00660167">
            <w:rPr>
              <w:rFonts w:ascii="Arial" w:hAnsi="Arial" w:cs="Arial"/>
              <w:noProof/>
              <w:sz w:val="18"/>
              <w:szCs w:val="18"/>
            </w:rPr>
            <w:t xml:space="preserve">) </w:t>
          </w:r>
          <w:r w:rsidRPr="00660167">
            <w:rPr>
              <w:rFonts w:ascii="Arial" w:hAnsi="Arial" w:cs="Arial"/>
              <w:noProof/>
              <w:sz w:val="18"/>
              <w:szCs w:val="18"/>
              <w:lang w:val="mn-MN"/>
            </w:rPr>
            <w:t xml:space="preserve">ерөнхий удирдлага дор Таехүн Лигээр удирдуулсан </w:t>
          </w:r>
          <w:r w:rsidRPr="00660167">
            <w:rPr>
              <w:rFonts w:ascii="Arial" w:hAnsi="Arial" w:cs="Arial"/>
              <w:noProof/>
              <w:sz w:val="18"/>
              <w:szCs w:val="18"/>
            </w:rPr>
            <w:t>(</w:t>
          </w:r>
          <w:r w:rsidRPr="00660167">
            <w:rPr>
              <w:rFonts w:ascii="Arial" w:hAnsi="Arial" w:cs="Arial"/>
              <w:noProof/>
              <w:sz w:val="18"/>
              <w:szCs w:val="18"/>
              <w:lang w:val="mn-MN"/>
            </w:rPr>
            <w:t>Монгол улсыг хариуцсан ахлах эдийн засагч</w:t>
          </w:r>
          <w:r w:rsidRPr="00660167">
            <w:rPr>
              <w:rFonts w:ascii="Arial" w:hAnsi="Arial" w:cs="Arial"/>
              <w:noProof/>
              <w:sz w:val="18"/>
              <w:szCs w:val="18"/>
            </w:rPr>
            <w:t>)</w:t>
          </w:r>
          <w:r w:rsidR="00E26F8A">
            <w:rPr>
              <w:rFonts w:ascii="Arial" w:hAnsi="Arial" w:cs="Arial"/>
              <w:noProof/>
              <w:sz w:val="18"/>
              <w:szCs w:val="18"/>
              <w:lang w:val="mn-MN"/>
            </w:rPr>
            <w:t>,</w:t>
          </w:r>
          <w:r w:rsidRPr="00660167">
            <w:rPr>
              <w:rFonts w:ascii="Arial" w:hAnsi="Arial" w:cs="Arial"/>
              <w:noProof/>
              <w:sz w:val="18"/>
              <w:szCs w:val="18"/>
              <w:lang w:val="mn-MN"/>
            </w:rPr>
            <w:t xml:space="preserve"> эдийн засагч Ш. Алтанцэцэг, </w:t>
          </w:r>
          <w:r w:rsidR="00E26F8A">
            <w:rPr>
              <w:rFonts w:ascii="Arial" w:hAnsi="Arial" w:cs="Arial"/>
              <w:noProof/>
              <w:sz w:val="18"/>
              <w:szCs w:val="18"/>
              <w:lang w:val="mn-MN"/>
            </w:rPr>
            <w:t>зөвлөх Г. Хандцоож</w:t>
          </w:r>
          <w:r w:rsidRPr="00660167">
            <w:rPr>
              <w:rFonts w:ascii="Arial" w:hAnsi="Arial" w:cs="Arial"/>
              <w:noProof/>
              <w:sz w:val="18"/>
              <w:szCs w:val="18"/>
            </w:rPr>
            <w:t xml:space="preserve">, </w:t>
          </w:r>
          <w:r w:rsidRPr="00660167">
            <w:rPr>
              <w:rFonts w:ascii="Arial" w:hAnsi="Arial" w:cs="Arial"/>
              <w:noProof/>
              <w:sz w:val="18"/>
              <w:szCs w:val="18"/>
              <w:lang w:val="mn-MN"/>
            </w:rPr>
            <w:t>Б.Даваадалай</w:t>
          </w:r>
          <w:r w:rsidRPr="00660167">
            <w:rPr>
              <w:rFonts w:ascii="Arial" w:hAnsi="Arial" w:cs="Arial"/>
              <w:noProof/>
              <w:sz w:val="18"/>
              <w:szCs w:val="18"/>
            </w:rPr>
            <w:t xml:space="preserve"> </w:t>
          </w:r>
          <w:r w:rsidRPr="00660167">
            <w:rPr>
              <w:rFonts w:ascii="Arial" w:hAnsi="Arial" w:cs="Arial"/>
              <w:noProof/>
              <w:sz w:val="18"/>
              <w:szCs w:val="18"/>
              <w:lang w:val="mn-MN"/>
            </w:rPr>
            <w:t>нарын баг тоймыг бэлтгэлээ. Мөн түүнчлэн Захид Хаснаин, Мариус Висмантас, Андрей Милютин, Д</w:t>
          </w:r>
          <w:r w:rsidR="0017164F">
            <w:rPr>
              <w:rFonts w:ascii="Arial" w:hAnsi="Arial" w:cs="Arial"/>
              <w:noProof/>
              <w:sz w:val="18"/>
              <w:szCs w:val="18"/>
            </w:rPr>
            <w:t>.</w:t>
          </w:r>
          <w:r w:rsidRPr="00660167">
            <w:rPr>
              <w:rFonts w:ascii="Arial" w:hAnsi="Arial" w:cs="Arial"/>
              <w:noProof/>
              <w:sz w:val="18"/>
              <w:szCs w:val="18"/>
              <w:lang w:val="mn-MN"/>
            </w:rPr>
            <w:t xml:space="preserve">Жигжидмаа, Транг Ван Нгуенг, Жуан Фенг нар хувь нэмрээ орууллаа. Корали Гэвэрс </w:t>
          </w:r>
          <w:r w:rsidRPr="00660167">
            <w:rPr>
              <w:rFonts w:ascii="Arial" w:hAnsi="Arial" w:cs="Arial"/>
              <w:noProof/>
              <w:sz w:val="18"/>
              <w:szCs w:val="18"/>
            </w:rPr>
            <w:t>(</w:t>
          </w:r>
          <w:r w:rsidRPr="00660167">
            <w:rPr>
              <w:rFonts w:ascii="Arial" w:hAnsi="Arial" w:cs="Arial"/>
              <w:noProof/>
              <w:sz w:val="18"/>
              <w:szCs w:val="18"/>
              <w:lang w:val="mn-MN"/>
            </w:rPr>
            <w:t>суурин төлөөлөгч</w:t>
          </w:r>
          <w:r w:rsidRPr="00660167">
            <w:rPr>
              <w:rFonts w:ascii="Arial" w:hAnsi="Arial" w:cs="Arial"/>
              <w:noProof/>
              <w:sz w:val="18"/>
              <w:szCs w:val="18"/>
            </w:rPr>
            <w:t>)</w:t>
          </w:r>
          <w:r w:rsidRPr="00660167">
            <w:rPr>
              <w:rFonts w:ascii="Arial" w:hAnsi="Arial" w:cs="Arial"/>
              <w:noProof/>
              <w:sz w:val="18"/>
              <w:szCs w:val="18"/>
              <w:lang w:val="mn-MN"/>
            </w:rPr>
            <w:t xml:space="preserve">, Дийпак К Мишра </w:t>
          </w:r>
          <w:r w:rsidRPr="00660167">
            <w:rPr>
              <w:rFonts w:ascii="Arial" w:hAnsi="Arial" w:cs="Arial"/>
              <w:noProof/>
              <w:sz w:val="18"/>
              <w:szCs w:val="18"/>
            </w:rPr>
            <w:t>(</w:t>
          </w:r>
          <w:r w:rsidRPr="00660167">
            <w:rPr>
              <w:rFonts w:ascii="Arial" w:hAnsi="Arial" w:cs="Arial"/>
              <w:noProof/>
              <w:sz w:val="18"/>
              <w:szCs w:val="18"/>
              <w:lang w:val="mn-MN"/>
            </w:rPr>
            <w:t>эдийн засгийн бодлогын ахлах эдийн засагч</w:t>
          </w:r>
          <w:r w:rsidRPr="00660167">
            <w:rPr>
              <w:rFonts w:ascii="Arial" w:hAnsi="Arial" w:cs="Arial"/>
              <w:noProof/>
              <w:sz w:val="18"/>
              <w:szCs w:val="18"/>
            </w:rPr>
            <w:t>)</w:t>
          </w:r>
          <w:r w:rsidRPr="00660167">
            <w:rPr>
              <w:rFonts w:ascii="Arial" w:hAnsi="Arial" w:cs="Arial"/>
              <w:noProof/>
              <w:sz w:val="18"/>
              <w:szCs w:val="18"/>
              <w:lang w:val="mn-MN"/>
            </w:rPr>
            <w:t xml:space="preserve"> нар энэхүү тоймыг бэлтгэх</w:t>
          </w:r>
          <w:r w:rsidR="00E26F8A">
            <w:rPr>
              <w:rFonts w:ascii="Arial" w:hAnsi="Arial" w:cs="Arial"/>
              <w:noProof/>
              <w:sz w:val="18"/>
              <w:szCs w:val="18"/>
              <w:lang w:val="mn-MN"/>
            </w:rPr>
            <w:t>эд</w:t>
          </w:r>
          <w:r w:rsidRPr="00660167">
            <w:rPr>
              <w:rFonts w:ascii="Arial" w:hAnsi="Arial" w:cs="Arial"/>
              <w:noProof/>
              <w:sz w:val="18"/>
              <w:szCs w:val="18"/>
              <w:lang w:val="mn-MN"/>
            </w:rPr>
            <w:t xml:space="preserve"> зөвлөлгөө өгч, хувь нэмэр орууллаа. Тоймыг бүрэн эхээр нь </w:t>
          </w:r>
          <w:hyperlink r:id="rId11" w:history="1">
            <w:r w:rsidRPr="00660167">
              <w:rPr>
                <w:rStyle w:val="Hyperlink"/>
                <w:rFonts w:ascii="Arial" w:hAnsi="Arial" w:cs="Arial"/>
                <w:noProof/>
                <w:sz w:val="18"/>
                <w:szCs w:val="18"/>
              </w:rPr>
              <w:t>http://www.worldbank.org.mn</w:t>
            </w:r>
          </w:hyperlink>
          <w:r w:rsidRPr="00660167">
            <w:rPr>
              <w:rFonts w:ascii="Arial" w:hAnsi="Arial" w:cs="Arial"/>
              <w:noProof/>
              <w:sz w:val="18"/>
              <w:szCs w:val="18"/>
              <w:lang w:val="mn-MN"/>
            </w:rPr>
            <w:t xml:space="preserve"> хаягнаас татаж авах боломжтой. Нэмэлт мэдээлэл авах, санал</w:t>
          </w:r>
          <w:r w:rsidR="00E26F8A">
            <w:rPr>
              <w:rFonts w:ascii="Arial" w:hAnsi="Arial" w:cs="Arial"/>
              <w:noProof/>
              <w:sz w:val="18"/>
              <w:szCs w:val="18"/>
              <w:lang w:val="mn-MN"/>
            </w:rPr>
            <w:t xml:space="preserve"> дүгнэлт өгөх, тодруулбал П. </w:t>
          </w:r>
          <w:r w:rsidRPr="00660167">
            <w:rPr>
              <w:rFonts w:ascii="Arial" w:hAnsi="Arial" w:cs="Arial"/>
              <w:noProof/>
              <w:sz w:val="18"/>
              <w:szCs w:val="18"/>
              <w:lang w:val="mn-MN"/>
            </w:rPr>
            <w:t>Тинатай холбоо барина уу</w:t>
          </w:r>
          <w:r w:rsidRPr="00660167">
            <w:rPr>
              <w:rFonts w:ascii="Arial" w:hAnsi="Arial" w:cs="Arial"/>
              <w:noProof/>
              <w:sz w:val="18"/>
              <w:szCs w:val="18"/>
            </w:rPr>
            <w:t xml:space="preserve"> (</w:t>
          </w:r>
          <w:hyperlink r:id="rId12" w:history="1">
            <w:r w:rsidRPr="00660167">
              <w:rPr>
                <w:rStyle w:val="Hyperlink"/>
                <w:rFonts w:ascii="Arial" w:hAnsi="Arial" w:cs="Arial"/>
                <w:noProof/>
                <w:color w:val="auto"/>
                <w:sz w:val="18"/>
                <w:szCs w:val="18"/>
                <w:u w:val="none"/>
              </w:rPr>
              <w:t>tpuntsag@worldbank.org</w:t>
            </w:r>
          </w:hyperlink>
          <w:r w:rsidRPr="00660167">
            <w:rPr>
              <w:rFonts w:ascii="Arial" w:hAnsi="Arial" w:cs="Arial"/>
              <w:noProof/>
              <w:sz w:val="18"/>
              <w:szCs w:val="18"/>
            </w:rPr>
            <w:t>).</w:t>
          </w:r>
          <w:r w:rsidR="003A684D" w:rsidRPr="00660167">
            <w:rPr>
              <w:noProof/>
              <w:sz w:val="18"/>
              <w:szCs w:val="18"/>
            </w:rPr>
            <w:t xml:space="preserve"> </w:t>
          </w:r>
        </w:p>
      </w:sdtContent>
    </w:sdt>
    <w:p w14:paraId="2CB97292" w14:textId="77777777" w:rsidR="00DF35E0" w:rsidRDefault="00DF35E0" w:rsidP="003A3B7F">
      <w:pPr>
        <w:rPr>
          <w:rFonts w:cstheme="minorHAnsi"/>
          <w:sz w:val="18"/>
          <w:szCs w:val="18"/>
          <w:lang w:eastAsia="ko-KR"/>
        </w:rPr>
        <w:sectPr w:rsidR="00DF35E0" w:rsidSect="00660167">
          <w:headerReference w:type="default" r:id="rId13"/>
          <w:footerReference w:type="default" r:id="rId14"/>
          <w:headerReference w:type="first" r:id="rId15"/>
          <w:footerReference w:type="first" r:id="rId16"/>
          <w:type w:val="continuous"/>
          <w:pgSz w:w="12240" w:h="15840"/>
          <w:pgMar w:top="1440" w:right="990" w:bottom="1440" w:left="1440" w:header="720" w:footer="720" w:gutter="0"/>
          <w:pgNumType w:start="0"/>
          <w:cols w:space="288"/>
          <w:titlePg/>
          <w:docGrid w:linePitch="360"/>
        </w:sectPr>
      </w:pPr>
    </w:p>
    <w:sdt>
      <w:sdtPr>
        <w:rPr>
          <w:rFonts w:eastAsiaTheme="minorEastAsia" w:cstheme="minorBidi"/>
          <w:b w:val="0"/>
          <w:bCs w:val="0"/>
          <w:color w:val="auto"/>
          <w:sz w:val="20"/>
          <w:szCs w:val="22"/>
          <w:lang w:bidi="ar-SA"/>
        </w:rPr>
        <w:id w:val="-1041813166"/>
        <w:docPartObj>
          <w:docPartGallery w:val="Table of Contents"/>
          <w:docPartUnique/>
        </w:docPartObj>
      </w:sdtPr>
      <w:sdtEndPr>
        <w:rPr>
          <w:noProof/>
          <w:sz w:val="22"/>
        </w:rPr>
      </w:sdtEndPr>
      <w:sdtContent>
        <w:p w14:paraId="57EEEE50" w14:textId="25025908" w:rsidR="000F6650" w:rsidRPr="00660167" w:rsidRDefault="007760BA" w:rsidP="00660167">
          <w:pPr>
            <w:pStyle w:val="TOCHeading"/>
            <w:jc w:val="center"/>
            <w:rPr>
              <w:sz w:val="24"/>
              <w:lang w:val="mn-MN"/>
            </w:rPr>
          </w:pPr>
          <w:r>
            <w:rPr>
              <w:sz w:val="24"/>
              <w:lang w:val="mn-MN"/>
            </w:rPr>
            <w:t>Агуулга</w:t>
          </w:r>
        </w:p>
        <w:p w14:paraId="48C43958" w14:textId="77777777" w:rsidR="001D0088" w:rsidRPr="00660167" w:rsidRDefault="001D0088" w:rsidP="00660167">
          <w:pPr>
            <w:rPr>
              <w:sz w:val="2"/>
              <w:szCs w:val="2"/>
            </w:rPr>
          </w:pPr>
        </w:p>
        <w:p w14:paraId="2ECF9ADC" w14:textId="77777777" w:rsidR="00C177E7" w:rsidRPr="00630B23" w:rsidRDefault="000F6650" w:rsidP="00991996">
          <w:pPr>
            <w:pStyle w:val="TOC1"/>
            <w:rPr>
              <w:rFonts w:ascii="Arial" w:hAnsi="Arial" w:cs="Arial"/>
              <w:noProof/>
              <w:sz w:val="18"/>
              <w:szCs w:val="18"/>
              <w14:textOutline w14:w="9525" w14:cap="rnd" w14:cmpd="sng" w14:algn="ctr">
                <w14:noFill/>
                <w14:prstDash w14:val="solid"/>
                <w14:bevel/>
              </w14:textOutline>
            </w:rPr>
          </w:pPr>
          <w:r>
            <w:fldChar w:fldCharType="begin"/>
          </w:r>
          <w:r>
            <w:instrText xml:space="preserve"> TOC \o "1-3" \h \z \u </w:instrText>
          </w:r>
          <w:r>
            <w:fldChar w:fldCharType="separate"/>
          </w:r>
          <w:hyperlink w:anchor="_Toc371338270" w:history="1">
            <w:r w:rsidR="00C177E7" w:rsidRPr="00630B23">
              <w:rPr>
                <w:rStyle w:val="Hyperlink"/>
                <w:rFonts w:ascii="Arial" w:hAnsi="Arial" w:cs="Arial"/>
                <w:noProof/>
                <w:color w:val="auto"/>
                <w:sz w:val="18"/>
                <w:szCs w:val="18"/>
                <w:lang w:val="mn-MN" w:eastAsia="ko-KR"/>
                <w14:textOutline w14:w="9525" w14:cap="rnd" w14:cmpd="sng" w14:algn="ctr">
                  <w14:noFill/>
                  <w14:prstDash w14:val="solid"/>
                  <w14:bevel/>
                </w14:textOutline>
              </w:rPr>
              <w:t>Хураангуй</w:t>
            </w:r>
            <w:r w:rsidR="00C177E7" w:rsidRPr="00630B23">
              <w:rPr>
                <w:rFonts w:ascii="Arial" w:hAnsi="Arial" w:cs="Arial"/>
                <w:noProof/>
                <w:webHidden/>
                <w:sz w:val="18"/>
                <w:szCs w:val="18"/>
                <w14:textOutline w14:w="9525" w14:cap="rnd" w14:cmpd="sng" w14:algn="ctr">
                  <w14:noFill/>
                  <w14:prstDash w14:val="solid"/>
                  <w14:bevel/>
                </w14:textOutline>
              </w:rPr>
              <w:tab/>
            </w:r>
            <w:r w:rsidR="00C177E7" w:rsidRPr="00630B23">
              <w:rPr>
                <w:rFonts w:ascii="Arial" w:hAnsi="Arial" w:cs="Arial"/>
                <w:noProof/>
                <w:webHidden/>
                <w:sz w:val="18"/>
                <w:szCs w:val="18"/>
                <w14:textOutline w14:w="9525" w14:cap="rnd" w14:cmpd="sng" w14:algn="ctr">
                  <w14:noFill/>
                  <w14:prstDash w14:val="solid"/>
                  <w14:bevel/>
                </w14:textOutline>
              </w:rPr>
              <w:fldChar w:fldCharType="begin"/>
            </w:r>
            <w:r w:rsidR="00C177E7" w:rsidRPr="00630B23">
              <w:rPr>
                <w:rFonts w:ascii="Arial" w:hAnsi="Arial" w:cs="Arial"/>
                <w:noProof/>
                <w:webHidden/>
                <w:sz w:val="18"/>
                <w:szCs w:val="18"/>
                <w14:textOutline w14:w="9525" w14:cap="rnd" w14:cmpd="sng" w14:algn="ctr">
                  <w14:noFill/>
                  <w14:prstDash w14:val="solid"/>
                  <w14:bevel/>
                </w14:textOutline>
              </w:rPr>
              <w:instrText xml:space="preserve"> PAGEREF _Toc371338270 \h </w:instrText>
            </w:r>
            <w:r w:rsidR="00C177E7" w:rsidRPr="00630B23">
              <w:rPr>
                <w:rFonts w:ascii="Arial" w:hAnsi="Arial" w:cs="Arial"/>
                <w:noProof/>
                <w:webHidden/>
                <w:sz w:val="18"/>
                <w:szCs w:val="18"/>
                <w14:textOutline w14:w="9525" w14:cap="rnd" w14:cmpd="sng" w14:algn="ctr">
                  <w14:noFill/>
                  <w14:prstDash w14:val="solid"/>
                  <w14:bevel/>
                </w14:textOutline>
              </w:rPr>
            </w:r>
            <w:r w:rsidR="00C177E7" w:rsidRPr="00630B23">
              <w:rPr>
                <w:rFonts w:ascii="Arial" w:hAnsi="Arial" w:cs="Arial"/>
                <w:noProof/>
                <w:webHidden/>
                <w:sz w:val="18"/>
                <w:szCs w:val="18"/>
                <w14:textOutline w14:w="9525" w14:cap="rnd" w14:cmpd="sng" w14:algn="ctr">
                  <w14:noFill/>
                  <w14:prstDash w14:val="solid"/>
                  <w14:bevel/>
                </w14:textOutline>
              </w:rPr>
              <w:fldChar w:fldCharType="separate"/>
            </w:r>
            <w:r w:rsidR="00C177E7" w:rsidRPr="00630B23">
              <w:rPr>
                <w:rFonts w:ascii="Arial" w:hAnsi="Arial" w:cs="Arial"/>
                <w:noProof/>
                <w:webHidden/>
                <w:sz w:val="18"/>
                <w:szCs w:val="18"/>
                <w14:textOutline w14:w="9525" w14:cap="rnd" w14:cmpd="sng" w14:algn="ctr">
                  <w14:noFill/>
                  <w14:prstDash w14:val="solid"/>
                  <w14:bevel/>
                </w14:textOutline>
              </w:rPr>
              <w:t>4</w:t>
            </w:r>
            <w:r w:rsidR="00C177E7" w:rsidRPr="00630B23">
              <w:rPr>
                <w:rFonts w:ascii="Arial" w:hAnsi="Arial" w:cs="Arial"/>
                <w:noProof/>
                <w:webHidden/>
                <w:sz w:val="18"/>
                <w:szCs w:val="18"/>
                <w14:textOutline w14:w="9525" w14:cap="rnd" w14:cmpd="sng" w14:algn="ctr">
                  <w14:noFill/>
                  <w14:prstDash w14:val="solid"/>
                  <w14:bevel/>
                </w14:textOutline>
              </w:rPr>
              <w:fldChar w:fldCharType="end"/>
            </w:r>
          </w:hyperlink>
        </w:p>
        <w:p w14:paraId="6D74C794" w14:textId="77777777" w:rsidR="00C177E7" w:rsidRPr="00630B23" w:rsidRDefault="00D05364" w:rsidP="00630B23">
          <w:pPr>
            <w:pStyle w:val="TOC2"/>
            <w:tabs>
              <w:tab w:val="right" w:leader="dot" w:pos="9350"/>
            </w:tabs>
            <w:ind w:left="0"/>
            <w:rPr>
              <w:rFonts w:ascii="Arial" w:hAnsi="Arial" w:cs="Arial"/>
              <w:noProof/>
              <w:sz w:val="18"/>
              <w:szCs w:val="18"/>
              <w14:textOutline w14:w="9525" w14:cap="rnd" w14:cmpd="sng" w14:algn="ctr">
                <w14:noFill/>
                <w14:prstDash w14:val="solid"/>
                <w14:bevel/>
              </w14:textOutline>
            </w:rPr>
          </w:pPr>
          <w:hyperlink w:anchor="_Toc371338271" w:history="1">
            <w:r w:rsidR="00C177E7" w:rsidRPr="00630B23">
              <w:rPr>
                <w:rStyle w:val="Hyperlink"/>
                <w:rFonts w:ascii="Arial" w:hAnsi="Arial" w:cs="Arial"/>
                <w:noProof/>
                <w:color w:val="auto"/>
                <w:sz w:val="18"/>
                <w:szCs w:val="18"/>
                <w:lang w:val="mn-MN"/>
                <w14:textOutline w14:w="6350" w14:cap="flat" w14:cmpd="sng" w14:algn="ctr">
                  <w14:noFill/>
                  <w14:prstDash w14:val="solid"/>
                  <w14:round/>
                </w14:textOutline>
              </w:rPr>
              <w:t>Бүлэг</w:t>
            </w:r>
            <w:r w:rsidR="00C177E7" w:rsidRPr="00630B23">
              <w:rPr>
                <w:rStyle w:val="Hyperlink"/>
                <w:rFonts w:ascii="Arial" w:hAnsi="Arial" w:cs="Arial"/>
                <w:noProof/>
                <w:color w:val="auto"/>
                <w:sz w:val="18"/>
                <w:szCs w:val="18"/>
                <w14:textOutline w14:w="6350" w14:cap="flat" w14:cmpd="sng" w14:algn="ctr">
                  <w14:noFill/>
                  <w14:prstDash w14:val="solid"/>
                  <w14:round/>
                </w14:textOutline>
              </w:rPr>
              <w:t xml:space="preserve"> I. </w:t>
            </w:r>
            <w:r w:rsidR="00C177E7" w:rsidRPr="00630B23">
              <w:rPr>
                <w:rStyle w:val="Hyperlink"/>
                <w:rFonts w:ascii="Arial" w:hAnsi="Arial" w:cs="Arial"/>
                <w:noProof/>
                <w:color w:val="auto"/>
                <w:sz w:val="18"/>
                <w:szCs w:val="18"/>
                <w:lang w:val="mn-MN"/>
                <w14:textOutline w14:w="6350" w14:cap="flat" w14:cmpd="sng" w14:algn="ctr">
                  <w14:noFill/>
                  <w14:prstDash w14:val="solid"/>
                  <w14:round/>
                </w14:textOutline>
              </w:rPr>
              <w:t>Дэлхийн болон бүс нутгийн эдийн засгийн хөгжил, хэтийн  төлөв</w:t>
            </w:r>
            <w:r w:rsidR="00C177E7" w:rsidRPr="00630B23">
              <w:rPr>
                <w:rFonts w:ascii="Arial" w:hAnsi="Arial" w:cs="Arial"/>
                <w:noProof/>
                <w:webHidden/>
                <w:sz w:val="18"/>
                <w:szCs w:val="18"/>
                <w14:textOutline w14:w="9525" w14:cap="rnd" w14:cmpd="sng" w14:algn="ctr">
                  <w14:noFill/>
                  <w14:prstDash w14:val="solid"/>
                  <w14:bevel/>
                </w14:textOutline>
              </w:rPr>
              <w:tab/>
            </w:r>
            <w:r w:rsidR="00C177E7" w:rsidRPr="00630B23">
              <w:rPr>
                <w:rFonts w:ascii="Arial" w:hAnsi="Arial" w:cs="Arial"/>
                <w:noProof/>
                <w:webHidden/>
                <w:sz w:val="18"/>
                <w:szCs w:val="18"/>
                <w14:textOutline w14:w="9525" w14:cap="rnd" w14:cmpd="sng" w14:algn="ctr">
                  <w14:noFill/>
                  <w14:prstDash w14:val="solid"/>
                  <w14:bevel/>
                </w14:textOutline>
              </w:rPr>
              <w:fldChar w:fldCharType="begin"/>
            </w:r>
            <w:r w:rsidR="00C177E7" w:rsidRPr="00630B23">
              <w:rPr>
                <w:rFonts w:ascii="Arial" w:hAnsi="Arial" w:cs="Arial"/>
                <w:noProof/>
                <w:webHidden/>
                <w:sz w:val="18"/>
                <w:szCs w:val="18"/>
                <w14:textOutline w14:w="9525" w14:cap="rnd" w14:cmpd="sng" w14:algn="ctr">
                  <w14:noFill/>
                  <w14:prstDash w14:val="solid"/>
                  <w14:bevel/>
                </w14:textOutline>
              </w:rPr>
              <w:instrText xml:space="preserve"> PAGEREF _Toc371338271 \h </w:instrText>
            </w:r>
            <w:r w:rsidR="00C177E7" w:rsidRPr="00630B23">
              <w:rPr>
                <w:rFonts w:ascii="Arial" w:hAnsi="Arial" w:cs="Arial"/>
                <w:noProof/>
                <w:webHidden/>
                <w:sz w:val="18"/>
                <w:szCs w:val="18"/>
                <w14:textOutline w14:w="9525" w14:cap="rnd" w14:cmpd="sng" w14:algn="ctr">
                  <w14:noFill/>
                  <w14:prstDash w14:val="solid"/>
                  <w14:bevel/>
                </w14:textOutline>
              </w:rPr>
            </w:r>
            <w:r w:rsidR="00C177E7" w:rsidRPr="00630B23">
              <w:rPr>
                <w:rFonts w:ascii="Arial" w:hAnsi="Arial" w:cs="Arial"/>
                <w:noProof/>
                <w:webHidden/>
                <w:sz w:val="18"/>
                <w:szCs w:val="18"/>
                <w14:textOutline w14:w="9525" w14:cap="rnd" w14:cmpd="sng" w14:algn="ctr">
                  <w14:noFill/>
                  <w14:prstDash w14:val="solid"/>
                  <w14:bevel/>
                </w14:textOutline>
              </w:rPr>
              <w:fldChar w:fldCharType="separate"/>
            </w:r>
            <w:r w:rsidR="00C177E7" w:rsidRPr="00630B23">
              <w:rPr>
                <w:rFonts w:ascii="Arial" w:hAnsi="Arial" w:cs="Arial"/>
                <w:noProof/>
                <w:webHidden/>
                <w:sz w:val="18"/>
                <w:szCs w:val="18"/>
                <w14:textOutline w14:w="9525" w14:cap="rnd" w14:cmpd="sng" w14:algn="ctr">
                  <w14:noFill/>
                  <w14:prstDash w14:val="solid"/>
                  <w14:bevel/>
                </w14:textOutline>
              </w:rPr>
              <w:t>8</w:t>
            </w:r>
            <w:r w:rsidR="00C177E7" w:rsidRPr="00630B23">
              <w:rPr>
                <w:rFonts w:ascii="Arial" w:hAnsi="Arial" w:cs="Arial"/>
                <w:noProof/>
                <w:webHidden/>
                <w:sz w:val="18"/>
                <w:szCs w:val="18"/>
                <w14:textOutline w14:w="9525" w14:cap="rnd" w14:cmpd="sng" w14:algn="ctr">
                  <w14:noFill/>
                  <w14:prstDash w14:val="solid"/>
                  <w14:bevel/>
                </w14:textOutline>
              </w:rPr>
              <w:fldChar w:fldCharType="end"/>
            </w:r>
          </w:hyperlink>
        </w:p>
        <w:p w14:paraId="34197AEB" w14:textId="77777777" w:rsidR="00C177E7" w:rsidRPr="00630B23" w:rsidRDefault="00D05364">
          <w:pPr>
            <w:pStyle w:val="TOC2"/>
            <w:tabs>
              <w:tab w:val="right" w:leader="dot" w:pos="9350"/>
            </w:tabs>
            <w:rPr>
              <w:rFonts w:ascii="Arial" w:hAnsi="Arial" w:cs="Arial"/>
              <w:noProof/>
              <w:sz w:val="18"/>
              <w:szCs w:val="18"/>
              <w14:textOutline w14:w="9525" w14:cap="rnd" w14:cmpd="sng" w14:algn="ctr">
                <w14:noFill/>
                <w14:prstDash w14:val="solid"/>
                <w14:bevel/>
              </w14:textOutline>
            </w:rPr>
          </w:pPr>
          <w:hyperlink w:anchor="_Toc371338272" w:history="1">
            <w:r w:rsidR="00C177E7" w:rsidRPr="00630B23">
              <w:rPr>
                <w:rStyle w:val="Hyperlink"/>
                <w:rFonts w:ascii="Arial" w:hAnsi="Arial" w:cs="Arial"/>
                <w:noProof/>
                <w:color w:val="auto"/>
                <w:sz w:val="18"/>
                <w:szCs w:val="18"/>
                <w:lang w:val="mn-MN" w:eastAsia="ko-KR"/>
                <w14:textOutline w14:w="9525" w14:cap="rnd" w14:cmpd="sng" w14:algn="ctr">
                  <w14:noFill/>
                  <w14:prstDash w14:val="solid"/>
                  <w14:bevel/>
                </w14:textOutline>
              </w:rPr>
              <w:t>Сүүлийн саруудад томоохон хөгжсөн орнуудад сэргэлт гарч эхэллээ</w:t>
            </w:r>
            <w:r w:rsidR="00C177E7" w:rsidRPr="00630B23">
              <w:rPr>
                <w:rFonts w:ascii="Arial" w:hAnsi="Arial" w:cs="Arial"/>
                <w:noProof/>
                <w:webHidden/>
                <w:sz w:val="18"/>
                <w:szCs w:val="18"/>
                <w14:textOutline w14:w="9525" w14:cap="rnd" w14:cmpd="sng" w14:algn="ctr">
                  <w14:noFill/>
                  <w14:prstDash w14:val="solid"/>
                  <w14:bevel/>
                </w14:textOutline>
              </w:rPr>
              <w:tab/>
            </w:r>
            <w:r w:rsidR="00C177E7" w:rsidRPr="00630B23">
              <w:rPr>
                <w:rFonts w:ascii="Arial" w:hAnsi="Arial" w:cs="Arial"/>
                <w:noProof/>
                <w:webHidden/>
                <w:sz w:val="18"/>
                <w:szCs w:val="18"/>
                <w14:textOutline w14:w="9525" w14:cap="rnd" w14:cmpd="sng" w14:algn="ctr">
                  <w14:noFill/>
                  <w14:prstDash w14:val="solid"/>
                  <w14:bevel/>
                </w14:textOutline>
              </w:rPr>
              <w:fldChar w:fldCharType="begin"/>
            </w:r>
            <w:r w:rsidR="00C177E7" w:rsidRPr="00630B23">
              <w:rPr>
                <w:rFonts w:ascii="Arial" w:hAnsi="Arial" w:cs="Arial"/>
                <w:noProof/>
                <w:webHidden/>
                <w:sz w:val="18"/>
                <w:szCs w:val="18"/>
                <w14:textOutline w14:w="9525" w14:cap="rnd" w14:cmpd="sng" w14:algn="ctr">
                  <w14:noFill/>
                  <w14:prstDash w14:val="solid"/>
                  <w14:bevel/>
                </w14:textOutline>
              </w:rPr>
              <w:instrText xml:space="preserve"> PAGEREF _Toc371338272 \h </w:instrText>
            </w:r>
            <w:r w:rsidR="00C177E7" w:rsidRPr="00630B23">
              <w:rPr>
                <w:rFonts w:ascii="Arial" w:hAnsi="Arial" w:cs="Arial"/>
                <w:noProof/>
                <w:webHidden/>
                <w:sz w:val="18"/>
                <w:szCs w:val="18"/>
                <w14:textOutline w14:w="9525" w14:cap="rnd" w14:cmpd="sng" w14:algn="ctr">
                  <w14:noFill/>
                  <w14:prstDash w14:val="solid"/>
                  <w14:bevel/>
                </w14:textOutline>
              </w:rPr>
            </w:r>
            <w:r w:rsidR="00C177E7" w:rsidRPr="00630B23">
              <w:rPr>
                <w:rFonts w:ascii="Arial" w:hAnsi="Arial" w:cs="Arial"/>
                <w:noProof/>
                <w:webHidden/>
                <w:sz w:val="18"/>
                <w:szCs w:val="18"/>
                <w14:textOutline w14:w="9525" w14:cap="rnd" w14:cmpd="sng" w14:algn="ctr">
                  <w14:noFill/>
                  <w14:prstDash w14:val="solid"/>
                  <w14:bevel/>
                </w14:textOutline>
              </w:rPr>
              <w:fldChar w:fldCharType="separate"/>
            </w:r>
            <w:r w:rsidR="00C177E7" w:rsidRPr="00630B23">
              <w:rPr>
                <w:rFonts w:ascii="Arial" w:hAnsi="Arial" w:cs="Arial"/>
                <w:noProof/>
                <w:webHidden/>
                <w:sz w:val="18"/>
                <w:szCs w:val="18"/>
                <w14:textOutline w14:w="9525" w14:cap="rnd" w14:cmpd="sng" w14:algn="ctr">
                  <w14:noFill/>
                  <w14:prstDash w14:val="solid"/>
                  <w14:bevel/>
                </w14:textOutline>
              </w:rPr>
              <w:t>8</w:t>
            </w:r>
            <w:r w:rsidR="00C177E7" w:rsidRPr="00630B23">
              <w:rPr>
                <w:rFonts w:ascii="Arial" w:hAnsi="Arial" w:cs="Arial"/>
                <w:noProof/>
                <w:webHidden/>
                <w:sz w:val="18"/>
                <w:szCs w:val="18"/>
                <w14:textOutline w14:w="9525" w14:cap="rnd" w14:cmpd="sng" w14:algn="ctr">
                  <w14:noFill/>
                  <w14:prstDash w14:val="solid"/>
                  <w14:bevel/>
                </w14:textOutline>
              </w:rPr>
              <w:fldChar w:fldCharType="end"/>
            </w:r>
          </w:hyperlink>
        </w:p>
        <w:p w14:paraId="508D507A" w14:textId="77777777" w:rsidR="00C177E7" w:rsidRPr="00630B23" w:rsidRDefault="00D05364">
          <w:pPr>
            <w:pStyle w:val="TOC2"/>
            <w:tabs>
              <w:tab w:val="right" w:leader="dot" w:pos="9350"/>
            </w:tabs>
            <w:rPr>
              <w:rFonts w:ascii="Arial" w:hAnsi="Arial" w:cs="Arial"/>
              <w:noProof/>
              <w:sz w:val="18"/>
              <w:szCs w:val="18"/>
              <w14:textOutline w14:w="9525" w14:cap="rnd" w14:cmpd="sng" w14:algn="ctr">
                <w14:noFill/>
                <w14:prstDash w14:val="solid"/>
                <w14:bevel/>
              </w14:textOutline>
            </w:rPr>
          </w:pPr>
          <w:hyperlink w:anchor="_Toc371338273" w:history="1">
            <w:r w:rsidR="00C177E7" w:rsidRPr="00630B23">
              <w:rPr>
                <w:rStyle w:val="Hyperlink"/>
                <w:rFonts w:ascii="Arial" w:hAnsi="Arial" w:cs="Arial"/>
                <w:noProof/>
                <w:color w:val="auto"/>
                <w:sz w:val="18"/>
                <w:szCs w:val="18"/>
                <w:lang w:val="mn-MN" w:eastAsia="ko-KR"/>
                <w14:textOutline w14:w="9525" w14:cap="rnd" w14:cmpd="sng" w14:algn="ctr">
                  <w14:noFill/>
                  <w14:prstDash w14:val="solid"/>
                  <w14:bevel/>
                </w14:textOutline>
              </w:rPr>
              <w:t>Өсөлтийн эрч нэмэгдэж байгаа ч тус бүс нутаг дахь хөгжиж буй орнуудад эдийн засгийн өсөлт 2013 онд зөөлрөх хандлагатай байна</w:t>
            </w:r>
            <w:r w:rsidR="00C177E7" w:rsidRPr="00630B23">
              <w:rPr>
                <w:rFonts w:ascii="Arial" w:hAnsi="Arial" w:cs="Arial"/>
                <w:noProof/>
                <w:webHidden/>
                <w:sz w:val="18"/>
                <w:szCs w:val="18"/>
                <w14:textOutline w14:w="9525" w14:cap="rnd" w14:cmpd="sng" w14:algn="ctr">
                  <w14:noFill/>
                  <w14:prstDash w14:val="solid"/>
                  <w14:bevel/>
                </w14:textOutline>
              </w:rPr>
              <w:tab/>
            </w:r>
            <w:r w:rsidR="00C177E7" w:rsidRPr="00630B23">
              <w:rPr>
                <w:rFonts w:ascii="Arial" w:hAnsi="Arial" w:cs="Arial"/>
                <w:noProof/>
                <w:webHidden/>
                <w:sz w:val="18"/>
                <w:szCs w:val="18"/>
                <w14:textOutline w14:w="9525" w14:cap="rnd" w14:cmpd="sng" w14:algn="ctr">
                  <w14:noFill/>
                  <w14:prstDash w14:val="solid"/>
                  <w14:bevel/>
                </w14:textOutline>
              </w:rPr>
              <w:fldChar w:fldCharType="begin"/>
            </w:r>
            <w:r w:rsidR="00C177E7" w:rsidRPr="00630B23">
              <w:rPr>
                <w:rFonts w:ascii="Arial" w:hAnsi="Arial" w:cs="Arial"/>
                <w:noProof/>
                <w:webHidden/>
                <w:sz w:val="18"/>
                <w:szCs w:val="18"/>
                <w14:textOutline w14:w="9525" w14:cap="rnd" w14:cmpd="sng" w14:algn="ctr">
                  <w14:noFill/>
                  <w14:prstDash w14:val="solid"/>
                  <w14:bevel/>
                </w14:textOutline>
              </w:rPr>
              <w:instrText xml:space="preserve"> PAGEREF _Toc371338273 \h </w:instrText>
            </w:r>
            <w:r w:rsidR="00C177E7" w:rsidRPr="00630B23">
              <w:rPr>
                <w:rFonts w:ascii="Arial" w:hAnsi="Arial" w:cs="Arial"/>
                <w:noProof/>
                <w:webHidden/>
                <w:sz w:val="18"/>
                <w:szCs w:val="18"/>
                <w14:textOutline w14:w="9525" w14:cap="rnd" w14:cmpd="sng" w14:algn="ctr">
                  <w14:noFill/>
                  <w14:prstDash w14:val="solid"/>
                  <w14:bevel/>
                </w14:textOutline>
              </w:rPr>
            </w:r>
            <w:r w:rsidR="00C177E7" w:rsidRPr="00630B23">
              <w:rPr>
                <w:rFonts w:ascii="Arial" w:hAnsi="Arial" w:cs="Arial"/>
                <w:noProof/>
                <w:webHidden/>
                <w:sz w:val="18"/>
                <w:szCs w:val="18"/>
                <w14:textOutline w14:w="9525" w14:cap="rnd" w14:cmpd="sng" w14:algn="ctr">
                  <w14:noFill/>
                  <w14:prstDash w14:val="solid"/>
                  <w14:bevel/>
                </w14:textOutline>
              </w:rPr>
              <w:fldChar w:fldCharType="separate"/>
            </w:r>
            <w:r w:rsidR="00C177E7" w:rsidRPr="00630B23">
              <w:rPr>
                <w:rFonts w:ascii="Arial" w:hAnsi="Arial" w:cs="Arial"/>
                <w:noProof/>
                <w:webHidden/>
                <w:sz w:val="18"/>
                <w:szCs w:val="18"/>
                <w14:textOutline w14:w="9525" w14:cap="rnd" w14:cmpd="sng" w14:algn="ctr">
                  <w14:noFill/>
                  <w14:prstDash w14:val="solid"/>
                  <w14:bevel/>
                </w14:textOutline>
              </w:rPr>
              <w:t>9</w:t>
            </w:r>
            <w:r w:rsidR="00C177E7" w:rsidRPr="00630B23">
              <w:rPr>
                <w:rFonts w:ascii="Arial" w:hAnsi="Arial" w:cs="Arial"/>
                <w:noProof/>
                <w:webHidden/>
                <w:sz w:val="18"/>
                <w:szCs w:val="18"/>
                <w14:textOutline w14:w="9525" w14:cap="rnd" w14:cmpd="sng" w14:algn="ctr">
                  <w14:noFill/>
                  <w14:prstDash w14:val="solid"/>
                  <w14:bevel/>
                </w14:textOutline>
              </w:rPr>
              <w:fldChar w:fldCharType="end"/>
            </w:r>
          </w:hyperlink>
        </w:p>
        <w:p w14:paraId="5855409F" w14:textId="77777777" w:rsidR="00C177E7" w:rsidRPr="00630B23" w:rsidRDefault="00D05364">
          <w:pPr>
            <w:pStyle w:val="TOC2"/>
            <w:tabs>
              <w:tab w:val="right" w:leader="dot" w:pos="9350"/>
            </w:tabs>
            <w:rPr>
              <w:rFonts w:ascii="Arial" w:hAnsi="Arial" w:cs="Arial"/>
              <w:noProof/>
              <w:sz w:val="18"/>
              <w:szCs w:val="18"/>
              <w14:textOutline w14:w="9525" w14:cap="rnd" w14:cmpd="sng" w14:algn="ctr">
                <w14:noFill/>
                <w14:prstDash w14:val="solid"/>
                <w14:bevel/>
              </w14:textOutline>
            </w:rPr>
          </w:pPr>
          <w:hyperlink w:anchor="_Toc371338274" w:history="1">
            <w:r w:rsidR="00C177E7" w:rsidRPr="00630B23">
              <w:rPr>
                <w:rStyle w:val="Hyperlink"/>
                <w:rFonts w:ascii="Arial" w:hAnsi="Arial" w:cs="Arial"/>
                <w:noProof/>
                <w:color w:val="auto"/>
                <w:sz w:val="18"/>
                <w:szCs w:val="18"/>
                <w:lang w:val="mn-MN" w:eastAsia="ko-KR"/>
                <w14:textOutline w14:w="9525" w14:cap="rnd" w14:cmpd="sng" w14:algn="ctr">
                  <w14:noFill/>
                  <w14:prstDash w14:val="solid"/>
                  <w14:bevel/>
                </w14:textOutline>
              </w:rPr>
              <w:t>Тухайн бүс нутгийн эдийн засагт суурь эрсдэл байна</w:t>
            </w:r>
            <w:r w:rsidR="00C177E7" w:rsidRPr="00630B23">
              <w:rPr>
                <w:rFonts w:ascii="Arial" w:hAnsi="Arial" w:cs="Arial"/>
                <w:noProof/>
                <w:webHidden/>
                <w:sz w:val="18"/>
                <w:szCs w:val="18"/>
                <w14:textOutline w14:w="9525" w14:cap="rnd" w14:cmpd="sng" w14:algn="ctr">
                  <w14:noFill/>
                  <w14:prstDash w14:val="solid"/>
                  <w14:bevel/>
                </w14:textOutline>
              </w:rPr>
              <w:tab/>
            </w:r>
            <w:r w:rsidR="00C177E7" w:rsidRPr="00630B23">
              <w:rPr>
                <w:rFonts w:ascii="Arial" w:hAnsi="Arial" w:cs="Arial"/>
                <w:noProof/>
                <w:webHidden/>
                <w:sz w:val="18"/>
                <w:szCs w:val="18"/>
                <w14:textOutline w14:w="9525" w14:cap="rnd" w14:cmpd="sng" w14:algn="ctr">
                  <w14:noFill/>
                  <w14:prstDash w14:val="solid"/>
                  <w14:bevel/>
                </w14:textOutline>
              </w:rPr>
              <w:fldChar w:fldCharType="begin"/>
            </w:r>
            <w:r w:rsidR="00C177E7" w:rsidRPr="00630B23">
              <w:rPr>
                <w:rFonts w:ascii="Arial" w:hAnsi="Arial" w:cs="Arial"/>
                <w:noProof/>
                <w:webHidden/>
                <w:sz w:val="18"/>
                <w:szCs w:val="18"/>
                <w14:textOutline w14:w="9525" w14:cap="rnd" w14:cmpd="sng" w14:algn="ctr">
                  <w14:noFill/>
                  <w14:prstDash w14:val="solid"/>
                  <w14:bevel/>
                </w14:textOutline>
              </w:rPr>
              <w:instrText xml:space="preserve"> PAGEREF _Toc371338274 \h </w:instrText>
            </w:r>
            <w:r w:rsidR="00C177E7" w:rsidRPr="00630B23">
              <w:rPr>
                <w:rFonts w:ascii="Arial" w:hAnsi="Arial" w:cs="Arial"/>
                <w:noProof/>
                <w:webHidden/>
                <w:sz w:val="18"/>
                <w:szCs w:val="18"/>
                <w14:textOutline w14:w="9525" w14:cap="rnd" w14:cmpd="sng" w14:algn="ctr">
                  <w14:noFill/>
                  <w14:prstDash w14:val="solid"/>
                  <w14:bevel/>
                </w14:textOutline>
              </w:rPr>
            </w:r>
            <w:r w:rsidR="00C177E7" w:rsidRPr="00630B23">
              <w:rPr>
                <w:rFonts w:ascii="Arial" w:hAnsi="Arial" w:cs="Arial"/>
                <w:noProof/>
                <w:webHidden/>
                <w:sz w:val="18"/>
                <w:szCs w:val="18"/>
                <w14:textOutline w14:w="9525" w14:cap="rnd" w14:cmpd="sng" w14:algn="ctr">
                  <w14:noFill/>
                  <w14:prstDash w14:val="solid"/>
                  <w14:bevel/>
                </w14:textOutline>
              </w:rPr>
              <w:fldChar w:fldCharType="separate"/>
            </w:r>
            <w:r w:rsidR="00C177E7" w:rsidRPr="00630B23">
              <w:rPr>
                <w:rFonts w:ascii="Arial" w:hAnsi="Arial" w:cs="Arial"/>
                <w:noProof/>
                <w:webHidden/>
                <w:sz w:val="18"/>
                <w:szCs w:val="18"/>
                <w14:textOutline w14:w="9525" w14:cap="rnd" w14:cmpd="sng" w14:algn="ctr">
                  <w14:noFill/>
                  <w14:prstDash w14:val="solid"/>
                  <w14:bevel/>
                </w14:textOutline>
              </w:rPr>
              <w:t>11</w:t>
            </w:r>
            <w:r w:rsidR="00C177E7" w:rsidRPr="00630B23">
              <w:rPr>
                <w:rFonts w:ascii="Arial" w:hAnsi="Arial" w:cs="Arial"/>
                <w:noProof/>
                <w:webHidden/>
                <w:sz w:val="18"/>
                <w:szCs w:val="18"/>
                <w14:textOutline w14:w="9525" w14:cap="rnd" w14:cmpd="sng" w14:algn="ctr">
                  <w14:noFill/>
                  <w14:prstDash w14:val="solid"/>
                  <w14:bevel/>
                </w14:textOutline>
              </w:rPr>
              <w:fldChar w:fldCharType="end"/>
            </w:r>
          </w:hyperlink>
        </w:p>
        <w:p w14:paraId="599CE79B" w14:textId="77777777" w:rsidR="00C177E7" w:rsidRPr="00630B23" w:rsidRDefault="00D05364" w:rsidP="00630B23">
          <w:pPr>
            <w:pStyle w:val="TOC2"/>
            <w:tabs>
              <w:tab w:val="right" w:leader="dot" w:pos="9350"/>
            </w:tabs>
            <w:ind w:left="0"/>
            <w:rPr>
              <w:rFonts w:ascii="Arial" w:hAnsi="Arial" w:cs="Arial"/>
              <w:noProof/>
              <w:sz w:val="18"/>
              <w:szCs w:val="18"/>
              <w14:textOutline w14:w="9525" w14:cap="rnd" w14:cmpd="sng" w14:algn="ctr">
                <w14:noFill/>
                <w14:prstDash w14:val="solid"/>
                <w14:bevel/>
              </w14:textOutline>
            </w:rPr>
          </w:pPr>
          <w:hyperlink w:anchor="_Toc371338275" w:history="1">
            <w:r w:rsidR="00C177E7" w:rsidRPr="00630B23">
              <w:rPr>
                <w:rStyle w:val="Hyperlink"/>
                <w:rFonts w:ascii="Arial" w:hAnsi="Arial" w:cs="Arial"/>
                <w:noProof/>
                <w:color w:val="auto"/>
                <w:sz w:val="18"/>
                <w:szCs w:val="18"/>
                <w:lang w:val="mn-MN"/>
                <w14:textOutline w14:w="6350" w14:cap="flat" w14:cmpd="sng" w14:algn="ctr">
                  <w14:noFill/>
                  <w14:prstDash w14:val="solid"/>
                  <w14:round/>
                </w14:textOutline>
              </w:rPr>
              <w:t>Бүлэг</w:t>
            </w:r>
            <w:r w:rsidR="00C177E7" w:rsidRPr="00630B23">
              <w:rPr>
                <w:rStyle w:val="Hyperlink"/>
                <w:rFonts w:ascii="Arial" w:hAnsi="Arial" w:cs="Arial"/>
                <w:noProof/>
                <w:color w:val="auto"/>
                <w:sz w:val="18"/>
                <w:szCs w:val="18"/>
                <w14:textOutline w14:w="6350" w14:cap="flat" w14:cmpd="sng" w14:algn="ctr">
                  <w14:noFill/>
                  <w14:prstDash w14:val="solid"/>
                  <w14:round/>
                </w14:textOutline>
              </w:rPr>
              <w:t xml:space="preserve"> II.  </w:t>
            </w:r>
            <w:r w:rsidR="00C177E7" w:rsidRPr="00630B23">
              <w:rPr>
                <w:rStyle w:val="Hyperlink"/>
                <w:rFonts w:ascii="Arial" w:hAnsi="Arial" w:cs="Arial"/>
                <w:noProof/>
                <w:color w:val="auto"/>
                <w:sz w:val="18"/>
                <w:szCs w:val="18"/>
                <w:lang w:val="mn-MN"/>
                <w14:textOutline w14:w="6350" w14:cap="flat" w14:cmpd="sng" w14:algn="ctr">
                  <w14:noFill/>
                  <w14:prstDash w14:val="solid"/>
                  <w14:round/>
                </w14:textOutline>
              </w:rPr>
              <w:t>Монгол улсын эдийн засаг</w:t>
            </w:r>
            <w:r w:rsidR="00C177E7" w:rsidRPr="00630B23">
              <w:rPr>
                <w:rStyle w:val="Hyperlink"/>
                <w:rFonts w:ascii="Arial" w:hAnsi="Arial" w:cs="Arial"/>
                <w:noProof/>
                <w:color w:val="auto"/>
                <w:sz w:val="18"/>
                <w:szCs w:val="18"/>
                <w14:textOutline w14:w="6350" w14:cap="flat" w14:cmpd="sng" w14:algn="ctr">
                  <w14:noFill/>
                  <w14:prstDash w14:val="solid"/>
                  <w14:round/>
                </w14:textOutline>
              </w:rPr>
              <w:t xml:space="preserve"> – </w:t>
            </w:r>
            <w:r w:rsidR="00C177E7" w:rsidRPr="00630B23">
              <w:rPr>
                <w:rStyle w:val="Hyperlink"/>
                <w:rFonts w:ascii="Arial" w:hAnsi="Arial" w:cs="Arial"/>
                <w:noProof/>
                <w:color w:val="auto"/>
                <w:sz w:val="18"/>
                <w:szCs w:val="18"/>
                <w:lang w:val="mn-MN"/>
                <w14:textOutline w14:w="6350" w14:cap="flat" w14:cmpd="sng" w14:algn="ctr">
                  <w14:noFill/>
                  <w14:prstDash w14:val="solid"/>
                  <w14:round/>
                </w14:textOutline>
              </w:rPr>
              <w:t>Сүүлийн үеийн байдал болон хэтийн төлөв</w:t>
            </w:r>
            <w:r w:rsidR="00C177E7" w:rsidRPr="00630B23">
              <w:rPr>
                <w:rFonts w:ascii="Arial" w:hAnsi="Arial" w:cs="Arial"/>
                <w:noProof/>
                <w:webHidden/>
                <w:sz w:val="18"/>
                <w:szCs w:val="18"/>
                <w14:textOutline w14:w="9525" w14:cap="rnd" w14:cmpd="sng" w14:algn="ctr">
                  <w14:noFill/>
                  <w14:prstDash w14:val="solid"/>
                  <w14:bevel/>
                </w14:textOutline>
              </w:rPr>
              <w:tab/>
            </w:r>
            <w:r w:rsidR="00C177E7" w:rsidRPr="00630B23">
              <w:rPr>
                <w:rFonts w:ascii="Arial" w:hAnsi="Arial" w:cs="Arial"/>
                <w:noProof/>
                <w:webHidden/>
                <w:sz w:val="18"/>
                <w:szCs w:val="18"/>
                <w14:textOutline w14:w="9525" w14:cap="rnd" w14:cmpd="sng" w14:algn="ctr">
                  <w14:noFill/>
                  <w14:prstDash w14:val="solid"/>
                  <w14:bevel/>
                </w14:textOutline>
              </w:rPr>
              <w:fldChar w:fldCharType="begin"/>
            </w:r>
            <w:r w:rsidR="00C177E7" w:rsidRPr="00630B23">
              <w:rPr>
                <w:rFonts w:ascii="Arial" w:hAnsi="Arial" w:cs="Arial"/>
                <w:noProof/>
                <w:webHidden/>
                <w:sz w:val="18"/>
                <w:szCs w:val="18"/>
                <w14:textOutline w14:w="9525" w14:cap="rnd" w14:cmpd="sng" w14:algn="ctr">
                  <w14:noFill/>
                  <w14:prstDash w14:val="solid"/>
                  <w14:bevel/>
                </w14:textOutline>
              </w:rPr>
              <w:instrText xml:space="preserve"> PAGEREF _Toc371338275 \h </w:instrText>
            </w:r>
            <w:r w:rsidR="00C177E7" w:rsidRPr="00630B23">
              <w:rPr>
                <w:rFonts w:ascii="Arial" w:hAnsi="Arial" w:cs="Arial"/>
                <w:noProof/>
                <w:webHidden/>
                <w:sz w:val="18"/>
                <w:szCs w:val="18"/>
                <w14:textOutline w14:w="9525" w14:cap="rnd" w14:cmpd="sng" w14:algn="ctr">
                  <w14:noFill/>
                  <w14:prstDash w14:val="solid"/>
                  <w14:bevel/>
                </w14:textOutline>
              </w:rPr>
            </w:r>
            <w:r w:rsidR="00C177E7" w:rsidRPr="00630B23">
              <w:rPr>
                <w:rFonts w:ascii="Arial" w:hAnsi="Arial" w:cs="Arial"/>
                <w:noProof/>
                <w:webHidden/>
                <w:sz w:val="18"/>
                <w:szCs w:val="18"/>
                <w14:textOutline w14:w="9525" w14:cap="rnd" w14:cmpd="sng" w14:algn="ctr">
                  <w14:noFill/>
                  <w14:prstDash w14:val="solid"/>
                  <w14:bevel/>
                </w14:textOutline>
              </w:rPr>
              <w:fldChar w:fldCharType="separate"/>
            </w:r>
            <w:r w:rsidR="00C177E7" w:rsidRPr="00630B23">
              <w:rPr>
                <w:rFonts w:ascii="Arial" w:hAnsi="Arial" w:cs="Arial"/>
                <w:noProof/>
                <w:webHidden/>
                <w:sz w:val="18"/>
                <w:szCs w:val="18"/>
                <w14:textOutline w14:w="9525" w14:cap="rnd" w14:cmpd="sng" w14:algn="ctr">
                  <w14:noFill/>
                  <w14:prstDash w14:val="solid"/>
                  <w14:bevel/>
                </w14:textOutline>
              </w:rPr>
              <w:t>13</w:t>
            </w:r>
            <w:r w:rsidR="00C177E7" w:rsidRPr="00630B23">
              <w:rPr>
                <w:rFonts w:ascii="Arial" w:hAnsi="Arial" w:cs="Arial"/>
                <w:noProof/>
                <w:webHidden/>
                <w:sz w:val="18"/>
                <w:szCs w:val="18"/>
                <w14:textOutline w14:w="9525" w14:cap="rnd" w14:cmpd="sng" w14:algn="ctr">
                  <w14:noFill/>
                  <w14:prstDash w14:val="solid"/>
                  <w14:bevel/>
                </w14:textOutline>
              </w:rPr>
              <w:fldChar w:fldCharType="end"/>
            </w:r>
          </w:hyperlink>
        </w:p>
        <w:p w14:paraId="736E08F6" w14:textId="77777777" w:rsidR="00C177E7" w:rsidRPr="00630B23" w:rsidRDefault="00D05364">
          <w:pPr>
            <w:pStyle w:val="TOC2"/>
            <w:tabs>
              <w:tab w:val="right" w:leader="dot" w:pos="9350"/>
            </w:tabs>
            <w:rPr>
              <w:rFonts w:ascii="Arial" w:hAnsi="Arial" w:cs="Arial"/>
              <w:noProof/>
              <w:sz w:val="18"/>
              <w:szCs w:val="18"/>
              <w14:textOutline w14:w="9525" w14:cap="rnd" w14:cmpd="sng" w14:algn="ctr">
                <w14:noFill/>
                <w14:prstDash w14:val="solid"/>
                <w14:bevel/>
              </w14:textOutline>
            </w:rPr>
          </w:pPr>
          <w:hyperlink w:anchor="_Toc371338276" w:history="1">
            <w:r w:rsidR="00C177E7" w:rsidRPr="00630B23">
              <w:rPr>
                <w:rStyle w:val="Hyperlink"/>
                <w:rFonts w:ascii="Arial" w:hAnsi="Arial" w:cs="Arial"/>
                <w:noProof/>
                <w:color w:val="auto"/>
                <w:sz w:val="18"/>
                <w:szCs w:val="18"/>
                <w:lang w:val="mn-MN" w:eastAsia="ko-KR"/>
                <w14:textOutline w14:w="9525" w14:cap="rnd" w14:cmpd="sng" w14:algn="ctr">
                  <w14:noFill/>
                  <w14:prstDash w14:val="solid"/>
                  <w14:bevel/>
                </w14:textOutline>
              </w:rPr>
              <w:t>Бодит салбарын байдал болон хэтийн төлөв</w:t>
            </w:r>
            <w:r w:rsidR="00C177E7" w:rsidRPr="00630B23">
              <w:rPr>
                <w:rFonts w:ascii="Arial" w:hAnsi="Arial" w:cs="Arial"/>
                <w:noProof/>
                <w:webHidden/>
                <w:sz w:val="18"/>
                <w:szCs w:val="18"/>
                <w14:textOutline w14:w="9525" w14:cap="rnd" w14:cmpd="sng" w14:algn="ctr">
                  <w14:noFill/>
                  <w14:prstDash w14:val="solid"/>
                  <w14:bevel/>
                </w14:textOutline>
              </w:rPr>
              <w:tab/>
            </w:r>
            <w:r w:rsidR="00C177E7" w:rsidRPr="00630B23">
              <w:rPr>
                <w:rFonts w:ascii="Arial" w:hAnsi="Arial" w:cs="Arial"/>
                <w:noProof/>
                <w:webHidden/>
                <w:sz w:val="18"/>
                <w:szCs w:val="18"/>
                <w14:textOutline w14:w="9525" w14:cap="rnd" w14:cmpd="sng" w14:algn="ctr">
                  <w14:noFill/>
                  <w14:prstDash w14:val="solid"/>
                  <w14:bevel/>
                </w14:textOutline>
              </w:rPr>
              <w:fldChar w:fldCharType="begin"/>
            </w:r>
            <w:r w:rsidR="00C177E7" w:rsidRPr="00630B23">
              <w:rPr>
                <w:rFonts w:ascii="Arial" w:hAnsi="Arial" w:cs="Arial"/>
                <w:noProof/>
                <w:webHidden/>
                <w:sz w:val="18"/>
                <w:szCs w:val="18"/>
                <w14:textOutline w14:w="9525" w14:cap="rnd" w14:cmpd="sng" w14:algn="ctr">
                  <w14:noFill/>
                  <w14:prstDash w14:val="solid"/>
                  <w14:bevel/>
                </w14:textOutline>
              </w:rPr>
              <w:instrText xml:space="preserve"> PAGEREF _Toc371338276 \h </w:instrText>
            </w:r>
            <w:r w:rsidR="00C177E7" w:rsidRPr="00630B23">
              <w:rPr>
                <w:rFonts w:ascii="Arial" w:hAnsi="Arial" w:cs="Arial"/>
                <w:noProof/>
                <w:webHidden/>
                <w:sz w:val="18"/>
                <w:szCs w:val="18"/>
                <w14:textOutline w14:w="9525" w14:cap="rnd" w14:cmpd="sng" w14:algn="ctr">
                  <w14:noFill/>
                  <w14:prstDash w14:val="solid"/>
                  <w14:bevel/>
                </w14:textOutline>
              </w:rPr>
            </w:r>
            <w:r w:rsidR="00C177E7" w:rsidRPr="00630B23">
              <w:rPr>
                <w:rFonts w:ascii="Arial" w:hAnsi="Arial" w:cs="Arial"/>
                <w:noProof/>
                <w:webHidden/>
                <w:sz w:val="18"/>
                <w:szCs w:val="18"/>
                <w14:textOutline w14:w="9525" w14:cap="rnd" w14:cmpd="sng" w14:algn="ctr">
                  <w14:noFill/>
                  <w14:prstDash w14:val="solid"/>
                  <w14:bevel/>
                </w14:textOutline>
              </w:rPr>
              <w:fldChar w:fldCharType="separate"/>
            </w:r>
            <w:r w:rsidR="00C177E7" w:rsidRPr="00630B23">
              <w:rPr>
                <w:rFonts w:ascii="Arial" w:hAnsi="Arial" w:cs="Arial"/>
                <w:noProof/>
                <w:webHidden/>
                <w:sz w:val="18"/>
                <w:szCs w:val="18"/>
                <w14:textOutline w14:w="9525" w14:cap="rnd" w14:cmpd="sng" w14:algn="ctr">
                  <w14:noFill/>
                  <w14:prstDash w14:val="solid"/>
                  <w14:bevel/>
                </w14:textOutline>
              </w:rPr>
              <w:t>13</w:t>
            </w:r>
            <w:r w:rsidR="00C177E7" w:rsidRPr="00630B23">
              <w:rPr>
                <w:rFonts w:ascii="Arial" w:hAnsi="Arial" w:cs="Arial"/>
                <w:noProof/>
                <w:webHidden/>
                <w:sz w:val="18"/>
                <w:szCs w:val="18"/>
                <w14:textOutline w14:w="9525" w14:cap="rnd" w14:cmpd="sng" w14:algn="ctr">
                  <w14:noFill/>
                  <w14:prstDash w14:val="solid"/>
                  <w14:bevel/>
                </w14:textOutline>
              </w:rPr>
              <w:fldChar w:fldCharType="end"/>
            </w:r>
          </w:hyperlink>
        </w:p>
        <w:p w14:paraId="5F5AB589" w14:textId="77777777" w:rsidR="00C177E7" w:rsidRPr="00630B23" w:rsidRDefault="00D05364">
          <w:pPr>
            <w:pStyle w:val="TOC2"/>
            <w:tabs>
              <w:tab w:val="right" w:leader="dot" w:pos="9350"/>
            </w:tabs>
            <w:rPr>
              <w:rFonts w:ascii="Arial" w:hAnsi="Arial" w:cs="Arial"/>
              <w:noProof/>
              <w:sz w:val="18"/>
              <w:szCs w:val="18"/>
              <w14:textOutline w14:w="9525" w14:cap="rnd" w14:cmpd="sng" w14:algn="ctr">
                <w14:noFill/>
                <w14:prstDash w14:val="solid"/>
                <w14:bevel/>
              </w14:textOutline>
            </w:rPr>
          </w:pPr>
          <w:hyperlink w:anchor="_Toc371338277" w:history="1">
            <w:r w:rsidR="00C177E7" w:rsidRPr="00630B23">
              <w:rPr>
                <w:rStyle w:val="Hyperlink"/>
                <w:rFonts w:ascii="Arial" w:hAnsi="Arial" w:cs="Arial"/>
                <w:noProof/>
                <w:color w:val="auto"/>
                <w:sz w:val="18"/>
                <w:szCs w:val="18"/>
                <w:lang w:val="mn-MN" w:eastAsia="ko-KR"/>
                <w14:textOutline w14:w="9525" w14:cap="rnd" w14:cmpd="sng" w14:algn="ctr">
                  <w14:noFill/>
                  <w14:prstDash w14:val="solid"/>
                  <w14:bevel/>
                </w14:textOutline>
              </w:rPr>
              <w:t>Инфляци</w:t>
            </w:r>
            <w:r w:rsidR="00C177E7" w:rsidRPr="00630B23">
              <w:rPr>
                <w:rFonts w:ascii="Arial" w:hAnsi="Arial" w:cs="Arial"/>
                <w:noProof/>
                <w:webHidden/>
                <w:sz w:val="18"/>
                <w:szCs w:val="18"/>
                <w14:textOutline w14:w="9525" w14:cap="rnd" w14:cmpd="sng" w14:algn="ctr">
                  <w14:noFill/>
                  <w14:prstDash w14:val="solid"/>
                  <w14:bevel/>
                </w14:textOutline>
              </w:rPr>
              <w:tab/>
            </w:r>
            <w:r w:rsidR="00C177E7" w:rsidRPr="00630B23">
              <w:rPr>
                <w:rFonts w:ascii="Arial" w:hAnsi="Arial" w:cs="Arial"/>
                <w:noProof/>
                <w:webHidden/>
                <w:sz w:val="18"/>
                <w:szCs w:val="18"/>
                <w14:textOutline w14:w="9525" w14:cap="rnd" w14:cmpd="sng" w14:algn="ctr">
                  <w14:noFill/>
                  <w14:prstDash w14:val="solid"/>
                  <w14:bevel/>
                </w14:textOutline>
              </w:rPr>
              <w:fldChar w:fldCharType="begin"/>
            </w:r>
            <w:r w:rsidR="00C177E7" w:rsidRPr="00630B23">
              <w:rPr>
                <w:rFonts w:ascii="Arial" w:hAnsi="Arial" w:cs="Arial"/>
                <w:noProof/>
                <w:webHidden/>
                <w:sz w:val="18"/>
                <w:szCs w:val="18"/>
                <w14:textOutline w14:w="9525" w14:cap="rnd" w14:cmpd="sng" w14:algn="ctr">
                  <w14:noFill/>
                  <w14:prstDash w14:val="solid"/>
                  <w14:bevel/>
                </w14:textOutline>
              </w:rPr>
              <w:instrText xml:space="preserve"> PAGEREF _Toc371338277 \h </w:instrText>
            </w:r>
            <w:r w:rsidR="00C177E7" w:rsidRPr="00630B23">
              <w:rPr>
                <w:rFonts w:ascii="Arial" w:hAnsi="Arial" w:cs="Arial"/>
                <w:noProof/>
                <w:webHidden/>
                <w:sz w:val="18"/>
                <w:szCs w:val="18"/>
                <w14:textOutline w14:w="9525" w14:cap="rnd" w14:cmpd="sng" w14:algn="ctr">
                  <w14:noFill/>
                  <w14:prstDash w14:val="solid"/>
                  <w14:bevel/>
                </w14:textOutline>
              </w:rPr>
            </w:r>
            <w:r w:rsidR="00C177E7" w:rsidRPr="00630B23">
              <w:rPr>
                <w:rFonts w:ascii="Arial" w:hAnsi="Arial" w:cs="Arial"/>
                <w:noProof/>
                <w:webHidden/>
                <w:sz w:val="18"/>
                <w:szCs w:val="18"/>
                <w14:textOutline w14:w="9525" w14:cap="rnd" w14:cmpd="sng" w14:algn="ctr">
                  <w14:noFill/>
                  <w14:prstDash w14:val="solid"/>
                  <w14:bevel/>
                </w14:textOutline>
              </w:rPr>
              <w:fldChar w:fldCharType="separate"/>
            </w:r>
            <w:r w:rsidR="00C177E7" w:rsidRPr="00630B23">
              <w:rPr>
                <w:rFonts w:ascii="Arial" w:hAnsi="Arial" w:cs="Arial"/>
                <w:noProof/>
                <w:webHidden/>
                <w:sz w:val="18"/>
                <w:szCs w:val="18"/>
                <w14:textOutline w14:w="9525" w14:cap="rnd" w14:cmpd="sng" w14:algn="ctr">
                  <w14:noFill/>
                  <w14:prstDash w14:val="solid"/>
                  <w14:bevel/>
                </w14:textOutline>
              </w:rPr>
              <w:t>18</w:t>
            </w:r>
            <w:r w:rsidR="00C177E7" w:rsidRPr="00630B23">
              <w:rPr>
                <w:rFonts w:ascii="Arial" w:hAnsi="Arial" w:cs="Arial"/>
                <w:noProof/>
                <w:webHidden/>
                <w:sz w:val="18"/>
                <w:szCs w:val="18"/>
                <w14:textOutline w14:w="9525" w14:cap="rnd" w14:cmpd="sng" w14:algn="ctr">
                  <w14:noFill/>
                  <w14:prstDash w14:val="solid"/>
                  <w14:bevel/>
                </w14:textOutline>
              </w:rPr>
              <w:fldChar w:fldCharType="end"/>
            </w:r>
          </w:hyperlink>
        </w:p>
        <w:p w14:paraId="35F31F76" w14:textId="77777777" w:rsidR="00C177E7" w:rsidRPr="00630B23" w:rsidRDefault="00D05364">
          <w:pPr>
            <w:pStyle w:val="TOC2"/>
            <w:tabs>
              <w:tab w:val="right" w:leader="dot" w:pos="9350"/>
            </w:tabs>
            <w:rPr>
              <w:rFonts w:ascii="Arial" w:hAnsi="Arial" w:cs="Arial"/>
              <w:noProof/>
              <w:sz w:val="18"/>
              <w:szCs w:val="18"/>
              <w14:textOutline w14:w="9525" w14:cap="rnd" w14:cmpd="sng" w14:algn="ctr">
                <w14:noFill/>
                <w14:prstDash w14:val="solid"/>
                <w14:bevel/>
              </w14:textOutline>
            </w:rPr>
          </w:pPr>
          <w:hyperlink w:anchor="_Toc371338278" w:history="1">
            <w:r w:rsidR="00C177E7" w:rsidRPr="00630B23">
              <w:rPr>
                <w:rStyle w:val="Hyperlink"/>
                <w:rFonts w:ascii="Arial" w:hAnsi="Arial" w:cs="Arial"/>
                <w:noProof/>
                <w:color w:val="auto"/>
                <w:sz w:val="18"/>
                <w:szCs w:val="18"/>
                <w:lang w:val="mn-MN" w:eastAsia="ko-KR"/>
                <w14:textOutline w14:w="9525" w14:cap="rnd" w14:cmpd="sng" w14:algn="ctr">
                  <w14:noFill/>
                  <w14:prstDash w14:val="solid"/>
                  <w14:bevel/>
                </w14:textOutline>
              </w:rPr>
              <w:t>Ажил эрхлэлт</w:t>
            </w:r>
            <w:r w:rsidR="00C177E7" w:rsidRPr="00630B23">
              <w:rPr>
                <w:rFonts w:ascii="Arial" w:hAnsi="Arial" w:cs="Arial"/>
                <w:noProof/>
                <w:webHidden/>
                <w:sz w:val="18"/>
                <w:szCs w:val="18"/>
                <w14:textOutline w14:w="9525" w14:cap="rnd" w14:cmpd="sng" w14:algn="ctr">
                  <w14:noFill/>
                  <w14:prstDash w14:val="solid"/>
                  <w14:bevel/>
                </w14:textOutline>
              </w:rPr>
              <w:tab/>
            </w:r>
            <w:r w:rsidR="00C177E7" w:rsidRPr="00630B23">
              <w:rPr>
                <w:rFonts w:ascii="Arial" w:hAnsi="Arial" w:cs="Arial"/>
                <w:noProof/>
                <w:webHidden/>
                <w:sz w:val="18"/>
                <w:szCs w:val="18"/>
                <w14:textOutline w14:w="9525" w14:cap="rnd" w14:cmpd="sng" w14:algn="ctr">
                  <w14:noFill/>
                  <w14:prstDash w14:val="solid"/>
                  <w14:bevel/>
                </w14:textOutline>
              </w:rPr>
              <w:fldChar w:fldCharType="begin"/>
            </w:r>
            <w:r w:rsidR="00C177E7" w:rsidRPr="00630B23">
              <w:rPr>
                <w:rFonts w:ascii="Arial" w:hAnsi="Arial" w:cs="Arial"/>
                <w:noProof/>
                <w:webHidden/>
                <w:sz w:val="18"/>
                <w:szCs w:val="18"/>
                <w14:textOutline w14:w="9525" w14:cap="rnd" w14:cmpd="sng" w14:algn="ctr">
                  <w14:noFill/>
                  <w14:prstDash w14:val="solid"/>
                  <w14:bevel/>
                </w14:textOutline>
              </w:rPr>
              <w:instrText xml:space="preserve"> PAGEREF _Toc371338278 \h </w:instrText>
            </w:r>
            <w:r w:rsidR="00C177E7" w:rsidRPr="00630B23">
              <w:rPr>
                <w:rFonts w:ascii="Arial" w:hAnsi="Arial" w:cs="Arial"/>
                <w:noProof/>
                <w:webHidden/>
                <w:sz w:val="18"/>
                <w:szCs w:val="18"/>
                <w14:textOutline w14:w="9525" w14:cap="rnd" w14:cmpd="sng" w14:algn="ctr">
                  <w14:noFill/>
                  <w14:prstDash w14:val="solid"/>
                  <w14:bevel/>
                </w14:textOutline>
              </w:rPr>
            </w:r>
            <w:r w:rsidR="00C177E7" w:rsidRPr="00630B23">
              <w:rPr>
                <w:rFonts w:ascii="Arial" w:hAnsi="Arial" w:cs="Arial"/>
                <w:noProof/>
                <w:webHidden/>
                <w:sz w:val="18"/>
                <w:szCs w:val="18"/>
                <w14:textOutline w14:w="9525" w14:cap="rnd" w14:cmpd="sng" w14:algn="ctr">
                  <w14:noFill/>
                  <w14:prstDash w14:val="solid"/>
                  <w14:bevel/>
                </w14:textOutline>
              </w:rPr>
              <w:fldChar w:fldCharType="separate"/>
            </w:r>
            <w:r w:rsidR="00C177E7" w:rsidRPr="00630B23">
              <w:rPr>
                <w:rFonts w:ascii="Arial" w:hAnsi="Arial" w:cs="Arial"/>
                <w:noProof/>
                <w:webHidden/>
                <w:sz w:val="18"/>
                <w:szCs w:val="18"/>
                <w14:textOutline w14:w="9525" w14:cap="rnd" w14:cmpd="sng" w14:algn="ctr">
                  <w14:noFill/>
                  <w14:prstDash w14:val="solid"/>
                  <w14:bevel/>
                </w14:textOutline>
              </w:rPr>
              <w:t>21</w:t>
            </w:r>
            <w:r w:rsidR="00C177E7" w:rsidRPr="00630B23">
              <w:rPr>
                <w:rFonts w:ascii="Arial" w:hAnsi="Arial" w:cs="Arial"/>
                <w:noProof/>
                <w:webHidden/>
                <w:sz w:val="18"/>
                <w:szCs w:val="18"/>
                <w14:textOutline w14:w="9525" w14:cap="rnd" w14:cmpd="sng" w14:algn="ctr">
                  <w14:noFill/>
                  <w14:prstDash w14:val="solid"/>
                  <w14:bevel/>
                </w14:textOutline>
              </w:rPr>
              <w:fldChar w:fldCharType="end"/>
            </w:r>
          </w:hyperlink>
        </w:p>
        <w:p w14:paraId="4B0AD1C6" w14:textId="77777777" w:rsidR="00C177E7" w:rsidRPr="00630B23" w:rsidRDefault="00D05364">
          <w:pPr>
            <w:pStyle w:val="TOC2"/>
            <w:tabs>
              <w:tab w:val="right" w:leader="dot" w:pos="9350"/>
            </w:tabs>
            <w:rPr>
              <w:rFonts w:ascii="Arial" w:hAnsi="Arial" w:cs="Arial"/>
              <w:noProof/>
              <w:sz w:val="18"/>
              <w:szCs w:val="18"/>
              <w14:textOutline w14:w="9525" w14:cap="rnd" w14:cmpd="sng" w14:algn="ctr">
                <w14:noFill/>
                <w14:prstDash w14:val="solid"/>
                <w14:bevel/>
              </w14:textOutline>
            </w:rPr>
          </w:pPr>
          <w:hyperlink w:anchor="_Toc371338279" w:history="1">
            <w:r w:rsidR="00C177E7" w:rsidRPr="00630B23">
              <w:rPr>
                <w:rStyle w:val="Hyperlink"/>
                <w:rFonts w:ascii="Arial" w:hAnsi="Arial" w:cs="Arial"/>
                <w:noProof/>
                <w:color w:val="auto"/>
                <w:sz w:val="18"/>
                <w:szCs w:val="18"/>
                <w:lang w:val="mn-MN" w:eastAsia="ko-KR"/>
                <w14:textOutline w14:w="9525" w14:cap="rnd" w14:cmpd="sng" w14:algn="ctr">
                  <w14:noFill/>
                  <w14:prstDash w14:val="solid"/>
                  <w14:bevel/>
                </w14:textOutline>
              </w:rPr>
              <w:t>Төсвийн байдал болон хэтийн төлөв</w:t>
            </w:r>
            <w:r w:rsidR="00C177E7" w:rsidRPr="00630B23">
              <w:rPr>
                <w:rFonts w:ascii="Arial" w:hAnsi="Arial" w:cs="Arial"/>
                <w:noProof/>
                <w:webHidden/>
                <w:sz w:val="18"/>
                <w:szCs w:val="18"/>
                <w14:textOutline w14:w="9525" w14:cap="rnd" w14:cmpd="sng" w14:algn="ctr">
                  <w14:noFill/>
                  <w14:prstDash w14:val="solid"/>
                  <w14:bevel/>
                </w14:textOutline>
              </w:rPr>
              <w:tab/>
            </w:r>
            <w:r w:rsidR="00C177E7" w:rsidRPr="00630B23">
              <w:rPr>
                <w:rFonts w:ascii="Arial" w:hAnsi="Arial" w:cs="Arial"/>
                <w:noProof/>
                <w:webHidden/>
                <w:sz w:val="18"/>
                <w:szCs w:val="18"/>
                <w14:textOutline w14:w="9525" w14:cap="rnd" w14:cmpd="sng" w14:algn="ctr">
                  <w14:noFill/>
                  <w14:prstDash w14:val="solid"/>
                  <w14:bevel/>
                </w14:textOutline>
              </w:rPr>
              <w:fldChar w:fldCharType="begin"/>
            </w:r>
            <w:r w:rsidR="00C177E7" w:rsidRPr="00630B23">
              <w:rPr>
                <w:rFonts w:ascii="Arial" w:hAnsi="Arial" w:cs="Arial"/>
                <w:noProof/>
                <w:webHidden/>
                <w:sz w:val="18"/>
                <w:szCs w:val="18"/>
                <w14:textOutline w14:w="9525" w14:cap="rnd" w14:cmpd="sng" w14:algn="ctr">
                  <w14:noFill/>
                  <w14:prstDash w14:val="solid"/>
                  <w14:bevel/>
                </w14:textOutline>
              </w:rPr>
              <w:instrText xml:space="preserve"> PAGEREF _Toc371338279 \h </w:instrText>
            </w:r>
            <w:r w:rsidR="00C177E7" w:rsidRPr="00630B23">
              <w:rPr>
                <w:rFonts w:ascii="Arial" w:hAnsi="Arial" w:cs="Arial"/>
                <w:noProof/>
                <w:webHidden/>
                <w:sz w:val="18"/>
                <w:szCs w:val="18"/>
                <w14:textOutline w14:w="9525" w14:cap="rnd" w14:cmpd="sng" w14:algn="ctr">
                  <w14:noFill/>
                  <w14:prstDash w14:val="solid"/>
                  <w14:bevel/>
                </w14:textOutline>
              </w:rPr>
            </w:r>
            <w:r w:rsidR="00C177E7" w:rsidRPr="00630B23">
              <w:rPr>
                <w:rFonts w:ascii="Arial" w:hAnsi="Arial" w:cs="Arial"/>
                <w:noProof/>
                <w:webHidden/>
                <w:sz w:val="18"/>
                <w:szCs w:val="18"/>
                <w14:textOutline w14:w="9525" w14:cap="rnd" w14:cmpd="sng" w14:algn="ctr">
                  <w14:noFill/>
                  <w14:prstDash w14:val="solid"/>
                  <w14:bevel/>
                </w14:textOutline>
              </w:rPr>
              <w:fldChar w:fldCharType="separate"/>
            </w:r>
            <w:r w:rsidR="00C177E7" w:rsidRPr="00630B23">
              <w:rPr>
                <w:rFonts w:ascii="Arial" w:hAnsi="Arial" w:cs="Arial"/>
                <w:noProof/>
                <w:webHidden/>
                <w:sz w:val="18"/>
                <w:szCs w:val="18"/>
                <w14:textOutline w14:w="9525" w14:cap="rnd" w14:cmpd="sng" w14:algn="ctr">
                  <w14:noFill/>
                  <w14:prstDash w14:val="solid"/>
                  <w14:bevel/>
                </w14:textOutline>
              </w:rPr>
              <w:t>24</w:t>
            </w:r>
            <w:r w:rsidR="00C177E7" w:rsidRPr="00630B23">
              <w:rPr>
                <w:rFonts w:ascii="Arial" w:hAnsi="Arial" w:cs="Arial"/>
                <w:noProof/>
                <w:webHidden/>
                <w:sz w:val="18"/>
                <w:szCs w:val="18"/>
                <w14:textOutline w14:w="9525" w14:cap="rnd" w14:cmpd="sng" w14:algn="ctr">
                  <w14:noFill/>
                  <w14:prstDash w14:val="solid"/>
                  <w14:bevel/>
                </w14:textOutline>
              </w:rPr>
              <w:fldChar w:fldCharType="end"/>
            </w:r>
          </w:hyperlink>
        </w:p>
        <w:p w14:paraId="791E85F2" w14:textId="77777777" w:rsidR="00C177E7" w:rsidRPr="00630B23" w:rsidRDefault="00D05364">
          <w:pPr>
            <w:pStyle w:val="TOC2"/>
            <w:tabs>
              <w:tab w:val="right" w:leader="dot" w:pos="9350"/>
            </w:tabs>
            <w:rPr>
              <w:rFonts w:ascii="Arial" w:hAnsi="Arial" w:cs="Arial"/>
              <w:noProof/>
              <w:sz w:val="18"/>
              <w:szCs w:val="18"/>
              <w14:textOutline w14:w="9525" w14:cap="rnd" w14:cmpd="sng" w14:algn="ctr">
                <w14:noFill/>
                <w14:prstDash w14:val="solid"/>
                <w14:bevel/>
              </w14:textOutline>
            </w:rPr>
          </w:pPr>
          <w:hyperlink w:anchor="_Toc371338280" w:history="1">
            <w:r w:rsidR="00C177E7" w:rsidRPr="00630B23">
              <w:rPr>
                <w:rStyle w:val="Hyperlink"/>
                <w:rFonts w:ascii="Arial" w:hAnsi="Arial" w:cs="Arial"/>
                <w:noProof/>
                <w:color w:val="auto"/>
                <w:sz w:val="18"/>
                <w:szCs w:val="18"/>
                <w:lang w:val="mn-MN" w:eastAsia="ko-KR"/>
                <w14:textOutline w14:w="9525" w14:cap="rnd" w14:cmpd="sng" w14:algn="ctr">
                  <w14:noFill/>
                  <w14:prstDash w14:val="solid"/>
                  <w14:bevel/>
                </w14:textOutline>
              </w:rPr>
              <w:t>Мөнгөний болон банкны салбар</w:t>
            </w:r>
            <w:r w:rsidR="00C177E7" w:rsidRPr="00630B23">
              <w:rPr>
                <w:rFonts w:ascii="Arial" w:hAnsi="Arial" w:cs="Arial"/>
                <w:noProof/>
                <w:webHidden/>
                <w:sz w:val="18"/>
                <w:szCs w:val="18"/>
                <w14:textOutline w14:w="9525" w14:cap="rnd" w14:cmpd="sng" w14:algn="ctr">
                  <w14:noFill/>
                  <w14:prstDash w14:val="solid"/>
                  <w14:bevel/>
                </w14:textOutline>
              </w:rPr>
              <w:tab/>
            </w:r>
            <w:r w:rsidR="00C177E7" w:rsidRPr="00630B23">
              <w:rPr>
                <w:rFonts w:ascii="Arial" w:hAnsi="Arial" w:cs="Arial"/>
                <w:noProof/>
                <w:webHidden/>
                <w:sz w:val="18"/>
                <w:szCs w:val="18"/>
                <w14:textOutline w14:w="9525" w14:cap="rnd" w14:cmpd="sng" w14:algn="ctr">
                  <w14:noFill/>
                  <w14:prstDash w14:val="solid"/>
                  <w14:bevel/>
                </w14:textOutline>
              </w:rPr>
              <w:fldChar w:fldCharType="begin"/>
            </w:r>
            <w:r w:rsidR="00C177E7" w:rsidRPr="00630B23">
              <w:rPr>
                <w:rFonts w:ascii="Arial" w:hAnsi="Arial" w:cs="Arial"/>
                <w:noProof/>
                <w:webHidden/>
                <w:sz w:val="18"/>
                <w:szCs w:val="18"/>
                <w14:textOutline w14:w="9525" w14:cap="rnd" w14:cmpd="sng" w14:algn="ctr">
                  <w14:noFill/>
                  <w14:prstDash w14:val="solid"/>
                  <w14:bevel/>
                </w14:textOutline>
              </w:rPr>
              <w:instrText xml:space="preserve"> PAGEREF _Toc371338280 \h </w:instrText>
            </w:r>
            <w:r w:rsidR="00C177E7" w:rsidRPr="00630B23">
              <w:rPr>
                <w:rFonts w:ascii="Arial" w:hAnsi="Arial" w:cs="Arial"/>
                <w:noProof/>
                <w:webHidden/>
                <w:sz w:val="18"/>
                <w:szCs w:val="18"/>
                <w14:textOutline w14:w="9525" w14:cap="rnd" w14:cmpd="sng" w14:algn="ctr">
                  <w14:noFill/>
                  <w14:prstDash w14:val="solid"/>
                  <w14:bevel/>
                </w14:textOutline>
              </w:rPr>
            </w:r>
            <w:r w:rsidR="00C177E7" w:rsidRPr="00630B23">
              <w:rPr>
                <w:rFonts w:ascii="Arial" w:hAnsi="Arial" w:cs="Arial"/>
                <w:noProof/>
                <w:webHidden/>
                <w:sz w:val="18"/>
                <w:szCs w:val="18"/>
                <w14:textOutline w14:w="9525" w14:cap="rnd" w14:cmpd="sng" w14:algn="ctr">
                  <w14:noFill/>
                  <w14:prstDash w14:val="solid"/>
                  <w14:bevel/>
                </w14:textOutline>
              </w:rPr>
              <w:fldChar w:fldCharType="separate"/>
            </w:r>
            <w:r w:rsidR="00C177E7" w:rsidRPr="00630B23">
              <w:rPr>
                <w:rFonts w:ascii="Arial" w:hAnsi="Arial" w:cs="Arial"/>
                <w:noProof/>
                <w:webHidden/>
                <w:sz w:val="18"/>
                <w:szCs w:val="18"/>
                <w14:textOutline w14:w="9525" w14:cap="rnd" w14:cmpd="sng" w14:algn="ctr">
                  <w14:noFill/>
                  <w14:prstDash w14:val="solid"/>
                  <w14:bevel/>
                </w14:textOutline>
              </w:rPr>
              <w:t>31</w:t>
            </w:r>
            <w:r w:rsidR="00C177E7" w:rsidRPr="00630B23">
              <w:rPr>
                <w:rFonts w:ascii="Arial" w:hAnsi="Arial" w:cs="Arial"/>
                <w:noProof/>
                <w:webHidden/>
                <w:sz w:val="18"/>
                <w:szCs w:val="18"/>
                <w14:textOutline w14:w="9525" w14:cap="rnd" w14:cmpd="sng" w14:algn="ctr">
                  <w14:noFill/>
                  <w14:prstDash w14:val="solid"/>
                  <w14:bevel/>
                </w14:textOutline>
              </w:rPr>
              <w:fldChar w:fldCharType="end"/>
            </w:r>
          </w:hyperlink>
        </w:p>
        <w:p w14:paraId="2305A022" w14:textId="77777777" w:rsidR="00C177E7" w:rsidRPr="00630B23" w:rsidRDefault="00D05364">
          <w:pPr>
            <w:pStyle w:val="TOC2"/>
            <w:tabs>
              <w:tab w:val="right" w:leader="dot" w:pos="9350"/>
            </w:tabs>
            <w:rPr>
              <w:rFonts w:ascii="Arial" w:hAnsi="Arial" w:cs="Arial"/>
              <w:noProof/>
              <w:sz w:val="18"/>
              <w:szCs w:val="18"/>
              <w14:textOutline w14:w="9525" w14:cap="rnd" w14:cmpd="sng" w14:algn="ctr">
                <w14:noFill/>
                <w14:prstDash w14:val="solid"/>
                <w14:bevel/>
              </w14:textOutline>
            </w:rPr>
          </w:pPr>
          <w:hyperlink w:anchor="_Toc371338281" w:history="1">
            <w:r w:rsidR="00C177E7" w:rsidRPr="00630B23">
              <w:rPr>
                <w:rStyle w:val="Hyperlink"/>
                <w:rFonts w:ascii="Arial" w:hAnsi="Arial" w:cs="Arial"/>
                <w:noProof/>
                <w:color w:val="auto"/>
                <w:sz w:val="18"/>
                <w:szCs w:val="18"/>
                <w:lang w:val="mn-MN" w:eastAsia="ko-KR"/>
                <w14:textOutline w14:w="9525" w14:cap="rnd" w14:cmpd="sng" w14:algn="ctr">
                  <w14:noFill/>
                  <w14:prstDash w14:val="solid"/>
                  <w14:bevel/>
                </w14:textOutline>
              </w:rPr>
              <w:t>Гадаад салбар</w:t>
            </w:r>
            <w:r w:rsidR="00C177E7" w:rsidRPr="00630B23">
              <w:rPr>
                <w:rFonts w:ascii="Arial" w:hAnsi="Arial" w:cs="Arial"/>
                <w:noProof/>
                <w:webHidden/>
                <w:sz w:val="18"/>
                <w:szCs w:val="18"/>
                <w14:textOutline w14:w="9525" w14:cap="rnd" w14:cmpd="sng" w14:algn="ctr">
                  <w14:noFill/>
                  <w14:prstDash w14:val="solid"/>
                  <w14:bevel/>
                </w14:textOutline>
              </w:rPr>
              <w:tab/>
            </w:r>
            <w:r w:rsidR="00C177E7" w:rsidRPr="00630B23">
              <w:rPr>
                <w:rFonts w:ascii="Arial" w:hAnsi="Arial" w:cs="Arial"/>
                <w:noProof/>
                <w:webHidden/>
                <w:sz w:val="18"/>
                <w:szCs w:val="18"/>
                <w14:textOutline w14:w="9525" w14:cap="rnd" w14:cmpd="sng" w14:algn="ctr">
                  <w14:noFill/>
                  <w14:prstDash w14:val="solid"/>
                  <w14:bevel/>
                </w14:textOutline>
              </w:rPr>
              <w:fldChar w:fldCharType="begin"/>
            </w:r>
            <w:r w:rsidR="00C177E7" w:rsidRPr="00630B23">
              <w:rPr>
                <w:rFonts w:ascii="Arial" w:hAnsi="Arial" w:cs="Arial"/>
                <w:noProof/>
                <w:webHidden/>
                <w:sz w:val="18"/>
                <w:szCs w:val="18"/>
                <w14:textOutline w14:w="9525" w14:cap="rnd" w14:cmpd="sng" w14:algn="ctr">
                  <w14:noFill/>
                  <w14:prstDash w14:val="solid"/>
                  <w14:bevel/>
                </w14:textOutline>
              </w:rPr>
              <w:instrText xml:space="preserve"> PAGEREF _Toc371338281 \h </w:instrText>
            </w:r>
            <w:r w:rsidR="00C177E7" w:rsidRPr="00630B23">
              <w:rPr>
                <w:rFonts w:ascii="Arial" w:hAnsi="Arial" w:cs="Arial"/>
                <w:noProof/>
                <w:webHidden/>
                <w:sz w:val="18"/>
                <w:szCs w:val="18"/>
                <w14:textOutline w14:w="9525" w14:cap="rnd" w14:cmpd="sng" w14:algn="ctr">
                  <w14:noFill/>
                  <w14:prstDash w14:val="solid"/>
                  <w14:bevel/>
                </w14:textOutline>
              </w:rPr>
            </w:r>
            <w:r w:rsidR="00C177E7" w:rsidRPr="00630B23">
              <w:rPr>
                <w:rFonts w:ascii="Arial" w:hAnsi="Arial" w:cs="Arial"/>
                <w:noProof/>
                <w:webHidden/>
                <w:sz w:val="18"/>
                <w:szCs w:val="18"/>
                <w14:textOutline w14:w="9525" w14:cap="rnd" w14:cmpd="sng" w14:algn="ctr">
                  <w14:noFill/>
                  <w14:prstDash w14:val="solid"/>
                  <w14:bevel/>
                </w14:textOutline>
              </w:rPr>
              <w:fldChar w:fldCharType="separate"/>
            </w:r>
            <w:r w:rsidR="00C177E7" w:rsidRPr="00630B23">
              <w:rPr>
                <w:rFonts w:ascii="Arial" w:hAnsi="Arial" w:cs="Arial"/>
                <w:noProof/>
                <w:webHidden/>
                <w:sz w:val="18"/>
                <w:szCs w:val="18"/>
                <w14:textOutline w14:w="9525" w14:cap="rnd" w14:cmpd="sng" w14:algn="ctr">
                  <w14:noFill/>
                  <w14:prstDash w14:val="solid"/>
                  <w14:bevel/>
                </w14:textOutline>
              </w:rPr>
              <w:t>40</w:t>
            </w:r>
            <w:r w:rsidR="00C177E7" w:rsidRPr="00630B23">
              <w:rPr>
                <w:rFonts w:ascii="Arial" w:hAnsi="Arial" w:cs="Arial"/>
                <w:noProof/>
                <w:webHidden/>
                <w:sz w:val="18"/>
                <w:szCs w:val="18"/>
                <w14:textOutline w14:w="9525" w14:cap="rnd" w14:cmpd="sng" w14:algn="ctr">
                  <w14:noFill/>
                  <w14:prstDash w14:val="solid"/>
                  <w14:bevel/>
                </w14:textOutline>
              </w:rPr>
              <w:fldChar w:fldCharType="end"/>
            </w:r>
          </w:hyperlink>
        </w:p>
        <w:p w14:paraId="29DCFE90" w14:textId="77777777" w:rsidR="00C177E7" w:rsidRPr="00630B23" w:rsidRDefault="00D05364" w:rsidP="00630B23">
          <w:pPr>
            <w:pStyle w:val="TOC2"/>
            <w:tabs>
              <w:tab w:val="right" w:leader="dot" w:pos="9350"/>
            </w:tabs>
            <w:ind w:left="0"/>
            <w:rPr>
              <w:rFonts w:ascii="Arial" w:hAnsi="Arial" w:cs="Arial"/>
              <w:noProof/>
              <w:sz w:val="18"/>
              <w:szCs w:val="18"/>
              <w14:textOutline w14:w="9525" w14:cap="rnd" w14:cmpd="sng" w14:algn="ctr">
                <w14:noFill/>
                <w14:prstDash w14:val="solid"/>
                <w14:bevel/>
              </w14:textOutline>
            </w:rPr>
          </w:pPr>
          <w:hyperlink w:anchor="_Toc371338282" w:history="1">
            <w:r w:rsidR="00C177E7" w:rsidRPr="00630B23">
              <w:rPr>
                <w:rStyle w:val="Hyperlink"/>
                <w:rFonts w:ascii="Arial" w:hAnsi="Arial" w:cs="Arial"/>
                <w:noProof/>
                <w:color w:val="auto"/>
                <w:sz w:val="18"/>
                <w:szCs w:val="18"/>
                <w:lang w:val="mn-MN"/>
                <w14:textOutline w14:w="9525" w14:cap="rnd" w14:cmpd="sng" w14:algn="ctr">
                  <w14:noFill/>
                  <w14:prstDash w14:val="solid"/>
                  <w14:bevel/>
                </w14:textOutline>
              </w:rPr>
              <w:t>Бүлэг</w:t>
            </w:r>
            <w:r w:rsidR="00C177E7" w:rsidRPr="00630B23">
              <w:rPr>
                <w:rStyle w:val="Hyperlink"/>
                <w:rFonts w:ascii="Arial" w:hAnsi="Arial" w:cs="Arial"/>
                <w:noProof/>
                <w:color w:val="auto"/>
                <w:sz w:val="18"/>
                <w:szCs w:val="18"/>
                <w14:textOutline w14:w="9525" w14:cap="rnd" w14:cmpd="sng" w14:algn="ctr">
                  <w14:noFill/>
                  <w14:prstDash w14:val="solid"/>
                  <w14:bevel/>
                </w14:textOutline>
              </w:rPr>
              <w:t xml:space="preserve"> III. </w:t>
            </w:r>
            <w:r w:rsidR="00C177E7" w:rsidRPr="00630B23">
              <w:rPr>
                <w:rStyle w:val="Hyperlink"/>
                <w:rFonts w:ascii="Arial" w:hAnsi="Arial" w:cs="Arial"/>
                <w:noProof/>
                <w:color w:val="auto"/>
                <w:sz w:val="18"/>
                <w:szCs w:val="18"/>
                <w:lang w:val="mn-MN"/>
                <w14:textOutline w14:w="9525" w14:cap="rnd" w14:cmpd="sng" w14:algn="ctr">
                  <w14:noFill/>
                  <w14:prstDash w14:val="solid"/>
                  <w14:bevel/>
                </w14:textOutline>
              </w:rPr>
              <w:t>Эдийн засгийн хөгжлийн ерөнхий үнэлгээ болон бодлогын зөвлөмжүүд</w:t>
            </w:r>
            <w:r w:rsidR="00C177E7" w:rsidRPr="00630B23">
              <w:rPr>
                <w:rFonts w:ascii="Arial" w:hAnsi="Arial" w:cs="Arial"/>
                <w:noProof/>
                <w:webHidden/>
                <w:sz w:val="18"/>
                <w:szCs w:val="18"/>
                <w14:textOutline w14:w="9525" w14:cap="rnd" w14:cmpd="sng" w14:algn="ctr">
                  <w14:noFill/>
                  <w14:prstDash w14:val="solid"/>
                  <w14:bevel/>
                </w14:textOutline>
              </w:rPr>
              <w:tab/>
            </w:r>
            <w:r w:rsidR="00C177E7" w:rsidRPr="00630B23">
              <w:rPr>
                <w:rFonts w:ascii="Arial" w:hAnsi="Arial" w:cs="Arial"/>
                <w:noProof/>
                <w:webHidden/>
                <w:sz w:val="18"/>
                <w:szCs w:val="18"/>
                <w14:textOutline w14:w="9525" w14:cap="rnd" w14:cmpd="sng" w14:algn="ctr">
                  <w14:noFill/>
                  <w14:prstDash w14:val="solid"/>
                  <w14:bevel/>
                </w14:textOutline>
              </w:rPr>
              <w:fldChar w:fldCharType="begin"/>
            </w:r>
            <w:r w:rsidR="00C177E7" w:rsidRPr="00630B23">
              <w:rPr>
                <w:rFonts w:ascii="Arial" w:hAnsi="Arial" w:cs="Arial"/>
                <w:noProof/>
                <w:webHidden/>
                <w:sz w:val="18"/>
                <w:szCs w:val="18"/>
                <w14:textOutline w14:w="9525" w14:cap="rnd" w14:cmpd="sng" w14:algn="ctr">
                  <w14:noFill/>
                  <w14:prstDash w14:val="solid"/>
                  <w14:bevel/>
                </w14:textOutline>
              </w:rPr>
              <w:instrText xml:space="preserve"> PAGEREF _Toc371338282 \h </w:instrText>
            </w:r>
            <w:r w:rsidR="00C177E7" w:rsidRPr="00630B23">
              <w:rPr>
                <w:rFonts w:ascii="Arial" w:hAnsi="Arial" w:cs="Arial"/>
                <w:noProof/>
                <w:webHidden/>
                <w:sz w:val="18"/>
                <w:szCs w:val="18"/>
                <w14:textOutline w14:w="9525" w14:cap="rnd" w14:cmpd="sng" w14:algn="ctr">
                  <w14:noFill/>
                  <w14:prstDash w14:val="solid"/>
                  <w14:bevel/>
                </w14:textOutline>
              </w:rPr>
            </w:r>
            <w:r w:rsidR="00C177E7" w:rsidRPr="00630B23">
              <w:rPr>
                <w:rFonts w:ascii="Arial" w:hAnsi="Arial" w:cs="Arial"/>
                <w:noProof/>
                <w:webHidden/>
                <w:sz w:val="18"/>
                <w:szCs w:val="18"/>
                <w14:textOutline w14:w="9525" w14:cap="rnd" w14:cmpd="sng" w14:algn="ctr">
                  <w14:noFill/>
                  <w14:prstDash w14:val="solid"/>
                  <w14:bevel/>
                </w14:textOutline>
              </w:rPr>
              <w:fldChar w:fldCharType="separate"/>
            </w:r>
            <w:r w:rsidR="00C177E7" w:rsidRPr="00630B23">
              <w:rPr>
                <w:rFonts w:ascii="Arial" w:hAnsi="Arial" w:cs="Arial"/>
                <w:noProof/>
                <w:webHidden/>
                <w:sz w:val="18"/>
                <w:szCs w:val="18"/>
                <w14:textOutline w14:w="9525" w14:cap="rnd" w14:cmpd="sng" w14:algn="ctr">
                  <w14:noFill/>
                  <w14:prstDash w14:val="solid"/>
                  <w14:bevel/>
                </w14:textOutline>
              </w:rPr>
              <w:t>49</w:t>
            </w:r>
            <w:r w:rsidR="00C177E7" w:rsidRPr="00630B23">
              <w:rPr>
                <w:rFonts w:ascii="Arial" w:hAnsi="Arial" w:cs="Arial"/>
                <w:noProof/>
                <w:webHidden/>
                <w:sz w:val="18"/>
                <w:szCs w:val="18"/>
                <w14:textOutline w14:w="9525" w14:cap="rnd" w14:cmpd="sng" w14:algn="ctr">
                  <w14:noFill/>
                  <w14:prstDash w14:val="solid"/>
                  <w14:bevel/>
                </w14:textOutline>
              </w:rPr>
              <w:fldChar w:fldCharType="end"/>
            </w:r>
          </w:hyperlink>
        </w:p>
        <w:p w14:paraId="1E1E955C" w14:textId="77777777" w:rsidR="00C177E7" w:rsidRDefault="00D05364">
          <w:pPr>
            <w:pStyle w:val="TOC1"/>
            <w:rPr>
              <w:noProof/>
              <w:sz w:val="22"/>
            </w:rPr>
          </w:pPr>
          <w:hyperlink w:anchor="_Toc371338283" w:history="1">
            <w:r w:rsidR="00C177E7" w:rsidRPr="00630B23">
              <w:rPr>
                <w:rStyle w:val="Hyperlink"/>
                <w:rFonts w:ascii="Arial" w:hAnsi="Arial" w:cs="Arial"/>
                <w:noProof/>
                <w:color w:val="auto"/>
                <w:sz w:val="18"/>
                <w:szCs w:val="18"/>
                <w:lang w:val="mn-MN"/>
                <w14:textOutline w14:w="6350" w14:cap="flat" w14:cmpd="sng" w14:algn="ctr">
                  <w14:noFill/>
                  <w14:prstDash w14:val="solid"/>
                  <w14:round/>
                </w14:textOutline>
              </w:rPr>
              <w:t>Эдийн засгийн гол үзүүлэлтүүд</w:t>
            </w:r>
            <w:r w:rsidR="00C177E7" w:rsidRPr="00630B23">
              <w:rPr>
                <w:rFonts w:ascii="Arial" w:hAnsi="Arial" w:cs="Arial"/>
                <w:noProof/>
                <w:webHidden/>
                <w:sz w:val="18"/>
                <w:szCs w:val="18"/>
                <w14:textOutline w14:w="9525" w14:cap="rnd" w14:cmpd="sng" w14:algn="ctr">
                  <w14:noFill/>
                  <w14:prstDash w14:val="solid"/>
                  <w14:bevel/>
                </w14:textOutline>
              </w:rPr>
              <w:tab/>
            </w:r>
            <w:r w:rsidR="00C177E7" w:rsidRPr="00630B23">
              <w:rPr>
                <w:rFonts w:ascii="Arial" w:hAnsi="Arial" w:cs="Arial"/>
                <w:noProof/>
                <w:webHidden/>
                <w:sz w:val="18"/>
                <w:szCs w:val="18"/>
                <w14:textOutline w14:w="9525" w14:cap="rnd" w14:cmpd="sng" w14:algn="ctr">
                  <w14:noFill/>
                  <w14:prstDash w14:val="solid"/>
                  <w14:bevel/>
                </w14:textOutline>
              </w:rPr>
              <w:fldChar w:fldCharType="begin"/>
            </w:r>
            <w:r w:rsidR="00C177E7" w:rsidRPr="00630B23">
              <w:rPr>
                <w:rFonts w:ascii="Arial" w:hAnsi="Arial" w:cs="Arial"/>
                <w:noProof/>
                <w:webHidden/>
                <w:sz w:val="18"/>
                <w:szCs w:val="18"/>
                <w14:textOutline w14:w="9525" w14:cap="rnd" w14:cmpd="sng" w14:algn="ctr">
                  <w14:noFill/>
                  <w14:prstDash w14:val="solid"/>
                  <w14:bevel/>
                </w14:textOutline>
              </w:rPr>
              <w:instrText xml:space="preserve"> PAGEREF _Toc371338283 \h </w:instrText>
            </w:r>
            <w:r w:rsidR="00C177E7" w:rsidRPr="00630B23">
              <w:rPr>
                <w:rFonts w:ascii="Arial" w:hAnsi="Arial" w:cs="Arial"/>
                <w:noProof/>
                <w:webHidden/>
                <w:sz w:val="18"/>
                <w:szCs w:val="18"/>
                <w14:textOutline w14:w="9525" w14:cap="rnd" w14:cmpd="sng" w14:algn="ctr">
                  <w14:noFill/>
                  <w14:prstDash w14:val="solid"/>
                  <w14:bevel/>
                </w14:textOutline>
              </w:rPr>
            </w:r>
            <w:r w:rsidR="00C177E7" w:rsidRPr="00630B23">
              <w:rPr>
                <w:rFonts w:ascii="Arial" w:hAnsi="Arial" w:cs="Arial"/>
                <w:noProof/>
                <w:webHidden/>
                <w:sz w:val="18"/>
                <w:szCs w:val="18"/>
                <w14:textOutline w14:w="9525" w14:cap="rnd" w14:cmpd="sng" w14:algn="ctr">
                  <w14:noFill/>
                  <w14:prstDash w14:val="solid"/>
                  <w14:bevel/>
                </w14:textOutline>
              </w:rPr>
              <w:fldChar w:fldCharType="separate"/>
            </w:r>
            <w:r w:rsidR="00C177E7" w:rsidRPr="00630B23">
              <w:rPr>
                <w:rFonts w:ascii="Arial" w:hAnsi="Arial" w:cs="Arial"/>
                <w:noProof/>
                <w:webHidden/>
                <w:sz w:val="18"/>
                <w:szCs w:val="18"/>
                <w14:textOutline w14:w="9525" w14:cap="rnd" w14:cmpd="sng" w14:algn="ctr">
                  <w14:noFill/>
                  <w14:prstDash w14:val="solid"/>
                  <w14:bevel/>
                </w14:textOutline>
              </w:rPr>
              <w:t>58</w:t>
            </w:r>
            <w:r w:rsidR="00C177E7" w:rsidRPr="00630B23">
              <w:rPr>
                <w:rFonts w:ascii="Arial" w:hAnsi="Arial" w:cs="Arial"/>
                <w:noProof/>
                <w:webHidden/>
                <w:sz w:val="18"/>
                <w:szCs w:val="18"/>
                <w14:textOutline w14:w="9525" w14:cap="rnd" w14:cmpd="sng" w14:algn="ctr">
                  <w14:noFill/>
                  <w14:prstDash w14:val="solid"/>
                  <w14:bevel/>
                </w14:textOutline>
              </w:rPr>
              <w:fldChar w:fldCharType="end"/>
            </w:r>
          </w:hyperlink>
        </w:p>
        <w:p w14:paraId="043962EF" w14:textId="02AFE8B2" w:rsidR="000F6650" w:rsidRDefault="000F6650">
          <w:r>
            <w:rPr>
              <w:b/>
              <w:bCs/>
              <w:noProof/>
            </w:rPr>
            <w:fldChar w:fldCharType="end"/>
          </w:r>
        </w:p>
      </w:sdtContent>
    </w:sdt>
    <w:p w14:paraId="113E50DB" w14:textId="0B221062" w:rsidR="001502FE" w:rsidRPr="00660167" w:rsidRDefault="007716DC">
      <w:pPr>
        <w:spacing w:before="120" w:after="0"/>
        <w:jc w:val="center"/>
        <w:rPr>
          <w:rFonts w:cstheme="minorHAnsi"/>
          <w:b/>
          <w:color w:val="0070C0"/>
          <w:sz w:val="24"/>
          <w:szCs w:val="20"/>
          <w:lang w:val="mn-MN" w:eastAsia="ko-KR"/>
        </w:rPr>
      </w:pPr>
      <w:r>
        <w:rPr>
          <w:rFonts w:cstheme="minorHAnsi"/>
          <w:b/>
          <w:color w:val="0070C0"/>
          <w:sz w:val="24"/>
          <w:szCs w:val="20"/>
          <w:lang w:val="mn-MN" w:eastAsia="ko-KR"/>
        </w:rPr>
        <w:t>Зураг</w:t>
      </w:r>
    </w:p>
    <w:p w14:paraId="72A69717" w14:textId="77FB87C1" w:rsidR="001D0088" w:rsidRPr="00660167" w:rsidRDefault="001D0088" w:rsidP="00660167">
      <w:pPr>
        <w:spacing w:before="120" w:after="0"/>
        <w:jc w:val="both"/>
        <w:rPr>
          <w:rFonts w:cstheme="minorHAnsi"/>
          <w:b/>
          <w:color w:val="0070C0"/>
          <w:sz w:val="16"/>
          <w:szCs w:val="16"/>
          <w:lang w:eastAsia="ko-KR"/>
        </w:rPr>
      </w:pPr>
    </w:p>
    <w:p w14:paraId="0B2CF90E" w14:textId="77777777" w:rsidR="00991996" w:rsidRPr="00630B23" w:rsidRDefault="00492FC3" w:rsidP="00630B23">
      <w:pPr>
        <w:pStyle w:val="TableofFigures"/>
        <w:tabs>
          <w:tab w:val="right" w:leader="dot" w:pos="9350"/>
        </w:tabs>
        <w:jc w:val="both"/>
        <w:rPr>
          <w:rFonts w:ascii="Arial" w:hAnsi="Arial" w:cs="Arial"/>
          <w:noProof/>
          <w:sz w:val="18"/>
          <w:szCs w:val="18"/>
        </w:rPr>
      </w:pPr>
      <w:r w:rsidRPr="00630B23">
        <w:rPr>
          <w:rFonts w:ascii="Arial" w:hAnsi="Arial" w:cs="Arial"/>
          <w:b/>
          <w:color w:val="0070C0"/>
          <w:sz w:val="18"/>
          <w:szCs w:val="18"/>
          <w:lang w:eastAsia="ko-KR"/>
        </w:rPr>
        <w:fldChar w:fldCharType="begin"/>
      </w:r>
      <w:r w:rsidRPr="00630B23">
        <w:rPr>
          <w:rFonts w:ascii="Arial" w:hAnsi="Arial" w:cs="Arial"/>
          <w:b/>
          <w:color w:val="0070C0"/>
          <w:sz w:val="18"/>
          <w:szCs w:val="18"/>
          <w:lang w:eastAsia="ko-KR"/>
        </w:rPr>
        <w:instrText xml:space="preserve"> TOC \h \z \c "Figure" </w:instrText>
      </w:r>
      <w:r w:rsidRPr="00630B23">
        <w:rPr>
          <w:rFonts w:ascii="Arial" w:hAnsi="Arial" w:cs="Arial"/>
          <w:b/>
          <w:color w:val="0070C0"/>
          <w:sz w:val="18"/>
          <w:szCs w:val="18"/>
          <w:lang w:eastAsia="ko-KR"/>
        </w:rPr>
        <w:fldChar w:fldCharType="separate"/>
      </w:r>
      <w:hyperlink w:anchor="_Toc371338611" w:history="1">
        <w:r w:rsidR="00991996" w:rsidRPr="00630B23">
          <w:rPr>
            <w:rStyle w:val="Hyperlink"/>
            <w:rFonts w:ascii="Arial" w:hAnsi="Arial" w:cs="Arial"/>
            <w:noProof/>
            <w:sz w:val="18"/>
            <w:szCs w:val="18"/>
            <w:lang w:val="mn-MN"/>
          </w:rPr>
          <w:t>Зураг</w:t>
        </w:r>
        <w:r w:rsidR="00991996" w:rsidRPr="00630B23">
          <w:rPr>
            <w:rStyle w:val="Hyperlink"/>
            <w:rFonts w:ascii="Arial" w:hAnsi="Arial" w:cs="Arial"/>
            <w:noProof/>
            <w:sz w:val="18"/>
            <w:szCs w:val="18"/>
          </w:rPr>
          <w:t xml:space="preserve"> 1. </w:t>
        </w:r>
        <w:r w:rsidR="00991996" w:rsidRPr="00630B23">
          <w:rPr>
            <w:rStyle w:val="Hyperlink"/>
            <w:rFonts w:ascii="Arial" w:hAnsi="Arial" w:cs="Arial"/>
            <w:noProof/>
            <w:sz w:val="18"/>
            <w:szCs w:val="18"/>
            <w:lang w:val="mn-MN"/>
          </w:rPr>
          <w:t>Голлох хөгжсөн орнуудад сэргэлт бий болж эхэллээ</w:t>
        </w:r>
        <w:r w:rsidR="00991996" w:rsidRPr="00630B23">
          <w:rPr>
            <w:rStyle w:val="Hyperlink"/>
            <w:rFonts w:ascii="Arial" w:hAnsi="Arial" w:cs="Arial"/>
            <w:noProof/>
            <w:sz w:val="18"/>
            <w:szCs w:val="18"/>
          </w:rPr>
          <w:t xml:space="preserve"> …</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_Toc371338611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8</w:t>
        </w:r>
        <w:r w:rsidR="00991996" w:rsidRPr="00630B23">
          <w:rPr>
            <w:rFonts w:ascii="Arial" w:hAnsi="Arial" w:cs="Arial"/>
            <w:noProof/>
            <w:webHidden/>
            <w:sz w:val="18"/>
            <w:szCs w:val="18"/>
          </w:rPr>
          <w:fldChar w:fldCharType="end"/>
        </w:r>
      </w:hyperlink>
    </w:p>
    <w:p w14:paraId="575B4F46" w14:textId="77777777" w:rsidR="00991996" w:rsidRPr="00630B23" w:rsidRDefault="00D05364" w:rsidP="00630B23">
      <w:pPr>
        <w:pStyle w:val="TableofFigures"/>
        <w:tabs>
          <w:tab w:val="right" w:leader="dot" w:pos="9350"/>
        </w:tabs>
        <w:jc w:val="both"/>
        <w:rPr>
          <w:rFonts w:ascii="Arial" w:hAnsi="Arial" w:cs="Arial"/>
          <w:noProof/>
          <w:sz w:val="18"/>
          <w:szCs w:val="18"/>
        </w:rPr>
      </w:pPr>
      <w:hyperlink w:anchor="_Toc371338612" w:history="1">
        <w:r w:rsidR="00991996" w:rsidRPr="00630B23">
          <w:rPr>
            <w:rStyle w:val="Hyperlink"/>
            <w:rFonts w:ascii="Arial" w:hAnsi="Arial" w:cs="Arial"/>
            <w:noProof/>
            <w:sz w:val="18"/>
            <w:szCs w:val="18"/>
            <w:lang w:val="mn-MN"/>
          </w:rPr>
          <w:t>Зураг</w:t>
        </w:r>
        <w:r w:rsidR="00991996" w:rsidRPr="00630B23">
          <w:rPr>
            <w:rStyle w:val="Hyperlink"/>
            <w:rFonts w:ascii="Arial" w:hAnsi="Arial" w:cs="Arial"/>
            <w:noProof/>
            <w:sz w:val="18"/>
            <w:szCs w:val="18"/>
          </w:rPr>
          <w:t xml:space="preserve"> 2. … </w:t>
        </w:r>
        <w:r w:rsidR="00991996" w:rsidRPr="00630B23">
          <w:rPr>
            <w:rStyle w:val="Hyperlink"/>
            <w:rFonts w:ascii="Arial" w:hAnsi="Arial" w:cs="Arial"/>
            <w:noProof/>
            <w:sz w:val="18"/>
            <w:szCs w:val="18"/>
            <w:lang w:val="mn-MN"/>
          </w:rPr>
          <w:t>хөгжиж буй орнуудад ч мөн адил</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_Toc371338612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8</w:t>
        </w:r>
        <w:r w:rsidR="00991996" w:rsidRPr="00630B23">
          <w:rPr>
            <w:rFonts w:ascii="Arial" w:hAnsi="Arial" w:cs="Arial"/>
            <w:noProof/>
            <w:webHidden/>
            <w:sz w:val="18"/>
            <w:szCs w:val="18"/>
          </w:rPr>
          <w:fldChar w:fldCharType="end"/>
        </w:r>
      </w:hyperlink>
    </w:p>
    <w:p w14:paraId="64FD0B51" w14:textId="77777777" w:rsidR="00991996" w:rsidRPr="00630B23" w:rsidRDefault="00D05364" w:rsidP="00630B23">
      <w:pPr>
        <w:pStyle w:val="TableofFigures"/>
        <w:tabs>
          <w:tab w:val="right" w:leader="dot" w:pos="9350"/>
        </w:tabs>
        <w:jc w:val="both"/>
        <w:rPr>
          <w:rFonts w:ascii="Arial" w:hAnsi="Arial" w:cs="Arial"/>
          <w:noProof/>
          <w:sz w:val="18"/>
          <w:szCs w:val="18"/>
        </w:rPr>
      </w:pPr>
      <w:hyperlink w:anchor="_Toc371338613" w:history="1">
        <w:r w:rsidR="00991996" w:rsidRPr="00630B23">
          <w:rPr>
            <w:rStyle w:val="Hyperlink"/>
            <w:rFonts w:ascii="Arial" w:hAnsi="Arial" w:cs="Arial"/>
            <w:noProof/>
            <w:sz w:val="18"/>
            <w:szCs w:val="18"/>
            <w:lang w:val="mn-MN"/>
          </w:rPr>
          <w:t>Зураг</w:t>
        </w:r>
        <w:r w:rsidR="00991996" w:rsidRPr="00630B23">
          <w:rPr>
            <w:rStyle w:val="Hyperlink"/>
            <w:rFonts w:ascii="Arial" w:hAnsi="Arial" w:cs="Arial"/>
            <w:noProof/>
            <w:sz w:val="18"/>
            <w:szCs w:val="18"/>
          </w:rPr>
          <w:t xml:space="preserve"> 3. </w:t>
        </w:r>
        <w:r w:rsidR="00991996" w:rsidRPr="00630B23">
          <w:rPr>
            <w:rStyle w:val="Hyperlink"/>
            <w:rFonts w:ascii="Arial" w:hAnsi="Arial" w:cs="Arial"/>
            <w:noProof/>
            <w:sz w:val="18"/>
            <w:szCs w:val="18"/>
            <w:lang w:val="mn-MN"/>
          </w:rPr>
          <w:t>Тухайн бүс нутагт гол хөгжиж буй орнуудын өсөлт буурч байна</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_Toc371338613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9</w:t>
        </w:r>
        <w:r w:rsidR="00991996" w:rsidRPr="00630B23">
          <w:rPr>
            <w:rFonts w:ascii="Arial" w:hAnsi="Arial" w:cs="Arial"/>
            <w:noProof/>
            <w:webHidden/>
            <w:sz w:val="18"/>
            <w:szCs w:val="18"/>
          </w:rPr>
          <w:fldChar w:fldCharType="end"/>
        </w:r>
      </w:hyperlink>
    </w:p>
    <w:p w14:paraId="5AA808ED" w14:textId="77777777" w:rsidR="00991996" w:rsidRPr="00630B23" w:rsidRDefault="00D05364" w:rsidP="00630B23">
      <w:pPr>
        <w:pStyle w:val="TableofFigures"/>
        <w:tabs>
          <w:tab w:val="right" w:leader="dot" w:pos="9350"/>
        </w:tabs>
        <w:jc w:val="both"/>
        <w:rPr>
          <w:rFonts w:ascii="Arial" w:hAnsi="Arial" w:cs="Arial"/>
          <w:noProof/>
          <w:sz w:val="18"/>
          <w:szCs w:val="18"/>
        </w:rPr>
      </w:pPr>
      <w:hyperlink w:anchor="_Toc371338614" w:history="1">
        <w:r w:rsidR="00991996" w:rsidRPr="00630B23">
          <w:rPr>
            <w:rStyle w:val="Hyperlink"/>
            <w:rFonts w:ascii="Arial" w:hAnsi="Arial" w:cs="Arial"/>
            <w:noProof/>
            <w:sz w:val="18"/>
            <w:szCs w:val="18"/>
            <w:lang w:val="mn-MN"/>
          </w:rPr>
          <w:t>Зураг</w:t>
        </w:r>
        <w:r w:rsidR="00991996" w:rsidRPr="00630B23">
          <w:rPr>
            <w:rStyle w:val="Hyperlink"/>
            <w:rFonts w:ascii="Arial" w:hAnsi="Arial" w:cs="Arial"/>
            <w:noProof/>
            <w:sz w:val="18"/>
            <w:szCs w:val="18"/>
          </w:rPr>
          <w:t xml:space="preserve"> 4. </w:t>
        </w:r>
        <w:r w:rsidR="00991996" w:rsidRPr="00630B23">
          <w:rPr>
            <w:rStyle w:val="Hyperlink"/>
            <w:rFonts w:ascii="Arial" w:hAnsi="Arial" w:cs="Arial"/>
            <w:noProof/>
            <w:sz w:val="18"/>
            <w:szCs w:val="18"/>
            <w:lang w:val="mn-MN"/>
          </w:rPr>
          <w:t>Түүхий эдийн зах зээл сул байгаа нь тухайн бүс нутгийн байгалийн нөөц экспортлогч орнуудад хүнд тусч байна</w:t>
        </w:r>
        <w:r w:rsidR="00991996" w:rsidRPr="00630B23">
          <w:rPr>
            <w:rStyle w:val="Hyperlink"/>
            <w:rFonts w:ascii="Arial" w:hAnsi="Arial" w:cs="Arial"/>
            <w:noProof/>
            <w:sz w:val="18"/>
            <w:szCs w:val="18"/>
          </w:rPr>
          <w:t>.</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_Toc371338614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10</w:t>
        </w:r>
        <w:r w:rsidR="00991996" w:rsidRPr="00630B23">
          <w:rPr>
            <w:rFonts w:ascii="Arial" w:hAnsi="Arial" w:cs="Arial"/>
            <w:noProof/>
            <w:webHidden/>
            <w:sz w:val="18"/>
            <w:szCs w:val="18"/>
          </w:rPr>
          <w:fldChar w:fldCharType="end"/>
        </w:r>
      </w:hyperlink>
    </w:p>
    <w:p w14:paraId="7B6B5884" w14:textId="77777777" w:rsidR="00991996" w:rsidRPr="00630B23" w:rsidRDefault="00D05364" w:rsidP="00630B23">
      <w:pPr>
        <w:pStyle w:val="TableofFigures"/>
        <w:tabs>
          <w:tab w:val="right" w:leader="dot" w:pos="9350"/>
        </w:tabs>
        <w:jc w:val="both"/>
        <w:rPr>
          <w:rStyle w:val="Hyperlink"/>
          <w:rFonts w:ascii="Arial" w:hAnsi="Arial" w:cs="Arial"/>
          <w:noProof/>
          <w:sz w:val="18"/>
          <w:szCs w:val="18"/>
        </w:rPr>
      </w:pPr>
      <w:hyperlink w:anchor="_Toc371338615" w:history="1">
        <w:r w:rsidR="00991996" w:rsidRPr="00630B23">
          <w:rPr>
            <w:rStyle w:val="Hyperlink"/>
            <w:rFonts w:ascii="Arial" w:hAnsi="Arial" w:cs="Arial"/>
            <w:noProof/>
            <w:sz w:val="18"/>
            <w:szCs w:val="18"/>
            <w:lang w:val="mn-MN"/>
          </w:rPr>
          <w:t>Зураг</w:t>
        </w:r>
        <w:r w:rsidR="00991996" w:rsidRPr="00630B23">
          <w:rPr>
            <w:rStyle w:val="Hyperlink"/>
            <w:rFonts w:ascii="Arial" w:hAnsi="Arial" w:cs="Arial"/>
            <w:noProof/>
            <w:sz w:val="18"/>
            <w:szCs w:val="18"/>
          </w:rPr>
          <w:t xml:space="preserve"> 5.</w:t>
        </w:r>
        <w:r w:rsidR="00991996" w:rsidRPr="00630B23">
          <w:rPr>
            <w:rStyle w:val="Hyperlink"/>
            <w:rFonts w:ascii="Arial" w:hAnsi="Arial" w:cs="Arial"/>
            <w:noProof/>
            <w:sz w:val="18"/>
            <w:szCs w:val="18"/>
            <w:lang w:val="mn-MN"/>
          </w:rPr>
          <w:t xml:space="preserve"> Хятадын өсөлт удаашрахад Монгол болон Лаос улсууд хамгийн их өртөнө</w:t>
        </w:r>
        <w:r w:rsidR="00991996" w:rsidRPr="00630B23">
          <w:rPr>
            <w:rStyle w:val="Hyperlink"/>
            <w:rFonts w:ascii="Arial" w:hAnsi="Arial" w:cs="Arial"/>
            <w:noProof/>
            <w:sz w:val="18"/>
            <w:szCs w:val="18"/>
          </w:rPr>
          <w:t>.</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_Toc371338615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11</w:t>
        </w:r>
        <w:r w:rsidR="00991996" w:rsidRPr="00630B23">
          <w:rPr>
            <w:rFonts w:ascii="Arial" w:hAnsi="Arial" w:cs="Arial"/>
            <w:noProof/>
            <w:webHidden/>
            <w:sz w:val="18"/>
            <w:szCs w:val="18"/>
          </w:rPr>
          <w:fldChar w:fldCharType="end"/>
        </w:r>
      </w:hyperlink>
    </w:p>
    <w:p w14:paraId="44002C2A" w14:textId="6DEA2AD4" w:rsidR="00991996" w:rsidRPr="00630B23" w:rsidRDefault="00991996" w:rsidP="00630B23">
      <w:pPr>
        <w:pStyle w:val="TableofFigures"/>
        <w:tabs>
          <w:tab w:val="right" w:leader="dot" w:pos="9350"/>
        </w:tabs>
        <w:jc w:val="both"/>
        <w:rPr>
          <w:rStyle w:val="Hyperlink"/>
          <w:rFonts w:ascii="Arial" w:hAnsi="Arial" w:cs="Arial"/>
          <w:color w:val="auto"/>
          <w:sz w:val="18"/>
          <w:szCs w:val="18"/>
          <w:u w:val="none"/>
        </w:rPr>
      </w:pPr>
      <w:r w:rsidRPr="00630B23">
        <w:rPr>
          <w:rStyle w:val="Hyperlink"/>
          <w:rFonts w:ascii="Arial" w:hAnsi="Arial" w:cs="Arial"/>
          <w:noProof/>
          <w:color w:val="auto"/>
          <w:sz w:val="18"/>
          <w:szCs w:val="18"/>
          <w:u w:val="none"/>
        </w:rPr>
        <w:t xml:space="preserve">Зураг </w:t>
      </w:r>
      <w:r w:rsidRPr="00630B23">
        <w:rPr>
          <w:rStyle w:val="Hyperlink"/>
          <w:rFonts w:ascii="Arial" w:hAnsi="Arial" w:cs="Arial"/>
          <w:noProof/>
          <w:color w:val="auto"/>
          <w:sz w:val="18"/>
          <w:szCs w:val="18"/>
          <w:u w:val="none"/>
          <w:lang w:val="mn-MN"/>
        </w:rPr>
        <w:fldChar w:fldCharType="begin"/>
      </w:r>
      <w:r w:rsidRPr="00630B23">
        <w:rPr>
          <w:rStyle w:val="Hyperlink"/>
          <w:rFonts w:ascii="Arial" w:hAnsi="Arial" w:cs="Arial"/>
          <w:noProof/>
          <w:color w:val="auto"/>
          <w:sz w:val="18"/>
          <w:szCs w:val="18"/>
          <w:u w:val="none"/>
          <w:lang w:val="mn-MN"/>
        </w:rPr>
        <w:instrText xml:space="preserve"> SEQ Figure \* ARABIC </w:instrText>
      </w:r>
      <w:r w:rsidRPr="00630B23">
        <w:rPr>
          <w:rStyle w:val="Hyperlink"/>
          <w:rFonts w:ascii="Arial" w:hAnsi="Arial" w:cs="Arial"/>
          <w:noProof/>
          <w:color w:val="auto"/>
          <w:sz w:val="18"/>
          <w:szCs w:val="18"/>
          <w:u w:val="none"/>
          <w:lang w:val="mn-MN"/>
        </w:rPr>
        <w:fldChar w:fldCharType="separate"/>
      </w:r>
      <w:r w:rsidRPr="00630B23">
        <w:rPr>
          <w:rStyle w:val="Hyperlink"/>
          <w:rFonts w:ascii="Arial" w:hAnsi="Arial" w:cs="Arial"/>
          <w:color w:val="auto"/>
          <w:sz w:val="18"/>
          <w:szCs w:val="18"/>
          <w:u w:val="none"/>
          <w:lang w:val="mn-MN"/>
        </w:rPr>
        <w:t>6</w:t>
      </w:r>
      <w:r w:rsidRPr="00630B23">
        <w:rPr>
          <w:rStyle w:val="Hyperlink"/>
          <w:rFonts w:ascii="Arial" w:hAnsi="Arial" w:cs="Arial"/>
          <w:noProof/>
          <w:color w:val="auto"/>
          <w:sz w:val="18"/>
          <w:szCs w:val="18"/>
          <w:u w:val="none"/>
          <w:lang w:val="mn-MN"/>
        </w:rPr>
        <w:fldChar w:fldCharType="end"/>
      </w:r>
      <w:r w:rsidRPr="00630B23">
        <w:rPr>
          <w:rStyle w:val="Hyperlink"/>
          <w:rFonts w:ascii="Arial" w:hAnsi="Arial" w:cs="Arial"/>
          <w:noProof/>
          <w:color w:val="auto"/>
          <w:sz w:val="18"/>
          <w:szCs w:val="18"/>
          <w:u w:val="none"/>
          <w:lang w:val="mn-MN"/>
        </w:rPr>
        <w:t>. Эдийн засгийн өсөлт хоёр оронтой тоонд хадгалагдсаар байна............................................</w:t>
      </w:r>
      <w:r w:rsidR="0017164F" w:rsidRPr="0017164F">
        <w:rPr>
          <w:rStyle w:val="Hyperlink"/>
          <w:rFonts w:ascii="Arial" w:hAnsi="Arial" w:cs="Arial"/>
          <w:noProof/>
          <w:color w:val="auto"/>
          <w:sz w:val="18"/>
          <w:szCs w:val="18"/>
          <w:u w:val="none"/>
          <w:lang w:val="mn-MN"/>
        </w:rPr>
        <w:t>...................</w:t>
      </w:r>
      <w:r w:rsidRPr="00630B23">
        <w:rPr>
          <w:rStyle w:val="Hyperlink"/>
          <w:rFonts w:ascii="Arial" w:hAnsi="Arial" w:cs="Arial"/>
          <w:noProof/>
          <w:color w:val="auto"/>
          <w:sz w:val="18"/>
          <w:szCs w:val="18"/>
          <w:u w:val="none"/>
          <w:lang w:val="mn-MN"/>
        </w:rPr>
        <w:t>13</w:t>
      </w:r>
    </w:p>
    <w:p w14:paraId="602FB9C9" w14:textId="77777777" w:rsidR="00991996" w:rsidRPr="00630B23" w:rsidRDefault="00D05364" w:rsidP="00630B23">
      <w:pPr>
        <w:pStyle w:val="TableofFigures"/>
        <w:tabs>
          <w:tab w:val="right" w:leader="dot" w:pos="9350"/>
        </w:tabs>
        <w:jc w:val="both"/>
        <w:rPr>
          <w:rStyle w:val="Hyperlink"/>
          <w:rFonts w:ascii="Arial" w:hAnsi="Arial" w:cs="Arial"/>
          <w:noProof/>
          <w:sz w:val="18"/>
          <w:szCs w:val="18"/>
        </w:rPr>
      </w:pPr>
      <w:hyperlink w:anchor="_Toc371338616" w:history="1">
        <w:r w:rsidR="00991996" w:rsidRPr="00630B23">
          <w:rPr>
            <w:rStyle w:val="Hyperlink"/>
            <w:rFonts w:ascii="Arial" w:hAnsi="Arial" w:cs="Arial"/>
            <w:noProof/>
            <w:sz w:val="18"/>
            <w:szCs w:val="18"/>
            <w:lang w:val="mn-MN"/>
          </w:rPr>
          <w:t>Зураг</w:t>
        </w:r>
        <w:r w:rsidR="00991996" w:rsidRPr="00630B23">
          <w:rPr>
            <w:rStyle w:val="Hyperlink"/>
            <w:rFonts w:ascii="Arial" w:hAnsi="Arial" w:cs="Arial"/>
            <w:noProof/>
            <w:sz w:val="18"/>
            <w:szCs w:val="18"/>
          </w:rPr>
          <w:t xml:space="preserve"> 7.… </w:t>
        </w:r>
        <w:r w:rsidR="00991996" w:rsidRPr="00630B23">
          <w:rPr>
            <w:rStyle w:val="Hyperlink"/>
            <w:rFonts w:ascii="Arial" w:hAnsi="Arial" w:cs="Arial"/>
            <w:noProof/>
            <w:sz w:val="18"/>
            <w:szCs w:val="18"/>
            <w:lang w:val="mn-MN"/>
          </w:rPr>
          <w:t>хөдөө аж ахуй болон барилгын салбарын хүчтэй өсөлтөөр бий боллоо</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_Toc371338616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13</w:t>
        </w:r>
        <w:r w:rsidR="00991996" w:rsidRPr="00630B23">
          <w:rPr>
            <w:rFonts w:ascii="Arial" w:hAnsi="Arial" w:cs="Arial"/>
            <w:noProof/>
            <w:webHidden/>
            <w:sz w:val="18"/>
            <w:szCs w:val="18"/>
          </w:rPr>
          <w:fldChar w:fldCharType="end"/>
        </w:r>
      </w:hyperlink>
    </w:p>
    <w:p w14:paraId="21F73B33" w14:textId="77777777" w:rsidR="00991996" w:rsidRPr="00630B23" w:rsidRDefault="00D05364" w:rsidP="00630B23">
      <w:pPr>
        <w:pStyle w:val="TableofFigures"/>
        <w:tabs>
          <w:tab w:val="right" w:leader="dot" w:pos="9350"/>
        </w:tabs>
        <w:jc w:val="both"/>
        <w:rPr>
          <w:rStyle w:val="Hyperlink"/>
          <w:rFonts w:ascii="Arial" w:hAnsi="Arial" w:cs="Arial"/>
          <w:noProof/>
          <w:sz w:val="18"/>
          <w:szCs w:val="18"/>
        </w:rPr>
      </w:pPr>
      <w:hyperlink w:anchor="_Toc371338617" w:history="1">
        <w:r w:rsidR="00991996" w:rsidRPr="00630B23">
          <w:rPr>
            <w:rStyle w:val="Hyperlink"/>
            <w:rFonts w:ascii="Arial" w:hAnsi="Arial" w:cs="Arial"/>
            <w:noProof/>
            <w:sz w:val="18"/>
            <w:szCs w:val="18"/>
            <w:lang w:val="mn-MN"/>
          </w:rPr>
          <w:t>Зураг</w:t>
        </w:r>
        <w:r w:rsidR="00991996" w:rsidRPr="00630B23">
          <w:rPr>
            <w:rStyle w:val="Hyperlink"/>
            <w:rFonts w:ascii="Arial" w:hAnsi="Arial" w:cs="Arial"/>
            <w:noProof/>
            <w:sz w:val="18"/>
            <w:szCs w:val="18"/>
          </w:rPr>
          <w:t xml:space="preserve"> 8.</w:t>
        </w:r>
        <w:r w:rsidR="00991996" w:rsidRPr="00630B23">
          <w:rPr>
            <w:rStyle w:val="Hyperlink"/>
            <w:rFonts w:ascii="Arial" w:hAnsi="Arial" w:cs="Arial"/>
            <w:noProof/>
            <w:sz w:val="18"/>
            <w:szCs w:val="18"/>
            <w:lang w:val="mn-MN"/>
          </w:rPr>
          <w:t xml:space="preserve"> Барилгын өсөлт барилга болон замын барилгад гарлаа</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_Toc371338617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13</w:t>
        </w:r>
        <w:r w:rsidR="00991996" w:rsidRPr="00630B23">
          <w:rPr>
            <w:rFonts w:ascii="Arial" w:hAnsi="Arial" w:cs="Arial"/>
            <w:noProof/>
            <w:webHidden/>
            <w:sz w:val="18"/>
            <w:szCs w:val="18"/>
          </w:rPr>
          <w:fldChar w:fldCharType="end"/>
        </w:r>
      </w:hyperlink>
    </w:p>
    <w:p w14:paraId="111BD3B8" w14:textId="4AEA3D46" w:rsidR="00991996" w:rsidRPr="00630B23" w:rsidRDefault="00991996" w:rsidP="00630B23">
      <w:pPr>
        <w:pStyle w:val="TableofFigures"/>
        <w:tabs>
          <w:tab w:val="right" w:leader="dot" w:pos="9350"/>
        </w:tabs>
        <w:jc w:val="both"/>
        <w:rPr>
          <w:rStyle w:val="Hyperlink"/>
          <w:rFonts w:ascii="Arial" w:hAnsi="Arial" w:cs="Arial"/>
          <w:noProof/>
          <w:color w:val="auto"/>
          <w:sz w:val="18"/>
          <w:szCs w:val="18"/>
          <w:u w:val="none"/>
          <w:lang w:val="mn-MN"/>
        </w:rPr>
      </w:pPr>
      <w:r w:rsidRPr="00630B23">
        <w:rPr>
          <w:rStyle w:val="Hyperlink"/>
          <w:rFonts w:ascii="Arial" w:hAnsi="Arial" w:cs="Arial"/>
          <w:noProof/>
          <w:color w:val="auto"/>
          <w:sz w:val="18"/>
          <w:szCs w:val="18"/>
          <w:u w:val="none"/>
        </w:rPr>
        <w:t xml:space="preserve">Зураг </w:t>
      </w:r>
      <w:r w:rsidRPr="00630B23">
        <w:rPr>
          <w:rStyle w:val="Hyperlink"/>
          <w:rFonts w:ascii="Arial" w:hAnsi="Arial" w:cs="Arial"/>
          <w:noProof/>
          <w:color w:val="auto"/>
          <w:sz w:val="18"/>
          <w:szCs w:val="18"/>
          <w:u w:val="none"/>
          <w:lang w:val="mn-MN"/>
        </w:rPr>
        <w:fldChar w:fldCharType="begin"/>
      </w:r>
      <w:r w:rsidRPr="00630B23">
        <w:rPr>
          <w:rStyle w:val="Hyperlink"/>
          <w:rFonts w:ascii="Arial" w:hAnsi="Arial" w:cs="Arial"/>
          <w:noProof/>
          <w:color w:val="auto"/>
          <w:sz w:val="18"/>
          <w:szCs w:val="18"/>
          <w:u w:val="none"/>
          <w:lang w:val="mn-MN"/>
        </w:rPr>
        <w:instrText xml:space="preserve"> SEQ Figure \* ARABIC </w:instrText>
      </w:r>
      <w:r w:rsidRPr="00630B23">
        <w:rPr>
          <w:rStyle w:val="Hyperlink"/>
          <w:rFonts w:ascii="Arial" w:hAnsi="Arial" w:cs="Arial"/>
          <w:noProof/>
          <w:color w:val="auto"/>
          <w:sz w:val="18"/>
          <w:szCs w:val="18"/>
          <w:u w:val="none"/>
          <w:lang w:val="mn-MN"/>
        </w:rPr>
        <w:fldChar w:fldCharType="separate"/>
      </w:r>
      <w:r w:rsidRPr="00630B23">
        <w:rPr>
          <w:rStyle w:val="Hyperlink"/>
          <w:rFonts w:ascii="Arial" w:hAnsi="Arial" w:cs="Arial"/>
          <w:color w:val="auto"/>
          <w:sz w:val="18"/>
          <w:szCs w:val="18"/>
          <w:u w:val="none"/>
          <w:lang w:val="mn-MN"/>
        </w:rPr>
        <w:t>9</w:t>
      </w:r>
      <w:r w:rsidRPr="00630B23">
        <w:rPr>
          <w:rStyle w:val="Hyperlink"/>
          <w:rFonts w:ascii="Arial" w:hAnsi="Arial" w:cs="Arial"/>
          <w:noProof/>
          <w:color w:val="auto"/>
          <w:sz w:val="18"/>
          <w:szCs w:val="18"/>
          <w:u w:val="none"/>
          <w:lang w:val="mn-MN"/>
        </w:rPr>
        <w:fldChar w:fldCharType="end"/>
      </w:r>
      <w:r w:rsidRPr="00630B23">
        <w:rPr>
          <w:rStyle w:val="Hyperlink"/>
          <w:rFonts w:ascii="Arial" w:hAnsi="Arial" w:cs="Arial"/>
          <w:noProof/>
          <w:color w:val="auto"/>
          <w:sz w:val="18"/>
          <w:szCs w:val="18"/>
          <w:u w:val="none"/>
          <w:lang w:val="mn-MN"/>
        </w:rPr>
        <w:t>. Уул уурхайн салбар багахан хэмжээгээр өсч, уул уурхайн бус салбарын ДНБ нь хоёр оронтой өсөлтийг бий болголоо.............................................................................................................</w:t>
      </w:r>
      <w:r w:rsidR="0017164F">
        <w:rPr>
          <w:rStyle w:val="Hyperlink"/>
          <w:rFonts w:ascii="Arial" w:hAnsi="Arial" w:cs="Arial"/>
          <w:noProof/>
          <w:color w:val="auto"/>
          <w:sz w:val="18"/>
          <w:szCs w:val="18"/>
          <w:u w:val="none"/>
          <w:lang w:val="mn-MN"/>
        </w:rPr>
        <w:t>...................................</w:t>
      </w:r>
      <w:r w:rsidRPr="00630B23">
        <w:rPr>
          <w:rStyle w:val="Hyperlink"/>
          <w:rFonts w:ascii="Arial" w:hAnsi="Arial" w:cs="Arial"/>
          <w:noProof/>
          <w:color w:val="auto"/>
          <w:sz w:val="18"/>
          <w:szCs w:val="18"/>
          <w:u w:val="none"/>
          <w:lang w:val="mn-MN"/>
        </w:rPr>
        <w:t>15</w:t>
      </w:r>
    </w:p>
    <w:p w14:paraId="24A6CB93" w14:textId="7395E6A6" w:rsidR="00991996" w:rsidRPr="00630B23" w:rsidRDefault="00D05364" w:rsidP="00630B23">
      <w:pPr>
        <w:pStyle w:val="TableofFigures"/>
        <w:tabs>
          <w:tab w:val="right" w:leader="dot" w:pos="9350"/>
        </w:tabs>
        <w:jc w:val="both"/>
        <w:rPr>
          <w:rFonts w:ascii="Arial" w:hAnsi="Arial" w:cs="Arial"/>
          <w:noProof/>
          <w:sz w:val="18"/>
          <w:szCs w:val="18"/>
        </w:rPr>
      </w:pPr>
      <w:hyperlink w:anchor="_Toc371338618" w:history="1">
        <w:r w:rsidR="00991996" w:rsidRPr="00630B23">
          <w:rPr>
            <w:rStyle w:val="Hyperlink"/>
            <w:rFonts w:ascii="Arial" w:hAnsi="Arial" w:cs="Arial"/>
            <w:noProof/>
            <w:color w:val="auto"/>
            <w:sz w:val="18"/>
            <w:szCs w:val="18"/>
            <w:u w:val="none"/>
            <w:lang w:val="mn-MN"/>
          </w:rPr>
          <w:t>Зураг 10. Сүүлийн саруудад уул уурхайн үйлдвэрлэл нэмэгдэж байна</w:t>
        </w:r>
        <w:r w:rsidR="00991996" w:rsidRPr="00630B23">
          <w:rPr>
            <w:rStyle w:val="Hyperlink"/>
            <w:rFonts w:ascii="Arial" w:hAnsi="Arial" w:cs="Arial"/>
            <w:webHidden/>
            <w:color w:val="auto"/>
            <w:sz w:val="18"/>
            <w:szCs w:val="18"/>
            <w:u w:val="none"/>
            <w:lang w:val="mn-MN"/>
          </w:rPr>
          <w:tab/>
        </w:r>
        <w:r w:rsidR="00991996" w:rsidRPr="00630B23">
          <w:rPr>
            <w:rStyle w:val="Hyperlink"/>
            <w:rFonts w:ascii="Arial" w:hAnsi="Arial" w:cs="Arial"/>
            <w:webHidden/>
            <w:color w:val="auto"/>
            <w:sz w:val="18"/>
            <w:szCs w:val="18"/>
            <w:u w:val="none"/>
            <w:lang w:val="mn-MN"/>
          </w:rPr>
          <w:fldChar w:fldCharType="begin"/>
        </w:r>
        <w:r w:rsidR="00991996" w:rsidRPr="00630B23">
          <w:rPr>
            <w:rStyle w:val="Hyperlink"/>
            <w:rFonts w:ascii="Arial" w:hAnsi="Arial" w:cs="Arial"/>
            <w:webHidden/>
            <w:color w:val="auto"/>
            <w:sz w:val="18"/>
            <w:szCs w:val="18"/>
            <w:u w:val="none"/>
            <w:lang w:val="mn-MN"/>
          </w:rPr>
          <w:instrText xml:space="preserve"> PAGEREF _Toc371338618 \h </w:instrText>
        </w:r>
        <w:r w:rsidR="00991996" w:rsidRPr="00630B23">
          <w:rPr>
            <w:rStyle w:val="Hyperlink"/>
            <w:rFonts w:ascii="Arial" w:hAnsi="Arial" w:cs="Arial"/>
            <w:webHidden/>
            <w:color w:val="auto"/>
            <w:sz w:val="18"/>
            <w:szCs w:val="18"/>
            <w:u w:val="none"/>
            <w:lang w:val="mn-MN"/>
          </w:rPr>
        </w:r>
        <w:r w:rsidR="00991996" w:rsidRPr="00630B23">
          <w:rPr>
            <w:rStyle w:val="Hyperlink"/>
            <w:rFonts w:ascii="Arial" w:hAnsi="Arial" w:cs="Arial"/>
            <w:webHidden/>
            <w:color w:val="auto"/>
            <w:sz w:val="18"/>
            <w:szCs w:val="18"/>
            <w:u w:val="none"/>
            <w:lang w:val="mn-MN"/>
          </w:rPr>
          <w:fldChar w:fldCharType="separate"/>
        </w:r>
        <w:r w:rsidR="00991996" w:rsidRPr="00630B23">
          <w:rPr>
            <w:rStyle w:val="Hyperlink"/>
            <w:rFonts w:ascii="Arial" w:hAnsi="Arial" w:cs="Arial"/>
            <w:webHidden/>
            <w:color w:val="auto"/>
            <w:sz w:val="18"/>
            <w:szCs w:val="18"/>
            <w:u w:val="none"/>
            <w:lang w:val="mn-MN"/>
          </w:rPr>
          <w:t>15</w:t>
        </w:r>
        <w:r w:rsidR="00991996" w:rsidRPr="00630B23">
          <w:rPr>
            <w:rStyle w:val="Hyperlink"/>
            <w:rFonts w:ascii="Arial" w:hAnsi="Arial" w:cs="Arial"/>
            <w:webHidden/>
            <w:color w:val="auto"/>
            <w:sz w:val="18"/>
            <w:szCs w:val="18"/>
            <w:u w:val="none"/>
            <w:lang w:val="mn-MN"/>
          </w:rPr>
          <w:fldChar w:fldCharType="end"/>
        </w:r>
      </w:hyperlink>
    </w:p>
    <w:p w14:paraId="2DDC9B26" w14:textId="77777777" w:rsidR="00991996" w:rsidRPr="00630B23" w:rsidRDefault="00D05364" w:rsidP="00630B23">
      <w:pPr>
        <w:pStyle w:val="TableofFigures"/>
        <w:tabs>
          <w:tab w:val="right" w:leader="dot" w:pos="9350"/>
        </w:tabs>
        <w:jc w:val="both"/>
        <w:rPr>
          <w:rFonts w:ascii="Arial" w:hAnsi="Arial" w:cs="Arial"/>
          <w:noProof/>
          <w:sz w:val="18"/>
          <w:szCs w:val="18"/>
        </w:rPr>
      </w:pPr>
      <w:hyperlink w:anchor="_Toc371338619" w:history="1">
        <w:r w:rsidR="00991996" w:rsidRPr="00630B23">
          <w:rPr>
            <w:rStyle w:val="Hyperlink"/>
            <w:rFonts w:ascii="Arial" w:hAnsi="Arial" w:cs="Arial"/>
            <w:noProof/>
            <w:sz w:val="18"/>
            <w:szCs w:val="18"/>
            <w:lang w:val="mn-MN"/>
          </w:rPr>
          <w:t>Зураг</w:t>
        </w:r>
        <w:r w:rsidR="00991996" w:rsidRPr="00630B23">
          <w:rPr>
            <w:rStyle w:val="Hyperlink"/>
            <w:rFonts w:ascii="Arial" w:hAnsi="Arial" w:cs="Arial"/>
            <w:noProof/>
            <w:sz w:val="18"/>
            <w:szCs w:val="18"/>
          </w:rPr>
          <w:t xml:space="preserve"> 11. </w:t>
        </w:r>
        <w:r w:rsidR="00991996" w:rsidRPr="00630B23">
          <w:rPr>
            <w:rStyle w:val="Hyperlink"/>
            <w:rFonts w:ascii="Arial" w:hAnsi="Arial" w:cs="Arial"/>
            <w:noProof/>
            <w:sz w:val="18"/>
            <w:szCs w:val="18"/>
            <w:lang w:val="mn-MN"/>
          </w:rPr>
          <w:t>Хоёр оронтой өсөлтийг хүчтэй дотоодын хэрэглээнээс бий болгожээ</w:t>
        </w:r>
        <w:r w:rsidR="00991996" w:rsidRPr="00630B23">
          <w:rPr>
            <w:rStyle w:val="Hyperlink"/>
            <w:rFonts w:ascii="Arial" w:hAnsi="Arial" w:cs="Arial"/>
            <w:noProof/>
            <w:sz w:val="18"/>
            <w:szCs w:val="18"/>
          </w:rPr>
          <w:t xml:space="preserve"> …</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_Toc371338619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16</w:t>
        </w:r>
        <w:r w:rsidR="00991996" w:rsidRPr="00630B23">
          <w:rPr>
            <w:rFonts w:ascii="Arial" w:hAnsi="Arial" w:cs="Arial"/>
            <w:noProof/>
            <w:webHidden/>
            <w:sz w:val="18"/>
            <w:szCs w:val="18"/>
          </w:rPr>
          <w:fldChar w:fldCharType="end"/>
        </w:r>
      </w:hyperlink>
    </w:p>
    <w:p w14:paraId="0338C4FE" w14:textId="77777777" w:rsidR="00991996" w:rsidRPr="00630B23" w:rsidRDefault="00D05364" w:rsidP="00630B23">
      <w:pPr>
        <w:pStyle w:val="TableofFigures"/>
        <w:tabs>
          <w:tab w:val="right" w:leader="dot" w:pos="9350"/>
        </w:tabs>
        <w:jc w:val="both"/>
        <w:rPr>
          <w:rStyle w:val="Hyperlink"/>
          <w:rFonts w:ascii="Arial" w:hAnsi="Arial" w:cs="Arial"/>
          <w:noProof/>
          <w:sz w:val="18"/>
          <w:szCs w:val="18"/>
          <w:lang w:val="mn-MN"/>
        </w:rPr>
      </w:pPr>
      <w:hyperlink w:anchor="_Toc371338620" w:history="1">
        <w:r w:rsidR="00991996" w:rsidRPr="00630B23">
          <w:rPr>
            <w:rStyle w:val="Hyperlink"/>
            <w:rFonts w:ascii="Arial" w:hAnsi="Arial" w:cs="Arial"/>
            <w:noProof/>
            <w:sz w:val="18"/>
            <w:szCs w:val="18"/>
            <w:lang w:val="mn-MN"/>
          </w:rPr>
          <w:t>Зураг</w:t>
        </w:r>
        <w:r w:rsidR="00991996" w:rsidRPr="00630B23">
          <w:rPr>
            <w:rStyle w:val="Hyperlink"/>
            <w:rFonts w:ascii="Arial" w:hAnsi="Arial" w:cs="Arial"/>
            <w:noProof/>
            <w:sz w:val="18"/>
            <w:szCs w:val="18"/>
          </w:rPr>
          <w:t xml:space="preserve"> 12. … </w:t>
        </w:r>
        <w:r w:rsidR="00991996" w:rsidRPr="00630B23">
          <w:rPr>
            <w:rStyle w:val="Hyperlink"/>
            <w:rFonts w:ascii="Arial" w:hAnsi="Arial" w:cs="Arial"/>
            <w:noProof/>
            <w:sz w:val="18"/>
            <w:szCs w:val="18"/>
            <w:lang w:val="mn-MN"/>
          </w:rPr>
          <w:t>гэвч томоохон урсгал дансны алдагдлыг дагуулсан байна</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_Toc371338620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16</w:t>
        </w:r>
        <w:r w:rsidR="00991996" w:rsidRPr="00630B23">
          <w:rPr>
            <w:rFonts w:ascii="Arial" w:hAnsi="Arial" w:cs="Arial"/>
            <w:noProof/>
            <w:webHidden/>
            <w:sz w:val="18"/>
            <w:szCs w:val="18"/>
          </w:rPr>
          <w:fldChar w:fldCharType="end"/>
        </w:r>
      </w:hyperlink>
    </w:p>
    <w:p w14:paraId="0693EC08" w14:textId="173D7508" w:rsidR="00991996" w:rsidRPr="00630B23" w:rsidRDefault="00991996" w:rsidP="00630B23">
      <w:pPr>
        <w:pStyle w:val="TableofFigures"/>
        <w:tabs>
          <w:tab w:val="right" w:leader="dot" w:pos="9350"/>
        </w:tabs>
        <w:jc w:val="both"/>
        <w:rPr>
          <w:rStyle w:val="Hyperlink"/>
          <w:rFonts w:ascii="Arial" w:hAnsi="Arial" w:cs="Arial"/>
          <w:color w:val="auto"/>
          <w:sz w:val="18"/>
          <w:szCs w:val="18"/>
          <w:u w:val="none"/>
          <w:lang w:val="mn-MN"/>
        </w:rPr>
      </w:pPr>
      <w:r w:rsidRPr="00630B23">
        <w:rPr>
          <w:rStyle w:val="Hyperlink"/>
          <w:rFonts w:ascii="Arial" w:hAnsi="Arial" w:cs="Arial"/>
          <w:noProof/>
          <w:color w:val="auto"/>
          <w:sz w:val="18"/>
          <w:szCs w:val="18"/>
          <w:u w:val="none"/>
        </w:rPr>
        <w:t>Зураг</w:t>
      </w:r>
      <w:r w:rsidRPr="00630B23">
        <w:rPr>
          <w:rStyle w:val="Hyperlink"/>
          <w:rFonts w:ascii="Arial" w:hAnsi="Arial" w:cs="Arial"/>
          <w:noProof/>
          <w:color w:val="auto"/>
          <w:sz w:val="18"/>
          <w:szCs w:val="18"/>
          <w:u w:val="none"/>
          <w:lang w:val="mn-MN"/>
        </w:rPr>
        <w:t xml:space="preserve"> </w:t>
      </w:r>
      <w:r w:rsidRPr="00630B23">
        <w:rPr>
          <w:rStyle w:val="Hyperlink"/>
          <w:rFonts w:ascii="Arial" w:hAnsi="Arial" w:cs="Arial"/>
          <w:noProof/>
          <w:color w:val="auto"/>
          <w:sz w:val="18"/>
          <w:szCs w:val="18"/>
          <w:u w:val="none"/>
          <w:lang w:val="mn-MN"/>
        </w:rPr>
        <w:fldChar w:fldCharType="begin"/>
      </w:r>
      <w:r w:rsidRPr="00630B23">
        <w:rPr>
          <w:rStyle w:val="Hyperlink"/>
          <w:rFonts w:ascii="Arial" w:hAnsi="Arial" w:cs="Arial"/>
          <w:noProof/>
          <w:color w:val="auto"/>
          <w:sz w:val="18"/>
          <w:szCs w:val="18"/>
          <w:u w:val="none"/>
          <w:lang w:val="mn-MN"/>
        </w:rPr>
        <w:instrText xml:space="preserve"> SEQ Figure \* ARABIC </w:instrText>
      </w:r>
      <w:r w:rsidRPr="00630B23">
        <w:rPr>
          <w:rStyle w:val="Hyperlink"/>
          <w:rFonts w:ascii="Arial" w:hAnsi="Arial" w:cs="Arial"/>
          <w:noProof/>
          <w:color w:val="auto"/>
          <w:sz w:val="18"/>
          <w:szCs w:val="18"/>
          <w:u w:val="none"/>
          <w:lang w:val="mn-MN"/>
        </w:rPr>
        <w:fldChar w:fldCharType="separate"/>
      </w:r>
      <w:r w:rsidRPr="00630B23">
        <w:rPr>
          <w:rStyle w:val="Hyperlink"/>
          <w:rFonts w:ascii="Arial" w:hAnsi="Arial" w:cs="Arial"/>
          <w:color w:val="auto"/>
          <w:sz w:val="18"/>
          <w:szCs w:val="18"/>
          <w:u w:val="none"/>
          <w:lang w:val="mn-MN"/>
        </w:rPr>
        <w:t>13</w:t>
      </w:r>
      <w:r w:rsidRPr="00630B23">
        <w:rPr>
          <w:rStyle w:val="Hyperlink"/>
          <w:rFonts w:ascii="Arial" w:hAnsi="Arial" w:cs="Arial"/>
          <w:noProof/>
          <w:color w:val="auto"/>
          <w:sz w:val="18"/>
          <w:szCs w:val="18"/>
          <w:u w:val="none"/>
          <w:lang w:val="mn-MN"/>
        </w:rPr>
        <w:fldChar w:fldCharType="end"/>
      </w:r>
      <w:r w:rsidRPr="00630B23">
        <w:rPr>
          <w:rStyle w:val="Hyperlink"/>
          <w:rFonts w:ascii="Arial" w:hAnsi="Arial" w:cs="Arial"/>
          <w:noProof/>
          <w:color w:val="auto"/>
          <w:sz w:val="18"/>
          <w:szCs w:val="18"/>
          <w:u w:val="none"/>
          <w:lang w:val="mn-MN"/>
        </w:rPr>
        <w:t xml:space="preserve">. </w:t>
      </w:r>
      <w:r w:rsidRPr="00630B23">
        <w:rPr>
          <w:rStyle w:val="Hyperlink"/>
          <w:rFonts w:ascii="Arial" w:hAnsi="Arial" w:cs="Arial"/>
          <w:noProof/>
          <w:color w:val="auto"/>
          <w:sz w:val="18"/>
          <w:szCs w:val="18"/>
          <w:u w:val="none"/>
        </w:rPr>
        <w:t>Тус бүс нутаг дахь хөгжиж буй эдийн засгийн өсөлтийн таамаглал</w:t>
      </w:r>
      <w:r w:rsidRPr="00630B23">
        <w:rPr>
          <w:rStyle w:val="Hyperlink"/>
          <w:rFonts w:ascii="Arial" w:hAnsi="Arial" w:cs="Arial"/>
          <w:noProof/>
          <w:color w:val="auto"/>
          <w:sz w:val="18"/>
          <w:szCs w:val="18"/>
          <w:u w:val="none"/>
          <w:lang w:val="mn-MN"/>
        </w:rPr>
        <w:t>.....................................</w:t>
      </w:r>
      <w:r w:rsidR="0017164F">
        <w:rPr>
          <w:rStyle w:val="Hyperlink"/>
          <w:rFonts w:ascii="Arial" w:hAnsi="Arial" w:cs="Arial"/>
          <w:noProof/>
          <w:color w:val="auto"/>
          <w:sz w:val="18"/>
          <w:szCs w:val="18"/>
          <w:u w:val="none"/>
          <w:lang w:val="mn-MN"/>
        </w:rPr>
        <w:t>...................</w:t>
      </w:r>
      <w:r w:rsidRPr="00630B23">
        <w:rPr>
          <w:rStyle w:val="Hyperlink"/>
          <w:rFonts w:ascii="Arial" w:hAnsi="Arial" w:cs="Arial"/>
          <w:noProof/>
          <w:color w:val="auto"/>
          <w:sz w:val="18"/>
          <w:szCs w:val="18"/>
          <w:u w:val="none"/>
          <w:lang w:val="mn-MN"/>
        </w:rPr>
        <w:t>17</w:t>
      </w:r>
    </w:p>
    <w:p w14:paraId="33EA02FD" w14:textId="77777777" w:rsidR="00991996" w:rsidRPr="00630B23" w:rsidRDefault="00D05364" w:rsidP="00630B23">
      <w:pPr>
        <w:pStyle w:val="TableofFigures"/>
        <w:tabs>
          <w:tab w:val="right" w:leader="dot" w:pos="9350"/>
        </w:tabs>
        <w:jc w:val="both"/>
        <w:rPr>
          <w:rFonts w:ascii="Arial" w:hAnsi="Arial" w:cs="Arial"/>
          <w:noProof/>
          <w:sz w:val="18"/>
          <w:szCs w:val="18"/>
        </w:rPr>
      </w:pPr>
      <w:hyperlink w:anchor="_Toc371338622" w:history="1">
        <w:r w:rsidR="00991996" w:rsidRPr="00630B23">
          <w:rPr>
            <w:rStyle w:val="Hyperlink"/>
            <w:rFonts w:ascii="Arial" w:hAnsi="Arial" w:cs="Arial"/>
            <w:noProof/>
            <w:sz w:val="18"/>
            <w:szCs w:val="18"/>
            <w:lang w:val="mn-MN"/>
          </w:rPr>
          <w:t>Зураг</w:t>
        </w:r>
        <w:r w:rsidR="00991996" w:rsidRPr="00630B23">
          <w:rPr>
            <w:rStyle w:val="Hyperlink"/>
            <w:rFonts w:ascii="Arial" w:hAnsi="Arial" w:cs="Arial"/>
            <w:noProof/>
            <w:sz w:val="18"/>
            <w:szCs w:val="18"/>
          </w:rPr>
          <w:t xml:space="preserve"> 14. </w:t>
        </w:r>
        <w:r w:rsidR="00991996" w:rsidRPr="00630B23">
          <w:rPr>
            <w:rStyle w:val="Hyperlink"/>
            <w:rFonts w:ascii="Arial" w:hAnsi="Arial" w:cs="Arial"/>
            <w:noProof/>
            <w:sz w:val="18"/>
            <w:szCs w:val="18"/>
            <w:lang w:val="mn-MN"/>
          </w:rPr>
          <w:t>Ядуурлын түвшин нэлээд буурчээ</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_Toc371338622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18</w:t>
        </w:r>
        <w:r w:rsidR="00991996" w:rsidRPr="00630B23">
          <w:rPr>
            <w:rFonts w:ascii="Arial" w:hAnsi="Arial" w:cs="Arial"/>
            <w:noProof/>
            <w:webHidden/>
            <w:sz w:val="18"/>
            <w:szCs w:val="18"/>
          </w:rPr>
          <w:fldChar w:fldCharType="end"/>
        </w:r>
      </w:hyperlink>
    </w:p>
    <w:p w14:paraId="33817F07" w14:textId="77777777" w:rsidR="00991996" w:rsidRPr="00630B23" w:rsidRDefault="00D05364" w:rsidP="00630B23">
      <w:pPr>
        <w:pStyle w:val="TableofFigures"/>
        <w:tabs>
          <w:tab w:val="right" w:leader="dot" w:pos="9350"/>
        </w:tabs>
        <w:jc w:val="both"/>
        <w:rPr>
          <w:rFonts w:ascii="Arial" w:hAnsi="Arial" w:cs="Arial"/>
          <w:noProof/>
          <w:sz w:val="18"/>
          <w:szCs w:val="18"/>
        </w:rPr>
      </w:pPr>
      <w:hyperlink w:anchor="_Toc371338623" w:history="1">
        <w:r w:rsidR="00991996" w:rsidRPr="00630B23">
          <w:rPr>
            <w:rStyle w:val="Hyperlink"/>
            <w:rFonts w:ascii="Arial" w:hAnsi="Arial" w:cs="Arial"/>
            <w:noProof/>
            <w:sz w:val="18"/>
            <w:szCs w:val="18"/>
            <w:lang w:val="mn-MN"/>
          </w:rPr>
          <w:t>Зураг</w:t>
        </w:r>
        <w:r w:rsidR="00991996" w:rsidRPr="00630B23">
          <w:rPr>
            <w:rStyle w:val="Hyperlink"/>
            <w:rFonts w:ascii="Arial" w:hAnsi="Arial" w:cs="Arial"/>
            <w:noProof/>
            <w:sz w:val="18"/>
            <w:szCs w:val="18"/>
          </w:rPr>
          <w:t xml:space="preserve"> 15.</w:t>
        </w:r>
        <w:r w:rsidR="00991996" w:rsidRPr="00630B23">
          <w:rPr>
            <w:rStyle w:val="Hyperlink"/>
            <w:rFonts w:ascii="Arial" w:hAnsi="Arial" w:cs="Arial"/>
            <w:noProof/>
            <w:sz w:val="18"/>
            <w:szCs w:val="18"/>
            <w:lang w:val="mn-MN"/>
          </w:rPr>
          <w:t xml:space="preserve"> Сүүлийн саруудад инфляци өсч байна</w:t>
        </w:r>
        <w:r w:rsidR="00991996" w:rsidRPr="00630B23">
          <w:rPr>
            <w:rStyle w:val="Hyperlink"/>
            <w:rFonts w:ascii="Arial" w:hAnsi="Arial" w:cs="Arial"/>
            <w:noProof/>
            <w:sz w:val="18"/>
            <w:szCs w:val="18"/>
          </w:rPr>
          <w:t xml:space="preserve"> …</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_Toc371338623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19</w:t>
        </w:r>
        <w:r w:rsidR="00991996" w:rsidRPr="00630B23">
          <w:rPr>
            <w:rFonts w:ascii="Arial" w:hAnsi="Arial" w:cs="Arial"/>
            <w:noProof/>
            <w:webHidden/>
            <w:sz w:val="18"/>
            <w:szCs w:val="18"/>
          </w:rPr>
          <w:fldChar w:fldCharType="end"/>
        </w:r>
      </w:hyperlink>
    </w:p>
    <w:p w14:paraId="09F2F53B" w14:textId="77777777" w:rsidR="00991996" w:rsidRPr="00630B23" w:rsidRDefault="00D05364" w:rsidP="00630B23">
      <w:pPr>
        <w:pStyle w:val="TableofFigures"/>
        <w:tabs>
          <w:tab w:val="right" w:leader="dot" w:pos="9350"/>
        </w:tabs>
        <w:jc w:val="both"/>
        <w:rPr>
          <w:rFonts w:ascii="Arial" w:hAnsi="Arial" w:cs="Arial"/>
          <w:noProof/>
          <w:sz w:val="18"/>
          <w:szCs w:val="18"/>
        </w:rPr>
      </w:pPr>
      <w:hyperlink w:anchor="_Toc371338624" w:history="1">
        <w:r w:rsidR="00991996" w:rsidRPr="00630B23">
          <w:rPr>
            <w:rStyle w:val="Hyperlink"/>
            <w:rFonts w:ascii="Arial" w:hAnsi="Arial" w:cs="Arial"/>
            <w:noProof/>
            <w:sz w:val="18"/>
            <w:szCs w:val="18"/>
            <w:lang w:val="mn-MN"/>
          </w:rPr>
          <w:t>Зураг</w:t>
        </w:r>
        <w:r w:rsidR="00991996" w:rsidRPr="00630B23">
          <w:rPr>
            <w:rStyle w:val="Hyperlink"/>
            <w:rFonts w:ascii="Arial" w:hAnsi="Arial" w:cs="Arial"/>
            <w:noProof/>
            <w:sz w:val="18"/>
            <w:szCs w:val="18"/>
          </w:rPr>
          <w:t xml:space="preserve"> 16. </w:t>
        </w:r>
        <w:r w:rsidR="00991996" w:rsidRPr="00630B23">
          <w:rPr>
            <w:rStyle w:val="Hyperlink"/>
            <w:rFonts w:ascii="Arial" w:hAnsi="Arial" w:cs="Arial"/>
            <w:noProof/>
            <w:sz w:val="18"/>
            <w:szCs w:val="18"/>
            <w:lang w:val="mn-MN"/>
          </w:rPr>
          <w:t>Хүнсний гол нэрийн бүтээгдэхүүний үнүүд дахин өсч байна</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_Toc371338624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19</w:t>
        </w:r>
        <w:r w:rsidR="00991996" w:rsidRPr="00630B23">
          <w:rPr>
            <w:rFonts w:ascii="Arial" w:hAnsi="Arial" w:cs="Arial"/>
            <w:noProof/>
            <w:webHidden/>
            <w:sz w:val="18"/>
            <w:szCs w:val="18"/>
          </w:rPr>
          <w:fldChar w:fldCharType="end"/>
        </w:r>
      </w:hyperlink>
    </w:p>
    <w:p w14:paraId="48B68910" w14:textId="77777777" w:rsidR="00991996" w:rsidRPr="00630B23" w:rsidRDefault="00D05364" w:rsidP="00630B23">
      <w:pPr>
        <w:pStyle w:val="TableofFigures"/>
        <w:tabs>
          <w:tab w:val="right" w:leader="dot" w:pos="9350"/>
        </w:tabs>
        <w:jc w:val="both"/>
        <w:rPr>
          <w:rFonts w:ascii="Arial" w:hAnsi="Arial" w:cs="Arial"/>
          <w:noProof/>
          <w:sz w:val="18"/>
          <w:szCs w:val="18"/>
        </w:rPr>
      </w:pPr>
      <w:hyperlink w:anchor="_Toc371338625" w:history="1">
        <w:r w:rsidR="00991996" w:rsidRPr="00630B23">
          <w:rPr>
            <w:rStyle w:val="Hyperlink"/>
            <w:rFonts w:ascii="Arial" w:hAnsi="Arial" w:cs="Arial"/>
            <w:noProof/>
            <w:sz w:val="18"/>
            <w:szCs w:val="18"/>
            <w:lang w:val="mn-MN"/>
          </w:rPr>
          <w:t>Зураг</w:t>
        </w:r>
        <w:r w:rsidR="00991996" w:rsidRPr="00630B23">
          <w:rPr>
            <w:rStyle w:val="Hyperlink"/>
            <w:rFonts w:ascii="Arial" w:hAnsi="Arial" w:cs="Arial"/>
            <w:noProof/>
            <w:sz w:val="18"/>
            <w:szCs w:val="18"/>
          </w:rPr>
          <w:t xml:space="preserve"> 17. </w:t>
        </w:r>
        <w:r w:rsidR="00991996" w:rsidRPr="00630B23">
          <w:rPr>
            <w:rStyle w:val="Hyperlink"/>
            <w:rFonts w:ascii="Arial" w:hAnsi="Arial" w:cs="Arial"/>
            <w:noProof/>
            <w:sz w:val="18"/>
            <w:szCs w:val="18"/>
            <w:lang w:val="mn-MN"/>
          </w:rPr>
          <w:t>Суурь инфляци сүүлийн саруудад эргээд өсөх хандлагатай боллоо</w:t>
        </w:r>
        <w:r w:rsidR="00991996" w:rsidRPr="00630B23">
          <w:rPr>
            <w:rStyle w:val="Hyperlink"/>
            <w:rFonts w:ascii="Arial" w:hAnsi="Arial" w:cs="Arial"/>
            <w:noProof/>
            <w:sz w:val="18"/>
            <w:szCs w:val="18"/>
          </w:rPr>
          <w:t xml:space="preserve"> …</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_Toc371338625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20</w:t>
        </w:r>
        <w:r w:rsidR="00991996" w:rsidRPr="00630B23">
          <w:rPr>
            <w:rFonts w:ascii="Arial" w:hAnsi="Arial" w:cs="Arial"/>
            <w:noProof/>
            <w:webHidden/>
            <w:sz w:val="18"/>
            <w:szCs w:val="18"/>
          </w:rPr>
          <w:fldChar w:fldCharType="end"/>
        </w:r>
      </w:hyperlink>
    </w:p>
    <w:p w14:paraId="1DB5003C" w14:textId="77777777" w:rsidR="00991996" w:rsidRPr="00630B23" w:rsidRDefault="00D05364" w:rsidP="00630B23">
      <w:pPr>
        <w:pStyle w:val="TableofFigures"/>
        <w:tabs>
          <w:tab w:val="right" w:leader="dot" w:pos="9350"/>
        </w:tabs>
        <w:jc w:val="both"/>
        <w:rPr>
          <w:rFonts w:ascii="Arial" w:hAnsi="Arial" w:cs="Arial"/>
          <w:noProof/>
          <w:sz w:val="18"/>
          <w:szCs w:val="18"/>
        </w:rPr>
      </w:pPr>
      <w:hyperlink w:anchor="_Toc371338626" w:history="1">
        <w:r w:rsidR="00991996" w:rsidRPr="00630B23">
          <w:rPr>
            <w:rStyle w:val="Hyperlink"/>
            <w:rFonts w:ascii="Arial" w:hAnsi="Arial" w:cs="Arial"/>
            <w:noProof/>
            <w:sz w:val="18"/>
            <w:szCs w:val="18"/>
            <w:lang w:val="mn-MN"/>
          </w:rPr>
          <w:t>Зураг</w:t>
        </w:r>
        <w:r w:rsidR="00991996" w:rsidRPr="00630B23">
          <w:rPr>
            <w:rStyle w:val="Hyperlink"/>
            <w:rFonts w:ascii="Arial" w:hAnsi="Arial" w:cs="Arial"/>
            <w:noProof/>
            <w:sz w:val="18"/>
            <w:szCs w:val="18"/>
          </w:rPr>
          <w:t xml:space="preserve"> 18. </w:t>
        </w:r>
        <w:r w:rsidR="00991996" w:rsidRPr="00630B23">
          <w:rPr>
            <w:rStyle w:val="Hyperlink"/>
            <w:rFonts w:ascii="Arial" w:hAnsi="Arial" w:cs="Arial"/>
            <w:noProof/>
            <w:sz w:val="18"/>
            <w:szCs w:val="18"/>
            <w:lang w:val="mn-MN"/>
          </w:rPr>
          <w:t>Түрээсийн үнүүд мөн өсч байна</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_Toc371338626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20</w:t>
        </w:r>
        <w:r w:rsidR="00991996" w:rsidRPr="00630B23">
          <w:rPr>
            <w:rFonts w:ascii="Arial" w:hAnsi="Arial" w:cs="Arial"/>
            <w:noProof/>
            <w:webHidden/>
            <w:sz w:val="18"/>
            <w:szCs w:val="18"/>
          </w:rPr>
          <w:fldChar w:fldCharType="end"/>
        </w:r>
      </w:hyperlink>
    </w:p>
    <w:p w14:paraId="43D6B3F8" w14:textId="77777777" w:rsidR="00991996" w:rsidRPr="00630B23" w:rsidRDefault="00D05364" w:rsidP="00630B23">
      <w:pPr>
        <w:pStyle w:val="TableofFigures"/>
        <w:tabs>
          <w:tab w:val="right" w:leader="dot" w:pos="9350"/>
        </w:tabs>
        <w:jc w:val="both"/>
        <w:rPr>
          <w:rFonts w:ascii="Arial" w:hAnsi="Arial" w:cs="Arial"/>
          <w:noProof/>
          <w:sz w:val="18"/>
          <w:szCs w:val="18"/>
        </w:rPr>
      </w:pPr>
      <w:hyperlink w:anchor="_Toc371338627" w:history="1">
        <w:r w:rsidR="00991996" w:rsidRPr="00630B23">
          <w:rPr>
            <w:rStyle w:val="Hyperlink"/>
            <w:rFonts w:ascii="Arial" w:hAnsi="Arial" w:cs="Arial"/>
            <w:noProof/>
            <w:sz w:val="18"/>
            <w:szCs w:val="18"/>
            <w:lang w:val="mn-MN"/>
          </w:rPr>
          <w:t>Зураг</w:t>
        </w:r>
        <w:r w:rsidR="00991996" w:rsidRPr="00630B23">
          <w:rPr>
            <w:rStyle w:val="Hyperlink"/>
            <w:rFonts w:ascii="Arial" w:hAnsi="Arial" w:cs="Arial"/>
            <w:noProof/>
            <w:sz w:val="18"/>
            <w:szCs w:val="18"/>
          </w:rPr>
          <w:t xml:space="preserve"> 19. </w:t>
        </w:r>
        <w:r w:rsidR="00991996" w:rsidRPr="00630B23">
          <w:rPr>
            <w:rStyle w:val="Hyperlink"/>
            <w:rFonts w:ascii="Arial" w:hAnsi="Arial" w:cs="Arial"/>
            <w:noProof/>
            <w:sz w:val="18"/>
            <w:szCs w:val="18"/>
            <w:lang w:val="mn-MN"/>
          </w:rPr>
          <w:t>Хөдөлмөрийн зах зээлийн гол үзүүлэлтүүд</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_Toc371338627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21</w:t>
        </w:r>
        <w:r w:rsidR="00991996" w:rsidRPr="00630B23">
          <w:rPr>
            <w:rFonts w:ascii="Arial" w:hAnsi="Arial" w:cs="Arial"/>
            <w:noProof/>
            <w:webHidden/>
            <w:sz w:val="18"/>
            <w:szCs w:val="18"/>
          </w:rPr>
          <w:fldChar w:fldCharType="end"/>
        </w:r>
      </w:hyperlink>
    </w:p>
    <w:p w14:paraId="1EC31773" w14:textId="77777777" w:rsidR="00991996" w:rsidRPr="00630B23" w:rsidRDefault="00D05364" w:rsidP="00630B23">
      <w:pPr>
        <w:pStyle w:val="TableofFigures"/>
        <w:tabs>
          <w:tab w:val="right" w:leader="dot" w:pos="9350"/>
        </w:tabs>
        <w:jc w:val="both"/>
        <w:rPr>
          <w:rFonts w:ascii="Arial" w:hAnsi="Arial" w:cs="Arial"/>
          <w:noProof/>
          <w:sz w:val="18"/>
          <w:szCs w:val="18"/>
        </w:rPr>
      </w:pPr>
      <w:hyperlink w:anchor="_Toc371338628" w:history="1">
        <w:r w:rsidR="00991996" w:rsidRPr="00630B23">
          <w:rPr>
            <w:rStyle w:val="Hyperlink"/>
            <w:rFonts w:ascii="Arial" w:hAnsi="Arial" w:cs="Arial"/>
            <w:noProof/>
            <w:sz w:val="18"/>
            <w:szCs w:val="18"/>
            <w:lang w:val="mn-MN"/>
          </w:rPr>
          <w:t>Зураг</w:t>
        </w:r>
        <w:r w:rsidR="00991996" w:rsidRPr="00630B23">
          <w:rPr>
            <w:rStyle w:val="Hyperlink"/>
            <w:rFonts w:ascii="Arial" w:hAnsi="Arial" w:cs="Arial"/>
            <w:noProof/>
            <w:sz w:val="18"/>
            <w:szCs w:val="18"/>
          </w:rPr>
          <w:t xml:space="preserve"> 20. </w:t>
        </w:r>
        <w:r w:rsidR="00991996" w:rsidRPr="00630B23">
          <w:rPr>
            <w:rStyle w:val="Hyperlink"/>
            <w:rFonts w:ascii="Arial" w:hAnsi="Arial" w:cs="Arial"/>
            <w:noProof/>
            <w:sz w:val="18"/>
            <w:szCs w:val="18"/>
            <w:lang w:val="mn-MN"/>
          </w:rPr>
          <w:t>Ажилгүйдэл, хүйсээр</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_Toc371338628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21</w:t>
        </w:r>
        <w:r w:rsidR="00991996" w:rsidRPr="00630B23">
          <w:rPr>
            <w:rFonts w:ascii="Arial" w:hAnsi="Arial" w:cs="Arial"/>
            <w:noProof/>
            <w:webHidden/>
            <w:sz w:val="18"/>
            <w:szCs w:val="18"/>
          </w:rPr>
          <w:fldChar w:fldCharType="end"/>
        </w:r>
      </w:hyperlink>
    </w:p>
    <w:p w14:paraId="3D674EE6" w14:textId="77777777" w:rsidR="00991996" w:rsidRPr="00630B23" w:rsidRDefault="00D05364" w:rsidP="00630B23">
      <w:pPr>
        <w:pStyle w:val="TableofFigures"/>
        <w:tabs>
          <w:tab w:val="right" w:leader="dot" w:pos="9350"/>
        </w:tabs>
        <w:jc w:val="both"/>
        <w:rPr>
          <w:rFonts w:ascii="Arial" w:hAnsi="Arial" w:cs="Arial"/>
          <w:noProof/>
          <w:sz w:val="18"/>
          <w:szCs w:val="18"/>
        </w:rPr>
      </w:pPr>
      <w:hyperlink w:anchor="_Toc371338629" w:history="1">
        <w:r w:rsidR="00991996" w:rsidRPr="00630B23">
          <w:rPr>
            <w:rStyle w:val="Hyperlink"/>
            <w:rFonts w:ascii="Arial" w:hAnsi="Arial" w:cs="Arial"/>
            <w:noProof/>
            <w:sz w:val="18"/>
            <w:szCs w:val="18"/>
            <w:lang w:val="mn-MN"/>
          </w:rPr>
          <w:t>Зураг</w:t>
        </w:r>
        <w:r w:rsidR="00991996" w:rsidRPr="00630B23">
          <w:rPr>
            <w:rStyle w:val="Hyperlink"/>
            <w:rFonts w:ascii="Arial" w:hAnsi="Arial" w:cs="Arial"/>
            <w:noProof/>
            <w:sz w:val="18"/>
            <w:szCs w:val="18"/>
          </w:rPr>
          <w:t xml:space="preserve"> 21. </w:t>
        </w:r>
        <w:r w:rsidR="00991996" w:rsidRPr="00630B23">
          <w:rPr>
            <w:rStyle w:val="Hyperlink"/>
            <w:rFonts w:ascii="Arial" w:hAnsi="Arial" w:cs="Arial"/>
            <w:noProof/>
            <w:sz w:val="18"/>
            <w:szCs w:val="18"/>
            <w:lang w:val="mn-MN"/>
          </w:rPr>
          <w:t>Ажил эрхлэлт, салбараар</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_Toc371338629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22</w:t>
        </w:r>
        <w:r w:rsidR="00991996" w:rsidRPr="00630B23">
          <w:rPr>
            <w:rFonts w:ascii="Arial" w:hAnsi="Arial" w:cs="Arial"/>
            <w:noProof/>
            <w:webHidden/>
            <w:sz w:val="18"/>
            <w:szCs w:val="18"/>
          </w:rPr>
          <w:fldChar w:fldCharType="end"/>
        </w:r>
      </w:hyperlink>
    </w:p>
    <w:p w14:paraId="3F4AA944" w14:textId="77777777" w:rsidR="00991996" w:rsidRPr="00630B23" w:rsidRDefault="00D05364" w:rsidP="00630B23">
      <w:pPr>
        <w:pStyle w:val="TableofFigures"/>
        <w:tabs>
          <w:tab w:val="right" w:leader="dot" w:pos="9350"/>
        </w:tabs>
        <w:jc w:val="both"/>
        <w:rPr>
          <w:rFonts w:ascii="Arial" w:hAnsi="Arial" w:cs="Arial"/>
          <w:noProof/>
          <w:sz w:val="18"/>
          <w:szCs w:val="18"/>
        </w:rPr>
      </w:pPr>
      <w:hyperlink w:anchor="_Toc371338630" w:history="1">
        <w:r w:rsidR="00991996" w:rsidRPr="00630B23">
          <w:rPr>
            <w:rStyle w:val="Hyperlink"/>
            <w:rFonts w:ascii="Arial" w:hAnsi="Arial" w:cs="Arial"/>
            <w:noProof/>
            <w:sz w:val="18"/>
            <w:szCs w:val="18"/>
            <w:lang w:val="mn-MN"/>
          </w:rPr>
          <w:t>Зураг</w:t>
        </w:r>
        <w:r w:rsidR="00991996" w:rsidRPr="00630B23">
          <w:rPr>
            <w:rStyle w:val="Hyperlink"/>
            <w:rFonts w:ascii="Arial" w:hAnsi="Arial" w:cs="Arial"/>
            <w:noProof/>
            <w:sz w:val="18"/>
            <w:szCs w:val="18"/>
          </w:rPr>
          <w:t xml:space="preserve"> 22. </w:t>
        </w:r>
        <w:r w:rsidR="00991996" w:rsidRPr="00630B23">
          <w:rPr>
            <w:rStyle w:val="Hyperlink"/>
            <w:rFonts w:ascii="Arial" w:hAnsi="Arial" w:cs="Arial"/>
            <w:noProof/>
            <w:sz w:val="18"/>
            <w:szCs w:val="18"/>
            <w:lang w:val="mn-MN"/>
          </w:rPr>
          <w:t>Голлох салбараар ажиллах хүчний өөрчлөлт</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_Toc371338630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22</w:t>
        </w:r>
        <w:r w:rsidR="00991996" w:rsidRPr="00630B23">
          <w:rPr>
            <w:rFonts w:ascii="Arial" w:hAnsi="Arial" w:cs="Arial"/>
            <w:noProof/>
            <w:webHidden/>
            <w:sz w:val="18"/>
            <w:szCs w:val="18"/>
          </w:rPr>
          <w:fldChar w:fldCharType="end"/>
        </w:r>
      </w:hyperlink>
    </w:p>
    <w:p w14:paraId="2E4C7C22" w14:textId="77777777" w:rsidR="00991996" w:rsidRPr="00630B23" w:rsidRDefault="00D05364" w:rsidP="00630B23">
      <w:pPr>
        <w:pStyle w:val="TableofFigures"/>
        <w:tabs>
          <w:tab w:val="right" w:leader="dot" w:pos="9350"/>
        </w:tabs>
        <w:jc w:val="both"/>
        <w:rPr>
          <w:rFonts w:ascii="Arial" w:hAnsi="Arial" w:cs="Arial"/>
          <w:noProof/>
          <w:sz w:val="18"/>
          <w:szCs w:val="18"/>
        </w:rPr>
      </w:pPr>
      <w:hyperlink w:anchor="_Toc371338631" w:history="1">
        <w:r w:rsidR="00991996" w:rsidRPr="00630B23">
          <w:rPr>
            <w:rStyle w:val="Hyperlink"/>
            <w:rFonts w:ascii="Arial" w:hAnsi="Arial" w:cs="Arial"/>
            <w:noProof/>
            <w:sz w:val="18"/>
            <w:szCs w:val="18"/>
            <w:lang w:val="mn-MN"/>
          </w:rPr>
          <w:t>Зураг</w:t>
        </w:r>
        <w:r w:rsidR="00991996" w:rsidRPr="00630B23">
          <w:rPr>
            <w:rStyle w:val="Hyperlink"/>
            <w:rFonts w:ascii="Arial" w:hAnsi="Arial" w:cs="Arial"/>
            <w:noProof/>
            <w:sz w:val="18"/>
            <w:szCs w:val="18"/>
          </w:rPr>
          <w:t xml:space="preserve"> 23. </w:t>
        </w:r>
        <w:r w:rsidR="00991996" w:rsidRPr="00630B23">
          <w:rPr>
            <w:rStyle w:val="Hyperlink"/>
            <w:rFonts w:ascii="Arial" w:hAnsi="Arial" w:cs="Arial"/>
            <w:noProof/>
            <w:sz w:val="18"/>
            <w:szCs w:val="18"/>
            <w:lang w:val="mn-MN"/>
          </w:rPr>
          <w:t>Төсвийн орлогын дутагдал их байна</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_Toc371338631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24</w:t>
        </w:r>
        <w:r w:rsidR="00991996" w:rsidRPr="00630B23">
          <w:rPr>
            <w:rFonts w:ascii="Arial" w:hAnsi="Arial" w:cs="Arial"/>
            <w:noProof/>
            <w:webHidden/>
            <w:sz w:val="18"/>
            <w:szCs w:val="18"/>
          </w:rPr>
          <w:fldChar w:fldCharType="end"/>
        </w:r>
      </w:hyperlink>
    </w:p>
    <w:p w14:paraId="4742E371" w14:textId="77777777" w:rsidR="00991996" w:rsidRPr="00630B23" w:rsidRDefault="00D05364" w:rsidP="00630B23">
      <w:pPr>
        <w:pStyle w:val="TableofFigures"/>
        <w:tabs>
          <w:tab w:val="right" w:leader="dot" w:pos="9350"/>
        </w:tabs>
        <w:jc w:val="both"/>
        <w:rPr>
          <w:rFonts w:ascii="Arial" w:hAnsi="Arial" w:cs="Arial"/>
          <w:noProof/>
          <w:sz w:val="18"/>
          <w:szCs w:val="18"/>
        </w:rPr>
      </w:pPr>
      <w:hyperlink w:anchor="_Toc371338632" w:history="1">
        <w:r w:rsidR="00991996" w:rsidRPr="00630B23">
          <w:rPr>
            <w:rStyle w:val="Hyperlink"/>
            <w:rFonts w:ascii="Arial" w:hAnsi="Arial" w:cs="Arial"/>
            <w:noProof/>
            <w:sz w:val="18"/>
            <w:szCs w:val="18"/>
            <w:lang w:val="mn-MN"/>
          </w:rPr>
          <w:t>Зураг</w:t>
        </w:r>
        <w:r w:rsidR="00991996" w:rsidRPr="00630B23">
          <w:rPr>
            <w:rStyle w:val="Hyperlink"/>
            <w:rFonts w:ascii="Arial" w:hAnsi="Arial" w:cs="Arial"/>
            <w:noProof/>
            <w:sz w:val="18"/>
            <w:szCs w:val="18"/>
          </w:rPr>
          <w:t xml:space="preserve"> 24. </w:t>
        </w:r>
        <w:r w:rsidR="00991996" w:rsidRPr="00630B23">
          <w:rPr>
            <w:rStyle w:val="Hyperlink"/>
            <w:rFonts w:ascii="Arial" w:hAnsi="Arial" w:cs="Arial"/>
            <w:noProof/>
            <w:sz w:val="18"/>
            <w:szCs w:val="18"/>
            <w:lang w:val="mn-MN"/>
          </w:rPr>
          <w:t>Төсвийн гүйцэтгэл нэлээд доогуур байна</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_Toc371338632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25</w:t>
        </w:r>
        <w:r w:rsidR="00991996" w:rsidRPr="00630B23">
          <w:rPr>
            <w:rFonts w:ascii="Arial" w:hAnsi="Arial" w:cs="Arial"/>
            <w:noProof/>
            <w:webHidden/>
            <w:sz w:val="18"/>
            <w:szCs w:val="18"/>
          </w:rPr>
          <w:fldChar w:fldCharType="end"/>
        </w:r>
      </w:hyperlink>
    </w:p>
    <w:p w14:paraId="6C1C3DA4" w14:textId="77777777" w:rsidR="00991996" w:rsidRPr="00630B23" w:rsidRDefault="00D05364" w:rsidP="00630B23">
      <w:pPr>
        <w:pStyle w:val="TableofFigures"/>
        <w:tabs>
          <w:tab w:val="right" w:leader="dot" w:pos="9350"/>
        </w:tabs>
        <w:jc w:val="both"/>
        <w:rPr>
          <w:rStyle w:val="Hyperlink"/>
          <w:rFonts w:ascii="Arial" w:hAnsi="Arial" w:cs="Arial"/>
          <w:noProof/>
          <w:sz w:val="18"/>
          <w:szCs w:val="18"/>
          <w:lang w:val="mn-MN"/>
        </w:rPr>
      </w:pPr>
      <w:hyperlink w:anchor="_Toc371338633" w:history="1">
        <w:r w:rsidR="00991996" w:rsidRPr="00630B23">
          <w:rPr>
            <w:rStyle w:val="Hyperlink"/>
            <w:rFonts w:ascii="Arial" w:hAnsi="Arial" w:cs="Arial"/>
            <w:noProof/>
            <w:sz w:val="18"/>
            <w:szCs w:val="18"/>
            <w:lang w:val="mn-MN"/>
          </w:rPr>
          <w:t>Зураг</w:t>
        </w:r>
        <w:r w:rsidR="00991996" w:rsidRPr="00630B23">
          <w:rPr>
            <w:rStyle w:val="Hyperlink"/>
            <w:rFonts w:ascii="Arial" w:hAnsi="Arial" w:cs="Arial"/>
            <w:noProof/>
            <w:sz w:val="18"/>
            <w:szCs w:val="18"/>
          </w:rPr>
          <w:t xml:space="preserve"> 25. </w:t>
        </w:r>
        <w:r w:rsidR="00991996" w:rsidRPr="00630B23">
          <w:rPr>
            <w:rStyle w:val="Hyperlink"/>
            <w:rFonts w:ascii="Arial" w:hAnsi="Arial" w:cs="Arial"/>
            <w:noProof/>
            <w:sz w:val="18"/>
            <w:szCs w:val="18"/>
            <w:lang w:val="mn-MN"/>
          </w:rPr>
          <w:t>Албан ёсны төсвийн алдагдал мөн харьцангуй бага байна</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_Toc371338633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25</w:t>
        </w:r>
        <w:r w:rsidR="00991996" w:rsidRPr="00630B23">
          <w:rPr>
            <w:rFonts w:ascii="Arial" w:hAnsi="Arial" w:cs="Arial"/>
            <w:noProof/>
            <w:webHidden/>
            <w:sz w:val="18"/>
            <w:szCs w:val="18"/>
          </w:rPr>
          <w:fldChar w:fldCharType="end"/>
        </w:r>
      </w:hyperlink>
    </w:p>
    <w:p w14:paraId="2E205B00" w14:textId="2BBF7C24" w:rsidR="00991996" w:rsidRPr="00630B23" w:rsidRDefault="00991996" w:rsidP="00630B23">
      <w:pPr>
        <w:pStyle w:val="TableofFigures"/>
        <w:tabs>
          <w:tab w:val="right" w:leader="dot" w:pos="9350"/>
        </w:tabs>
        <w:jc w:val="both"/>
        <w:rPr>
          <w:rStyle w:val="Hyperlink"/>
          <w:rFonts w:ascii="Arial" w:hAnsi="Arial" w:cs="Arial"/>
          <w:color w:val="auto"/>
          <w:sz w:val="18"/>
          <w:szCs w:val="18"/>
          <w:u w:val="none"/>
          <w:lang w:val="mn-MN"/>
        </w:rPr>
      </w:pPr>
      <w:r w:rsidRPr="00630B23">
        <w:rPr>
          <w:rStyle w:val="Hyperlink"/>
          <w:rFonts w:ascii="Arial" w:hAnsi="Arial" w:cs="Arial"/>
          <w:noProof/>
          <w:color w:val="auto"/>
          <w:sz w:val="18"/>
          <w:szCs w:val="18"/>
          <w:u w:val="none"/>
        </w:rPr>
        <w:t xml:space="preserve">Зураг </w:t>
      </w:r>
      <w:r w:rsidRPr="00630B23">
        <w:rPr>
          <w:rStyle w:val="Hyperlink"/>
          <w:rFonts w:ascii="Arial" w:hAnsi="Arial" w:cs="Arial"/>
          <w:noProof/>
          <w:color w:val="auto"/>
          <w:sz w:val="18"/>
          <w:szCs w:val="18"/>
          <w:u w:val="none"/>
        </w:rPr>
        <w:fldChar w:fldCharType="begin"/>
      </w:r>
      <w:r w:rsidRPr="00630B23">
        <w:rPr>
          <w:rStyle w:val="Hyperlink"/>
          <w:rFonts w:ascii="Arial" w:hAnsi="Arial" w:cs="Arial"/>
          <w:noProof/>
          <w:color w:val="auto"/>
          <w:sz w:val="18"/>
          <w:szCs w:val="18"/>
          <w:u w:val="none"/>
        </w:rPr>
        <w:instrText xml:space="preserve"> SEQ Figure \* ARABIC </w:instrText>
      </w:r>
      <w:r w:rsidRPr="00630B23">
        <w:rPr>
          <w:rStyle w:val="Hyperlink"/>
          <w:rFonts w:ascii="Arial" w:hAnsi="Arial" w:cs="Arial"/>
          <w:noProof/>
          <w:color w:val="auto"/>
          <w:sz w:val="18"/>
          <w:szCs w:val="18"/>
          <w:u w:val="none"/>
        </w:rPr>
        <w:fldChar w:fldCharType="separate"/>
      </w:r>
      <w:r w:rsidRPr="00630B23">
        <w:rPr>
          <w:rStyle w:val="Hyperlink"/>
          <w:rFonts w:ascii="Arial" w:hAnsi="Arial" w:cs="Arial"/>
          <w:noProof/>
          <w:color w:val="auto"/>
          <w:sz w:val="18"/>
          <w:szCs w:val="18"/>
          <w:u w:val="none"/>
        </w:rPr>
        <w:t>26</w:t>
      </w:r>
      <w:r w:rsidRPr="00630B23">
        <w:rPr>
          <w:rStyle w:val="Hyperlink"/>
          <w:rFonts w:ascii="Arial" w:hAnsi="Arial" w:cs="Arial"/>
          <w:noProof/>
          <w:color w:val="auto"/>
          <w:sz w:val="18"/>
          <w:szCs w:val="18"/>
          <w:u w:val="none"/>
        </w:rPr>
        <w:fldChar w:fldCharType="end"/>
      </w:r>
      <w:r w:rsidRPr="00630B23">
        <w:rPr>
          <w:rStyle w:val="Hyperlink"/>
          <w:rFonts w:ascii="Arial" w:hAnsi="Arial" w:cs="Arial"/>
          <w:noProof/>
          <w:color w:val="auto"/>
          <w:sz w:val="18"/>
          <w:szCs w:val="18"/>
          <w:u w:val="none"/>
        </w:rPr>
        <w:t>. Төсвөөс гадуурхи зарлага нэмэгдэж байна</w:t>
      </w:r>
      <w:r w:rsidRPr="00630B23">
        <w:rPr>
          <w:rStyle w:val="Hyperlink"/>
          <w:rFonts w:ascii="Arial" w:hAnsi="Arial" w:cs="Arial"/>
          <w:noProof/>
          <w:color w:val="auto"/>
          <w:sz w:val="18"/>
          <w:szCs w:val="18"/>
          <w:u w:val="none"/>
          <w:lang w:val="mn-MN"/>
        </w:rPr>
        <w:t>.............................................................................</w:t>
      </w:r>
      <w:r w:rsidR="0017164F">
        <w:rPr>
          <w:rStyle w:val="Hyperlink"/>
          <w:rFonts w:ascii="Arial" w:hAnsi="Arial" w:cs="Arial"/>
          <w:noProof/>
          <w:color w:val="auto"/>
          <w:sz w:val="18"/>
          <w:szCs w:val="18"/>
          <w:u w:val="none"/>
          <w:lang w:val="mn-MN"/>
        </w:rPr>
        <w:t>..................</w:t>
      </w:r>
      <w:r w:rsidRPr="00630B23">
        <w:rPr>
          <w:rStyle w:val="Hyperlink"/>
          <w:rFonts w:ascii="Arial" w:hAnsi="Arial" w:cs="Arial"/>
          <w:noProof/>
          <w:color w:val="auto"/>
          <w:sz w:val="18"/>
          <w:szCs w:val="18"/>
          <w:u w:val="none"/>
          <w:lang w:val="mn-MN"/>
        </w:rPr>
        <w:t>27</w:t>
      </w:r>
    </w:p>
    <w:p w14:paraId="1275A362" w14:textId="77777777" w:rsidR="00991996" w:rsidRPr="00630B23" w:rsidRDefault="00D05364" w:rsidP="00630B23">
      <w:pPr>
        <w:pStyle w:val="TableofFigures"/>
        <w:tabs>
          <w:tab w:val="right" w:leader="dot" w:pos="9350"/>
        </w:tabs>
        <w:jc w:val="both"/>
        <w:rPr>
          <w:rFonts w:ascii="Arial" w:hAnsi="Arial" w:cs="Arial"/>
          <w:noProof/>
          <w:sz w:val="18"/>
          <w:szCs w:val="18"/>
        </w:rPr>
      </w:pPr>
      <w:hyperlink w:anchor="_Toc371338634" w:history="1">
        <w:r w:rsidR="00991996" w:rsidRPr="00630B23">
          <w:rPr>
            <w:rStyle w:val="Hyperlink"/>
            <w:rFonts w:ascii="Arial" w:hAnsi="Arial" w:cs="Arial"/>
            <w:noProof/>
            <w:sz w:val="18"/>
            <w:szCs w:val="18"/>
            <w:lang w:val="mn-MN"/>
          </w:rPr>
          <w:t>Зураг 27. Төсвөөс гадуурхи зарлагыг оролцуулаад төсвийн нийт тэнцэл ДНБ-ий 11 гаран хувийг эзлэх болно</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_Toc371338634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27</w:t>
        </w:r>
        <w:r w:rsidR="00991996" w:rsidRPr="00630B23">
          <w:rPr>
            <w:rFonts w:ascii="Arial" w:hAnsi="Arial" w:cs="Arial"/>
            <w:noProof/>
            <w:webHidden/>
            <w:sz w:val="18"/>
            <w:szCs w:val="18"/>
          </w:rPr>
          <w:fldChar w:fldCharType="end"/>
        </w:r>
      </w:hyperlink>
    </w:p>
    <w:p w14:paraId="4609A22B" w14:textId="77777777" w:rsidR="00991996" w:rsidRPr="00630B23" w:rsidRDefault="00D05364" w:rsidP="00630B23">
      <w:pPr>
        <w:pStyle w:val="TableofFigures"/>
        <w:tabs>
          <w:tab w:val="right" w:leader="dot" w:pos="9350"/>
        </w:tabs>
        <w:jc w:val="both"/>
        <w:rPr>
          <w:rFonts w:ascii="Arial" w:hAnsi="Arial" w:cs="Arial"/>
          <w:noProof/>
          <w:sz w:val="18"/>
          <w:szCs w:val="18"/>
        </w:rPr>
      </w:pPr>
      <w:hyperlink w:anchor="_Toc371338635" w:history="1">
        <w:r w:rsidR="00991996" w:rsidRPr="00630B23">
          <w:rPr>
            <w:rStyle w:val="Hyperlink"/>
            <w:rFonts w:ascii="Arial" w:hAnsi="Arial" w:cs="Arial"/>
            <w:noProof/>
            <w:sz w:val="18"/>
            <w:szCs w:val="18"/>
            <w:lang w:val="mn-MN"/>
          </w:rPr>
          <w:t>Зураг 28. Монгол улсын төсвийн алдагдал нь Зүүн Азийн орнууд дотроо хамгийн өндөр нь байна</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_Toc371338635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27</w:t>
        </w:r>
        <w:r w:rsidR="00991996" w:rsidRPr="00630B23">
          <w:rPr>
            <w:rFonts w:ascii="Arial" w:hAnsi="Arial" w:cs="Arial"/>
            <w:noProof/>
            <w:webHidden/>
            <w:sz w:val="18"/>
            <w:szCs w:val="18"/>
          </w:rPr>
          <w:fldChar w:fldCharType="end"/>
        </w:r>
      </w:hyperlink>
    </w:p>
    <w:p w14:paraId="7A9F34F8" w14:textId="77777777" w:rsidR="00991996" w:rsidRPr="00630B23" w:rsidRDefault="00D05364" w:rsidP="00630B23">
      <w:pPr>
        <w:pStyle w:val="TableofFigures"/>
        <w:tabs>
          <w:tab w:val="right" w:leader="dot" w:pos="9350"/>
        </w:tabs>
        <w:jc w:val="both"/>
        <w:rPr>
          <w:rFonts w:ascii="Arial" w:hAnsi="Arial" w:cs="Arial"/>
          <w:noProof/>
          <w:sz w:val="18"/>
          <w:szCs w:val="18"/>
        </w:rPr>
      </w:pPr>
      <w:hyperlink w:anchor="_Toc371338636" w:history="1">
        <w:r w:rsidR="00991996" w:rsidRPr="00630B23">
          <w:rPr>
            <w:rStyle w:val="Hyperlink"/>
            <w:rFonts w:ascii="Arial" w:hAnsi="Arial" w:cs="Arial"/>
            <w:noProof/>
            <w:sz w:val="18"/>
            <w:szCs w:val="18"/>
            <w:lang w:val="mn-MN"/>
          </w:rPr>
          <w:t>Зураг 29. Засгийн газрын зардлын ДНБ-д эзлэх хувь ДНБ-ий 47 хувиас давахаар байна</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_Toc371338636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27</w:t>
        </w:r>
        <w:r w:rsidR="00991996" w:rsidRPr="00630B23">
          <w:rPr>
            <w:rFonts w:ascii="Arial" w:hAnsi="Arial" w:cs="Arial"/>
            <w:noProof/>
            <w:webHidden/>
            <w:sz w:val="18"/>
            <w:szCs w:val="18"/>
          </w:rPr>
          <w:fldChar w:fldCharType="end"/>
        </w:r>
      </w:hyperlink>
    </w:p>
    <w:p w14:paraId="48BFF6C5" w14:textId="77777777" w:rsidR="00991996" w:rsidRPr="00630B23" w:rsidRDefault="00D05364" w:rsidP="00630B23">
      <w:pPr>
        <w:pStyle w:val="TableofFigures"/>
        <w:tabs>
          <w:tab w:val="right" w:leader="dot" w:pos="9350"/>
        </w:tabs>
        <w:jc w:val="both"/>
        <w:rPr>
          <w:rFonts w:ascii="Arial" w:hAnsi="Arial" w:cs="Arial"/>
          <w:noProof/>
          <w:sz w:val="18"/>
          <w:szCs w:val="18"/>
        </w:rPr>
      </w:pPr>
      <w:hyperlink w:anchor="_Toc371338637" w:history="1">
        <w:r w:rsidR="00991996" w:rsidRPr="00630B23">
          <w:rPr>
            <w:rStyle w:val="Hyperlink"/>
            <w:rFonts w:ascii="Arial" w:hAnsi="Arial" w:cs="Arial"/>
            <w:noProof/>
            <w:sz w:val="18"/>
            <w:szCs w:val="18"/>
            <w:lang w:val="mn-MN"/>
          </w:rPr>
          <w:t>Зураг 30. Улсын өрийн ДНБ-д эзлэх хувь 2012 онд 63 хувьд хүрсэн</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_Toc371338637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29</w:t>
        </w:r>
        <w:r w:rsidR="00991996" w:rsidRPr="00630B23">
          <w:rPr>
            <w:rFonts w:ascii="Arial" w:hAnsi="Arial" w:cs="Arial"/>
            <w:noProof/>
            <w:webHidden/>
            <w:sz w:val="18"/>
            <w:szCs w:val="18"/>
          </w:rPr>
          <w:fldChar w:fldCharType="end"/>
        </w:r>
      </w:hyperlink>
    </w:p>
    <w:p w14:paraId="076AB3F8" w14:textId="77777777" w:rsidR="00991996" w:rsidRPr="00630B23" w:rsidRDefault="00D05364" w:rsidP="00630B23">
      <w:pPr>
        <w:pStyle w:val="TableofFigures"/>
        <w:tabs>
          <w:tab w:val="right" w:leader="dot" w:pos="9350"/>
        </w:tabs>
        <w:jc w:val="both"/>
        <w:rPr>
          <w:rFonts w:ascii="Arial" w:hAnsi="Arial" w:cs="Arial"/>
          <w:noProof/>
          <w:sz w:val="18"/>
          <w:szCs w:val="18"/>
        </w:rPr>
      </w:pPr>
      <w:hyperlink w:anchor="_Toc371338638" w:history="1">
        <w:r w:rsidR="00991996" w:rsidRPr="00630B23">
          <w:rPr>
            <w:rStyle w:val="Hyperlink"/>
            <w:rFonts w:ascii="Arial" w:hAnsi="Arial" w:cs="Arial"/>
            <w:noProof/>
            <w:sz w:val="18"/>
            <w:szCs w:val="18"/>
            <w:lang w:val="mn-MN"/>
          </w:rPr>
          <w:t>Зураг 31. Хөрөнгийн зардал хурдацтай өсч байна</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_Toc371338638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29</w:t>
        </w:r>
        <w:r w:rsidR="00991996" w:rsidRPr="00630B23">
          <w:rPr>
            <w:rFonts w:ascii="Arial" w:hAnsi="Arial" w:cs="Arial"/>
            <w:noProof/>
            <w:webHidden/>
            <w:sz w:val="18"/>
            <w:szCs w:val="18"/>
          </w:rPr>
          <w:fldChar w:fldCharType="end"/>
        </w:r>
      </w:hyperlink>
    </w:p>
    <w:p w14:paraId="2386E0C0" w14:textId="77777777" w:rsidR="00991996" w:rsidRPr="00630B23" w:rsidRDefault="00D05364" w:rsidP="00630B23">
      <w:pPr>
        <w:pStyle w:val="TableofFigures"/>
        <w:tabs>
          <w:tab w:val="right" w:leader="dot" w:pos="9350"/>
        </w:tabs>
        <w:jc w:val="both"/>
        <w:rPr>
          <w:rFonts w:ascii="Arial" w:hAnsi="Arial" w:cs="Arial"/>
          <w:noProof/>
          <w:sz w:val="18"/>
          <w:szCs w:val="18"/>
        </w:rPr>
      </w:pPr>
      <w:hyperlink w:anchor="_Toc371338639" w:history="1">
        <w:r w:rsidR="00991996" w:rsidRPr="00630B23">
          <w:rPr>
            <w:rStyle w:val="Hyperlink"/>
            <w:rFonts w:ascii="Arial" w:hAnsi="Arial" w:cs="Arial"/>
            <w:noProof/>
            <w:sz w:val="18"/>
            <w:szCs w:val="18"/>
            <w:lang w:val="mn-MN"/>
          </w:rPr>
          <w:t>Зураг</w:t>
        </w:r>
        <w:r w:rsidR="00991996" w:rsidRPr="00630B23">
          <w:rPr>
            <w:rStyle w:val="Hyperlink"/>
            <w:rFonts w:ascii="Arial" w:hAnsi="Arial" w:cs="Arial"/>
            <w:noProof/>
            <w:sz w:val="18"/>
            <w:szCs w:val="18"/>
          </w:rPr>
          <w:t xml:space="preserve"> 32. </w:t>
        </w:r>
        <w:r w:rsidR="00991996" w:rsidRPr="00630B23">
          <w:rPr>
            <w:rStyle w:val="Hyperlink"/>
            <w:rFonts w:ascii="Arial" w:hAnsi="Arial" w:cs="Arial"/>
            <w:noProof/>
            <w:sz w:val="18"/>
            <w:szCs w:val="18"/>
            <w:lang w:val="mn-MN"/>
          </w:rPr>
          <w:t>Төв банкнаас арилжааны банкуудад хөрвөх чадварыг нэмэгдүүлэхээр мөнгө оруулсан нь хувийн салбарын зээлийн өсөлтийг хурдасгаж байна</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_Toc371338639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31</w:t>
        </w:r>
        <w:r w:rsidR="00991996" w:rsidRPr="00630B23">
          <w:rPr>
            <w:rFonts w:ascii="Arial" w:hAnsi="Arial" w:cs="Arial"/>
            <w:noProof/>
            <w:webHidden/>
            <w:sz w:val="18"/>
            <w:szCs w:val="18"/>
          </w:rPr>
          <w:fldChar w:fldCharType="end"/>
        </w:r>
      </w:hyperlink>
    </w:p>
    <w:p w14:paraId="0868ED4F" w14:textId="77777777" w:rsidR="00991996" w:rsidRPr="00630B23" w:rsidRDefault="00D05364" w:rsidP="00630B23">
      <w:pPr>
        <w:pStyle w:val="TableofFigures"/>
        <w:tabs>
          <w:tab w:val="right" w:leader="dot" w:pos="9350"/>
        </w:tabs>
        <w:jc w:val="both"/>
        <w:rPr>
          <w:rFonts w:ascii="Arial" w:hAnsi="Arial" w:cs="Arial"/>
          <w:noProof/>
          <w:sz w:val="18"/>
          <w:szCs w:val="18"/>
        </w:rPr>
      </w:pPr>
      <w:hyperlink w:anchor="_Toc371338640" w:history="1">
        <w:r w:rsidR="00991996" w:rsidRPr="00630B23">
          <w:rPr>
            <w:rStyle w:val="Hyperlink"/>
            <w:rFonts w:ascii="Arial" w:hAnsi="Arial" w:cs="Arial"/>
            <w:noProof/>
            <w:sz w:val="18"/>
            <w:szCs w:val="18"/>
            <w:lang w:val="mn-MN"/>
          </w:rPr>
          <w:t>Зураг</w:t>
        </w:r>
        <w:r w:rsidR="00991996" w:rsidRPr="00630B23">
          <w:rPr>
            <w:rStyle w:val="Hyperlink"/>
            <w:rFonts w:ascii="Arial" w:hAnsi="Arial" w:cs="Arial"/>
            <w:noProof/>
            <w:sz w:val="18"/>
            <w:szCs w:val="18"/>
          </w:rPr>
          <w:t xml:space="preserve"> 33. </w:t>
        </w:r>
        <w:r w:rsidR="00991996" w:rsidRPr="00630B23">
          <w:rPr>
            <w:rStyle w:val="Hyperlink"/>
            <w:rFonts w:ascii="Arial" w:hAnsi="Arial" w:cs="Arial"/>
            <w:noProof/>
            <w:sz w:val="18"/>
            <w:szCs w:val="18"/>
            <w:lang w:val="mn-MN"/>
          </w:rPr>
          <w:t>Тус бүс нутагийн хөгжиж буй бусад эдийн засагтай харьцуулбал зээлийн өсөлт өндөр, хэлбэлзэл ихтэй байна</w:t>
        </w:r>
        <w:r w:rsidR="00991996" w:rsidRPr="00630B23">
          <w:rPr>
            <w:rStyle w:val="Hyperlink"/>
            <w:rFonts w:ascii="Arial" w:hAnsi="Arial" w:cs="Arial"/>
            <w:noProof/>
            <w:sz w:val="18"/>
            <w:szCs w:val="18"/>
          </w:rPr>
          <w:t xml:space="preserve"> …</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_Toc371338640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31</w:t>
        </w:r>
        <w:r w:rsidR="00991996" w:rsidRPr="00630B23">
          <w:rPr>
            <w:rFonts w:ascii="Arial" w:hAnsi="Arial" w:cs="Arial"/>
            <w:noProof/>
            <w:webHidden/>
            <w:sz w:val="18"/>
            <w:szCs w:val="18"/>
          </w:rPr>
          <w:fldChar w:fldCharType="end"/>
        </w:r>
      </w:hyperlink>
    </w:p>
    <w:p w14:paraId="3C64B515" w14:textId="77777777" w:rsidR="00991996" w:rsidRPr="00630B23" w:rsidRDefault="00D05364" w:rsidP="00630B23">
      <w:pPr>
        <w:pStyle w:val="TableofFigures"/>
        <w:tabs>
          <w:tab w:val="right" w:leader="dot" w:pos="9350"/>
        </w:tabs>
        <w:jc w:val="both"/>
        <w:rPr>
          <w:rFonts w:ascii="Arial" w:hAnsi="Arial" w:cs="Arial"/>
          <w:noProof/>
          <w:sz w:val="18"/>
          <w:szCs w:val="18"/>
        </w:rPr>
      </w:pPr>
      <w:hyperlink w:anchor="_Toc371338641" w:history="1">
        <w:r w:rsidR="00991996" w:rsidRPr="00630B23">
          <w:rPr>
            <w:rStyle w:val="Hyperlink"/>
            <w:rFonts w:ascii="Arial" w:hAnsi="Arial" w:cs="Arial"/>
            <w:noProof/>
            <w:sz w:val="18"/>
            <w:szCs w:val="18"/>
            <w:lang w:val="mn-MN"/>
          </w:rPr>
          <w:t>Зураг</w:t>
        </w:r>
        <w:r w:rsidR="00991996" w:rsidRPr="00630B23">
          <w:rPr>
            <w:rStyle w:val="Hyperlink"/>
            <w:rFonts w:ascii="Arial" w:hAnsi="Arial" w:cs="Arial"/>
            <w:noProof/>
            <w:sz w:val="18"/>
            <w:szCs w:val="18"/>
          </w:rPr>
          <w:t xml:space="preserve"> 34.…</w:t>
        </w:r>
        <w:r w:rsidR="00991996" w:rsidRPr="00630B23">
          <w:rPr>
            <w:rStyle w:val="Hyperlink"/>
            <w:rFonts w:ascii="Arial" w:hAnsi="Arial" w:cs="Arial"/>
            <w:noProof/>
            <w:sz w:val="18"/>
            <w:szCs w:val="18"/>
            <w:lang w:val="mn-MN"/>
          </w:rPr>
          <w:t>мөн</w:t>
        </w:r>
        <w:r w:rsidR="00991996" w:rsidRPr="00630B23">
          <w:rPr>
            <w:rStyle w:val="Hyperlink"/>
            <w:rFonts w:ascii="Arial" w:hAnsi="Arial" w:cs="Arial"/>
            <w:noProof/>
            <w:sz w:val="18"/>
            <w:szCs w:val="18"/>
          </w:rPr>
          <w:t xml:space="preserve"> </w:t>
        </w:r>
        <w:r w:rsidR="00991996" w:rsidRPr="00630B23">
          <w:rPr>
            <w:rStyle w:val="Hyperlink"/>
            <w:rFonts w:ascii="Arial" w:hAnsi="Arial" w:cs="Arial"/>
            <w:noProof/>
            <w:sz w:val="18"/>
            <w:szCs w:val="18"/>
            <w:lang w:val="mn-MN"/>
          </w:rPr>
          <w:t>дотоодын зээлийн ДНБ-д харьцуулсан харьцаа өсч байна</w:t>
        </w:r>
        <w:r w:rsidR="00991996" w:rsidRPr="00630B23">
          <w:rPr>
            <w:rStyle w:val="Hyperlink"/>
            <w:rFonts w:ascii="Arial" w:hAnsi="Arial" w:cs="Arial"/>
            <w:noProof/>
            <w:sz w:val="18"/>
            <w:szCs w:val="18"/>
          </w:rPr>
          <w:t xml:space="preserve"> …</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_Toc371338641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31</w:t>
        </w:r>
        <w:r w:rsidR="00991996" w:rsidRPr="00630B23">
          <w:rPr>
            <w:rFonts w:ascii="Arial" w:hAnsi="Arial" w:cs="Arial"/>
            <w:noProof/>
            <w:webHidden/>
            <w:sz w:val="18"/>
            <w:szCs w:val="18"/>
          </w:rPr>
          <w:fldChar w:fldCharType="end"/>
        </w:r>
      </w:hyperlink>
    </w:p>
    <w:p w14:paraId="7E83C81B" w14:textId="77777777" w:rsidR="00991996" w:rsidRPr="00630B23" w:rsidRDefault="00D05364" w:rsidP="00630B23">
      <w:pPr>
        <w:pStyle w:val="TableofFigures"/>
        <w:tabs>
          <w:tab w:val="right" w:leader="dot" w:pos="9350"/>
        </w:tabs>
        <w:jc w:val="both"/>
        <w:rPr>
          <w:rFonts w:ascii="Arial" w:hAnsi="Arial" w:cs="Arial"/>
          <w:noProof/>
          <w:sz w:val="18"/>
          <w:szCs w:val="18"/>
        </w:rPr>
      </w:pPr>
      <w:hyperlink w:anchor="_Toc371338642" w:history="1">
        <w:r w:rsidR="00991996" w:rsidRPr="00630B23">
          <w:rPr>
            <w:rStyle w:val="Hyperlink"/>
            <w:rFonts w:ascii="Arial" w:hAnsi="Arial" w:cs="Arial"/>
            <w:noProof/>
            <w:sz w:val="18"/>
            <w:szCs w:val="18"/>
            <w:lang w:val="mn-MN"/>
          </w:rPr>
          <w:t>Зураг</w:t>
        </w:r>
        <w:r w:rsidR="00991996" w:rsidRPr="00630B23">
          <w:rPr>
            <w:rStyle w:val="Hyperlink"/>
            <w:rFonts w:ascii="Arial" w:hAnsi="Arial" w:cs="Arial"/>
            <w:noProof/>
            <w:sz w:val="18"/>
            <w:szCs w:val="18"/>
          </w:rPr>
          <w:t xml:space="preserve"> 35. </w:t>
        </w:r>
        <w:r w:rsidR="00991996" w:rsidRPr="00630B23">
          <w:rPr>
            <w:rStyle w:val="Hyperlink"/>
            <w:rFonts w:ascii="Arial" w:hAnsi="Arial" w:cs="Arial"/>
            <w:noProof/>
            <w:sz w:val="18"/>
            <w:szCs w:val="18"/>
            <w:lang w:val="mn-MN"/>
          </w:rPr>
          <w:t>Зээлийн хадгаламжийн харьцаа өсч байна</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_Toc371338642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32</w:t>
        </w:r>
        <w:r w:rsidR="00991996" w:rsidRPr="00630B23">
          <w:rPr>
            <w:rFonts w:ascii="Arial" w:hAnsi="Arial" w:cs="Arial"/>
            <w:noProof/>
            <w:webHidden/>
            <w:sz w:val="18"/>
            <w:szCs w:val="18"/>
          </w:rPr>
          <w:fldChar w:fldCharType="end"/>
        </w:r>
      </w:hyperlink>
    </w:p>
    <w:p w14:paraId="20A0C014" w14:textId="77777777" w:rsidR="00991996" w:rsidRPr="00630B23" w:rsidRDefault="00D05364" w:rsidP="00630B23">
      <w:pPr>
        <w:pStyle w:val="TableofFigures"/>
        <w:tabs>
          <w:tab w:val="right" w:leader="dot" w:pos="9350"/>
        </w:tabs>
        <w:jc w:val="both"/>
        <w:rPr>
          <w:rFonts w:ascii="Arial" w:hAnsi="Arial" w:cs="Arial"/>
          <w:noProof/>
          <w:sz w:val="18"/>
          <w:szCs w:val="18"/>
        </w:rPr>
      </w:pPr>
      <w:hyperlink w:anchor="_Toc371338643" w:history="1">
        <w:r w:rsidR="00991996" w:rsidRPr="00630B23">
          <w:rPr>
            <w:rStyle w:val="Hyperlink"/>
            <w:rFonts w:ascii="Arial" w:hAnsi="Arial" w:cs="Arial"/>
            <w:noProof/>
            <w:sz w:val="18"/>
            <w:szCs w:val="18"/>
            <w:lang w:val="mn-MN"/>
          </w:rPr>
          <w:t>Зураг</w:t>
        </w:r>
        <w:r w:rsidR="00991996" w:rsidRPr="00630B23">
          <w:rPr>
            <w:rStyle w:val="Hyperlink"/>
            <w:rFonts w:ascii="Arial" w:hAnsi="Arial" w:cs="Arial"/>
            <w:noProof/>
            <w:sz w:val="18"/>
            <w:szCs w:val="18"/>
          </w:rPr>
          <w:t xml:space="preserve"> 36. </w:t>
        </w:r>
        <w:r w:rsidR="00991996" w:rsidRPr="00630B23">
          <w:rPr>
            <w:rStyle w:val="Hyperlink"/>
            <w:rFonts w:ascii="Arial" w:hAnsi="Arial" w:cs="Arial"/>
            <w:noProof/>
            <w:sz w:val="18"/>
            <w:szCs w:val="18"/>
            <w:lang w:val="mn-MN"/>
          </w:rPr>
          <w:t>Төгрөгийн болон гадаад валютын хадгаламж</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_Toc371338643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32</w:t>
        </w:r>
        <w:r w:rsidR="00991996" w:rsidRPr="00630B23">
          <w:rPr>
            <w:rFonts w:ascii="Arial" w:hAnsi="Arial" w:cs="Arial"/>
            <w:noProof/>
            <w:webHidden/>
            <w:sz w:val="18"/>
            <w:szCs w:val="18"/>
          </w:rPr>
          <w:fldChar w:fldCharType="end"/>
        </w:r>
      </w:hyperlink>
    </w:p>
    <w:p w14:paraId="51F573F0" w14:textId="77777777" w:rsidR="00991996" w:rsidRPr="00630B23" w:rsidRDefault="00D05364" w:rsidP="00630B23">
      <w:pPr>
        <w:pStyle w:val="TableofFigures"/>
        <w:tabs>
          <w:tab w:val="right" w:leader="dot" w:pos="9350"/>
        </w:tabs>
        <w:jc w:val="both"/>
        <w:rPr>
          <w:rFonts w:ascii="Arial" w:hAnsi="Arial" w:cs="Arial"/>
          <w:noProof/>
          <w:sz w:val="18"/>
          <w:szCs w:val="18"/>
        </w:rPr>
      </w:pPr>
      <w:hyperlink w:anchor="_Toc371338644" w:history="1">
        <w:r w:rsidR="00991996" w:rsidRPr="00630B23">
          <w:rPr>
            <w:rStyle w:val="Hyperlink"/>
            <w:rFonts w:ascii="Arial" w:hAnsi="Arial" w:cs="Arial"/>
            <w:noProof/>
            <w:sz w:val="18"/>
            <w:szCs w:val="18"/>
            <w:lang w:val="mn-MN"/>
          </w:rPr>
          <w:t>Зураг</w:t>
        </w:r>
        <w:r w:rsidR="00991996" w:rsidRPr="00630B23">
          <w:rPr>
            <w:rStyle w:val="Hyperlink"/>
            <w:rFonts w:ascii="Arial" w:hAnsi="Arial" w:cs="Arial"/>
            <w:noProof/>
            <w:sz w:val="18"/>
            <w:szCs w:val="18"/>
          </w:rPr>
          <w:t xml:space="preserve"> 37. </w:t>
        </w:r>
        <w:r w:rsidR="00991996" w:rsidRPr="00630B23">
          <w:rPr>
            <w:rStyle w:val="Hyperlink"/>
            <w:rFonts w:ascii="Arial" w:hAnsi="Arial" w:cs="Arial"/>
            <w:noProof/>
            <w:sz w:val="18"/>
            <w:szCs w:val="18"/>
            <w:lang w:val="mn-MN"/>
          </w:rPr>
          <w:t>Нөөц мөнгөний өсөлт саяхнаас буурлаа</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_Toc371338644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33</w:t>
        </w:r>
        <w:r w:rsidR="00991996" w:rsidRPr="00630B23">
          <w:rPr>
            <w:rFonts w:ascii="Arial" w:hAnsi="Arial" w:cs="Arial"/>
            <w:noProof/>
            <w:webHidden/>
            <w:sz w:val="18"/>
            <w:szCs w:val="18"/>
          </w:rPr>
          <w:fldChar w:fldCharType="end"/>
        </w:r>
      </w:hyperlink>
    </w:p>
    <w:p w14:paraId="506DB2A0" w14:textId="77777777" w:rsidR="00991996" w:rsidRPr="00630B23" w:rsidRDefault="00D05364" w:rsidP="00630B23">
      <w:pPr>
        <w:pStyle w:val="TableofFigures"/>
        <w:tabs>
          <w:tab w:val="right" w:leader="dot" w:pos="9350"/>
        </w:tabs>
        <w:jc w:val="both"/>
        <w:rPr>
          <w:rFonts w:ascii="Arial" w:hAnsi="Arial" w:cs="Arial"/>
          <w:noProof/>
          <w:sz w:val="18"/>
          <w:szCs w:val="18"/>
        </w:rPr>
      </w:pPr>
      <w:hyperlink w:anchor="_Toc371338645" w:history="1">
        <w:r w:rsidR="00991996" w:rsidRPr="00630B23">
          <w:rPr>
            <w:rStyle w:val="Hyperlink"/>
            <w:rFonts w:ascii="Arial" w:hAnsi="Arial" w:cs="Arial"/>
            <w:noProof/>
            <w:sz w:val="18"/>
            <w:szCs w:val="18"/>
            <w:lang w:val="mn-MN"/>
          </w:rPr>
          <w:t>Зураг</w:t>
        </w:r>
        <w:r w:rsidR="00991996" w:rsidRPr="00630B23">
          <w:rPr>
            <w:rStyle w:val="Hyperlink"/>
            <w:rFonts w:ascii="Arial" w:hAnsi="Arial" w:cs="Arial"/>
            <w:noProof/>
            <w:sz w:val="18"/>
            <w:szCs w:val="18"/>
          </w:rPr>
          <w:t xml:space="preserve"> 38. </w:t>
        </w:r>
        <w:r w:rsidR="00991996" w:rsidRPr="00630B23">
          <w:rPr>
            <w:rStyle w:val="Hyperlink"/>
            <w:rFonts w:ascii="Arial" w:hAnsi="Arial" w:cs="Arial"/>
            <w:noProof/>
            <w:sz w:val="18"/>
            <w:szCs w:val="18"/>
            <w:lang w:val="mn-MN"/>
          </w:rPr>
          <w:t>Барилгын зээл хурдацтайгаар өсч байна</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_Toc371338645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34</w:t>
        </w:r>
        <w:r w:rsidR="00991996" w:rsidRPr="00630B23">
          <w:rPr>
            <w:rFonts w:ascii="Arial" w:hAnsi="Arial" w:cs="Arial"/>
            <w:noProof/>
            <w:webHidden/>
            <w:sz w:val="18"/>
            <w:szCs w:val="18"/>
          </w:rPr>
          <w:fldChar w:fldCharType="end"/>
        </w:r>
      </w:hyperlink>
    </w:p>
    <w:p w14:paraId="1B6A884F" w14:textId="77777777" w:rsidR="00991996" w:rsidRPr="00630B23" w:rsidRDefault="00D05364" w:rsidP="00630B23">
      <w:pPr>
        <w:pStyle w:val="TableofFigures"/>
        <w:tabs>
          <w:tab w:val="right" w:leader="dot" w:pos="9350"/>
        </w:tabs>
        <w:jc w:val="both"/>
        <w:rPr>
          <w:rFonts w:ascii="Arial" w:hAnsi="Arial" w:cs="Arial"/>
          <w:noProof/>
          <w:sz w:val="18"/>
          <w:szCs w:val="18"/>
        </w:rPr>
      </w:pPr>
      <w:hyperlink w:anchor="_Toc371338646" w:history="1">
        <w:r w:rsidR="00991996" w:rsidRPr="00630B23">
          <w:rPr>
            <w:rStyle w:val="Hyperlink"/>
            <w:rFonts w:ascii="Arial" w:hAnsi="Arial" w:cs="Arial"/>
            <w:noProof/>
            <w:sz w:val="18"/>
            <w:szCs w:val="18"/>
            <w:lang w:val="mn-MN"/>
          </w:rPr>
          <w:t>Зураг</w:t>
        </w:r>
        <w:r w:rsidR="00991996" w:rsidRPr="00630B23">
          <w:rPr>
            <w:rStyle w:val="Hyperlink"/>
            <w:rFonts w:ascii="Arial" w:hAnsi="Arial" w:cs="Arial"/>
            <w:noProof/>
            <w:sz w:val="18"/>
            <w:szCs w:val="18"/>
          </w:rPr>
          <w:t xml:space="preserve"> 39. </w:t>
        </w:r>
        <w:r w:rsidR="00991996" w:rsidRPr="00630B23">
          <w:rPr>
            <w:rStyle w:val="Hyperlink"/>
            <w:rFonts w:ascii="Arial" w:hAnsi="Arial" w:cs="Arial"/>
            <w:noProof/>
            <w:sz w:val="18"/>
            <w:szCs w:val="18"/>
            <w:lang w:val="mn-MN"/>
          </w:rPr>
          <w:t>Барилгын салбарын зээлийн эзлэх хувь өсч байна</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_Toc371338646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34</w:t>
        </w:r>
        <w:r w:rsidR="00991996" w:rsidRPr="00630B23">
          <w:rPr>
            <w:rFonts w:ascii="Arial" w:hAnsi="Arial" w:cs="Arial"/>
            <w:noProof/>
            <w:webHidden/>
            <w:sz w:val="18"/>
            <w:szCs w:val="18"/>
          </w:rPr>
          <w:fldChar w:fldCharType="end"/>
        </w:r>
      </w:hyperlink>
    </w:p>
    <w:p w14:paraId="60FBEC8E" w14:textId="77777777" w:rsidR="00991996" w:rsidRPr="00630B23" w:rsidRDefault="00D05364" w:rsidP="00630B23">
      <w:pPr>
        <w:pStyle w:val="TableofFigures"/>
        <w:tabs>
          <w:tab w:val="right" w:leader="dot" w:pos="9350"/>
        </w:tabs>
        <w:jc w:val="both"/>
        <w:rPr>
          <w:rFonts w:ascii="Arial" w:hAnsi="Arial" w:cs="Arial"/>
          <w:noProof/>
          <w:sz w:val="18"/>
          <w:szCs w:val="18"/>
        </w:rPr>
      </w:pPr>
      <w:hyperlink w:anchor="_Toc371338647" w:history="1">
        <w:r w:rsidR="00991996" w:rsidRPr="00630B23">
          <w:rPr>
            <w:rStyle w:val="Hyperlink"/>
            <w:rFonts w:ascii="Arial" w:hAnsi="Arial" w:cs="Arial"/>
            <w:noProof/>
            <w:sz w:val="18"/>
            <w:szCs w:val="18"/>
            <w:lang w:val="mn-MN"/>
          </w:rPr>
          <w:t>Зураг</w:t>
        </w:r>
        <w:r w:rsidR="00991996" w:rsidRPr="00630B23">
          <w:rPr>
            <w:rStyle w:val="Hyperlink"/>
            <w:rFonts w:ascii="Arial" w:hAnsi="Arial" w:cs="Arial"/>
            <w:noProof/>
            <w:sz w:val="18"/>
            <w:szCs w:val="18"/>
          </w:rPr>
          <w:t xml:space="preserve"> 40. </w:t>
        </w:r>
        <w:r w:rsidR="00991996" w:rsidRPr="00630B23">
          <w:rPr>
            <w:rStyle w:val="Hyperlink"/>
            <w:rFonts w:ascii="Arial" w:hAnsi="Arial" w:cs="Arial"/>
            <w:noProof/>
            <w:sz w:val="18"/>
            <w:szCs w:val="18"/>
            <w:lang w:val="mn-MN"/>
          </w:rPr>
          <w:t>Сүүлийн саруудад ЧЗХ харьцаа өсч байна</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_Toc371338647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35</w:t>
        </w:r>
        <w:r w:rsidR="00991996" w:rsidRPr="00630B23">
          <w:rPr>
            <w:rFonts w:ascii="Arial" w:hAnsi="Arial" w:cs="Arial"/>
            <w:noProof/>
            <w:webHidden/>
            <w:sz w:val="18"/>
            <w:szCs w:val="18"/>
          </w:rPr>
          <w:fldChar w:fldCharType="end"/>
        </w:r>
      </w:hyperlink>
    </w:p>
    <w:p w14:paraId="3BAEE3B8" w14:textId="77777777" w:rsidR="00991996" w:rsidRPr="00630B23" w:rsidRDefault="00D05364" w:rsidP="00630B23">
      <w:pPr>
        <w:pStyle w:val="TableofFigures"/>
        <w:tabs>
          <w:tab w:val="right" w:leader="dot" w:pos="9350"/>
        </w:tabs>
        <w:jc w:val="both"/>
        <w:rPr>
          <w:rFonts w:ascii="Arial" w:hAnsi="Arial" w:cs="Arial"/>
          <w:noProof/>
          <w:sz w:val="18"/>
          <w:szCs w:val="18"/>
        </w:rPr>
      </w:pPr>
      <w:hyperlink w:anchor="_Toc371338648" w:history="1">
        <w:r w:rsidR="00991996" w:rsidRPr="00630B23">
          <w:rPr>
            <w:rStyle w:val="Hyperlink"/>
            <w:rFonts w:ascii="Arial" w:hAnsi="Arial" w:cs="Arial"/>
            <w:noProof/>
            <w:sz w:val="18"/>
            <w:szCs w:val="18"/>
            <w:lang w:val="mn-MN"/>
          </w:rPr>
          <w:t>Зураг</w:t>
        </w:r>
        <w:r w:rsidR="00991996" w:rsidRPr="00630B23">
          <w:rPr>
            <w:rStyle w:val="Hyperlink"/>
            <w:rFonts w:ascii="Arial" w:hAnsi="Arial" w:cs="Arial"/>
            <w:noProof/>
            <w:sz w:val="18"/>
            <w:szCs w:val="18"/>
          </w:rPr>
          <w:t xml:space="preserve"> 41. </w:t>
        </w:r>
        <w:r w:rsidR="00991996" w:rsidRPr="00630B23">
          <w:rPr>
            <w:rStyle w:val="Hyperlink"/>
            <w:rFonts w:ascii="Arial" w:hAnsi="Arial" w:cs="Arial"/>
            <w:noProof/>
            <w:sz w:val="18"/>
            <w:szCs w:val="18"/>
            <w:lang w:val="mn-MN"/>
          </w:rPr>
          <w:t>ЧЗХ хэмжээ нь 9 сард өслөө</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_Toc371338648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35</w:t>
        </w:r>
        <w:r w:rsidR="00991996" w:rsidRPr="00630B23">
          <w:rPr>
            <w:rFonts w:ascii="Arial" w:hAnsi="Arial" w:cs="Arial"/>
            <w:noProof/>
            <w:webHidden/>
            <w:sz w:val="18"/>
            <w:szCs w:val="18"/>
          </w:rPr>
          <w:fldChar w:fldCharType="end"/>
        </w:r>
      </w:hyperlink>
    </w:p>
    <w:p w14:paraId="3F62E568" w14:textId="77777777" w:rsidR="00991996" w:rsidRPr="00630B23" w:rsidRDefault="00D05364" w:rsidP="00630B23">
      <w:pPr>
        <w:pStyle w:val="TableofFigures"/>
        <w:tabs>
          <w:tab w:val="right" w:leader="dot" w:pos="9350"/>
        </w:tabs>
        <w:jc w:val="both"/>
        <w:rPr>
          <w:rFonts w:ascii="Arial" w:hAnsi="Arial" w:cs="Arial"/>
          <w:noProof/>
          <w:sz w:val="18"/>
          <w:szCs w:val="18"/>
        </w:rPr>
      </w:pPr>
      <w:hyperlink w:anchor="_Toc371338649" w:history="1">
        <w:r w:rsidR="00991996" w:rsidRPr="00630B23">
          <w:rPr>
            <w:rStyle w:val="Hyperlink"/>
            <w:rFonts w:ascii="Arial" w:hAnsi="Arial" w:cs="Arial"/>
            <w:noProof/>
            <w:sz w:val="18"/>
            <w:szCs w:val="18"/>
            <w:lang w:val="mn-MN"/>
          </w:rPr>
          <w:t>Зураг</w:t>
        </w:r>
        <w:r w:rsidR="00991996" w:rsidRPr="00630B23">
          <w:rPr>
            <w:rStyle w:val="Hyperlink"/>
            <w:rFonts w:ascii="Arial" w:hAnsi="Arial" w:cs="Arial"/>
            <w:noProof/>
            <w:sz w:val="18"/>
            <w:szCs w:val="18"/>
          </w:rPr>
          <w:t xml:space="preserve"> 42. </w:t>
        </w:r>
        <w:r w:rsidR="00991996" w:rsidRPr="00630B23">
          <w:rPr>
            <w:rStyle w:val="Hyperlink"/>
            <w:rFonts w:ascii="Arial" w:hAnsi="Arial" w:cs="Arial"/>
            <w:noProof/>
            <w:sz w:val="18"/>
            <w:szCs w:val="18"/>
            <w:lang w:val="mn-MN"/>
          </w:rPr>
          <w:t>Их хэмжээний гадаад худалдааны алдагдал үргэлжилсээр</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_Toc371338649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40</w:t>
        </w:r>
        <w:r w:rsidR="00991996" w:rsidRPr="00630B23">
          <w:rPr>
            <w:rFonts w:ascii="Arial" w:hAnsi="Arial" w:cs="Arial"/>
            <w:noProof/>
            <w:webHidden/>
            <w:sz w:val="18"/>
            <w:szCs w:val="18"/>
          </w:rPr>
          <w:fldChar w:fldCharType="end"/>
        </w:r>
      </w:hyperlink>
    </w:p>
    <w:p w14:paraId="50079F45" w14:textId="77777777" w:rsidR="00991996" w:rsidRPr="00630B23" w:rsidRDefault="00D05364" w:rsidP="00630B23">
      <w:pPr>
        <w:pStyle w:val="TableofFigures"/>
        <w:tabs>
          <w:tab w:val="right" w:leader="dot" w:pos="9350"/>
        </w:tabs>
        <w:jc w:val="both"/>
        <w:rPr>
          <w:rFonts w:ascii="Arial" w:hAnsi="Arial" w:cs="Arial"/>
          <w:noProof/>
          <w:sz w:val="18"/>
          <w:szCs w:val="18"/>
        </w:rPr>
      </w:pPr>
      <w:hyperlink w:anchor="_Toc371338650" w:history="1">
        <w:r w:rsidR="00991996" w:rsidRPr="00630B23">
          <w:rPr>
            <w:rStyle w:val="Hyperlink"/>
            <w:rFonts w:ascii="Arial" w:hAnsi="Arial" w:cs="Arial"/>
            <w:noProof/>
            <w:sz w:val="18"/>
            <w:szCs w:val="18"/>
            <w:lang w:val="mn-MN"/>
          </w:rPr>
          <w:t>Зураг</w:t>
        </w:r>
        <w:r w:rsidR="00991996" w:rsidRPr="00630B23">
          <w:rPr>
            <w:rStyle w:val="Hyperlink"/>
            <w:rFonts w:ascii="Arial" w:hAnsi="Arial" w:cs="Arial"/>
            <w:noProof/>
            <w:sz w:val="18"/>
            <w:szCs w:val="18"/>
          </w:rPr>
          <w:t xml:space="preserve"> 43. </w:t>
        </w:r>
        <w:r w:rsidR="00991996" w:rsidRPr="00630B23">
          <w:rPr>
            <w:rStyle w:val="Hyperlink"/>
            <w:rFonts w:ascii="Arial" w:hAnsi="Arial" w:cs="Arial"/>
            <w:noProof/>
            <w:sz w:val="18"/>
            <w:szCs w:val="18"/>
            <w:lang w:val="mn-MN"/>
          </w:rPr>
          <w:t>Нүүрсний экспорт огцом буурсан</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_Toc371338650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40</w:t>
        </w:r>
        <w:r w:rsidR="00991996" w:rsidRPr="00630B23">
          <w:rPr>
            <w:rFonts w:ascii="Arial" w:hAnsi="Arial" w:cs="Arial"/>
            <w:noProof/>
            <w:webHidden/>
            <w:sz w:val="18"/>
            <w:szCs w:val="18"/>
          </w:rPr>
          <w:fldChar w:fldCharType="end"/>
        </w:r>
      </w:hyperlink>
    </w:p>
    <w:p w14:paraId="4F7607C3" w14:textId="77777777" w:rsidR="00991996" w:rsidRPr="00630B23" w:rsidRDefault="00D05364" w:rsidP="00630B23">
      <w:pPr>
        <w:pStyle w:val="TableofFigures"/>
        <w:tabs>
          <w:tab w:val="right" w:leader="dot" w:pos="9350"/>
        </w:tabs>
        <w:jc w:val="both"/>
        <w:rPr>
          <w:rFonts w:ascii="Arial" w:hAnsi="Arial" w:cs="Arial"/>
          <w:noProof/>
          <w:sz w:val="18"/>
          <w:szCs w:val="18"/>
        </w:rPr>
      </w:pPr>
      <w:hyperlink w:anchor="_Toc371338651" w:history="1">
        <w:r w:rsidR="00991996" w:rsidRPr="00630B23">
          <w:rPr>
            <w:rStyle w:val="Hyperlink"/>
            <w:rFonts w:ascii="Arial" w:hAnsi="Arial" w:cs="Arial"/>
            <w:noProof/>
            <w:sz w:val="18"/>
            <w:szCs w:val="18"/>
            <w:lang w:val="mn-MN"/>
          </w:rPr>
          <w:t>Зураг</w:t>
        </w:r>
        <w:r w:rsidR="00991996" w:rsidRPr="00630B23">
          <w:rPr>
            <w:rStyle w:val="Hyperlink"/>
            <w:rFonts w:ascii="Arial" w:hAnsi="Arial" w:cs="Arial"/>
            <w:noProof/>
            <w:sz w:val="18"/>
            <w:szCs w:val="18"/>
          </w:rPr>
          <w:t xml:space="preserve"> 44. </w:t>
        </w:r>
        <w:r w:rsidR="00991996" w:rsidRPr="00630B23">
          <w:rPr>
            <w:rStyle w:val="Hyperlink"/>
            <w:rFonts w:ascii="Arial" w:hAnsi="Arial" w:cs="Arial"/>
            <w:noProof/>
            <w:sz w:val="18"/>
            <w:szCs w:val="18"/>
            <w:lang w:val="mn-MN"/>
          </w:rPr>
          <w:t>Нүүрсний экспортын хэмжээ болон үнэ буурсан</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_Toc371338651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40</w:t>
        </w:r>
        <w:r w:rsidR="00991996" w:rsidRPr="00630B23">
          <w:rPr>
            <w:rFonts w:ascii="Arial" w:hAnsi="Arial" w:cs="Arial"/>
            <w:noProof/>
            <w:webHidden/>
            <w:sz w:val="18"/>
            <w:szCs w:val="18"/>
          </w:rPr>
          <w:fldChar w:fldCharType="end"/>
        </w:r>
      </w:hyperlink>
    </w:p>
    <w:p w14:paraId="7E149AAE" w14:textId="77777777" w:rsidR="00991996" w:rsidRPr="00630B23" w:rsidRDefault="00D05364" w:rsidP="00630B23">
      <w:pPr>
        <w:pStyle w:val="TableofFigures"/>
        <w:tabs>
          <w:tab w:val="right" w:leader="dot" w:pos="9350"/>
        </w:tabs>
        <w:jc w:val="both"/>
        <w:rPr>
          <w:rFonts w:ascii="Arial" w:hAnsi="Arial" w:cs="Arial"/>
          <w:noProof/>
          <w:sz w:val="18"/>
          <w:szCs w:val="18"/>
        </w:rPr>
      </w:pPr>
      <w:hyperlink w:anchor="_Toc371338652" w:history="1">
        <w:r w:rsidR="00991996" w:rsidRPr="00630B23">
          <w:rPr>
            <w:rStyle w:val="Hyperlink"/>
            <w:rFonts w:ascii="Arial" w:hAnsi="Arial" w:cs="Arial"/>
            <w:noProof/>
            <w:sz w:val="18"/>
            <w:szCs w:val="18"/>
            <w:lang w:val="mn-MN"/>
          </w:rPr>
          <w:t>Зураг</w:t>
        </w:r>
        <w:r w:rsidR="00991996" w:rsidRPr="00630B23">
          <w:rPr>
            <w:rStyle w:val="Hyperlink"/>
            <w:rFonts w:ascii="Arial" w:hAnsi="Arial" w:cs="Arial"/>
            <w:noProof/>
            <w:sz w:val="18"/>
            <w:szCs w:val="18"/>
          </w:rPr>
          <w:t xml:space="preserve"> 45. </w:t>
        </w:r>
        <w:r w:rsidR="00991996" w:rsidRPr="00630B23">
          <w:rPr>
            <w:rStyle w:val="Hyperlink"/>
            <w:rFonts w:ascii="Arial" w:hAnsi="Arial" w:cs="Arial"/>
            <w:noProof/>
            <w:sz w:val="18"/>
            <w:szCs w:val="18"/>
            <w:lang w:val="mn-MN"/>
          </w:rPr>
          <w:t>Сүүлийн саруудад зэсийн баяжмалын экспорт хурдан өслөө</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_Toc371338652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41</w:t>
        </w:r>
        <w:r w:rsidR="00991996" w:rsidRPr="00630B23">
          <w:rPr>
            <w:rFonts w:ascii="Arial" w:hAnsi="Arial" w:cs="Arial"/>
            <w:noProof/>
            <w:webHidden/>
            <w:sz w:val="18"/>
            <w:szCs w:val="18"/>
          </w:rPr>
          <w:fldChar w:fldCharType="end"/>
        </w:r>
      </w:hyperlink>
    </w:p>
    <w:p w14:paraId="777EF30E" w14:textId="77777777" w:rsidR="00991996" w:rsidRPr="00630B23" w:rsidRDefault="00D05364" w:rsidP="00630B23">
      <w:pPr>
        <w:pStyle w:val="TableofFigures"/>
        <w:tabs>
          <w:tab w:val="right" w:leader="dot" w:pos="9350"/>
        </w:tabs>
        <w:jc w:val="both"/>
        <w:rPr>
          <w:rFonts w:ascii="Arial" w:hAnsi="Arial" w:cs="Arial"/>
          <w:noProof/>
          <w:sz w:val="18"/>
          <w:szCs w:val="18"/>
        </w:rPr>
      </w:pPr>
      <w:hyperlink w:anchor="_Toc371338653" w:history="1">
        <w:r w:rsidR="00991996" w:rsidRPr="00630B23">
          <w:rPr>
            <w:rStyle w:val="Hyperlink"/>
            <w:rFonts w:ascii="Arial" w:hAnsi="Arial" w:cs="Arial"/>
            <w:noProof/>
            <w:sz w:val="18"/>
            <w:szCs w:val="18"/>
            <w:lang w:val="mn-MN"/>
          </w:rPr>
          <w:t>Зураг</w:t>
        </w:r>
        <w:r w:rsidR="00991996" w:rsidRPr="00630B23">
          <w:rPr>
            <w:rStyle w:val="Hyperlink"/>
            <w:rFonts w:ascii="Arial" w:hAnsi="Arial" w:cs="Arial"/>
            <w:noProof/>
            <w:sz w:val="18"/>
            <w:szCs w:val="18"/>
          </w:rPr>
          <w:t xml:space="preserve"> 46. </w:t>
        </w:r>
        <w:r w:rsidR="00991996" w:rsidRPr="00630B23">
          <w:rPr>
            <w:rStyle w:val="Hyperlink"/>
            <w:rFonts w:ascii="Arial" w:hAnsi="Arial" w:cs="Arial"/>
            <w:noProof/>
            <w:sz w:val="18"/>
            <w:szCs w:val="18"/>
            <w:lang w:val="mn-MN"/>
          </w:rPr>
          <w:t>Урсгал дансны алдагдал өндөр хэвээрээ байна</w:t>
        </w:r>
        <w:r w:rsidR="00991996" w:rsidRPr="00630B23">
          <w:rPr>
            <w:rStyle w:val="Hyperlink"/>
            <w:rFonts w:ascii="Arial" w:hAnsi="Arial" w:cs="Arial"/>
            <w:noProof/>
            <w:sz w:val="18"/>
            <w:szCs w:val="18"/>
          </w:rPr>
          <w:t xml:space="preserve"> …</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_Toc371338653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42</w:t>
        </w:r>
        <w:r w:rsidR="00991996" w:rsidRPr="00630B23">
          <w:rPr>
            <w:rFonts w:ascii="Arial" w:hAnsi="Arial" w:cs="Arial"/>
            <w:noProof/>
            <w:webHidden/>
            <w:sz w:val="18"/>
            <w:szCs w:val="18"/>
          </w:rPr>
          <w:fldChar w:fldCharType="end"/>
        </w:r>
      </w:hyperlink>
    </w:p>
    <w:p w14:paraId="5C3F44DD" w14:textId="77777777" w:rsidR="00991996" w:rsidRPr="00630B23" w:rsidRDefault="00D05364" w:rsidP="00630B23">
      <w:pPr>
        <w:pStyle w:val="TableofFigures"/>
        <w:tabs>
          <w:tab w:val="right" w:leader="dot" w:pos="9350"/>
        </w:tabs>
        <w:jc w:val="both"/>
        <w:rPr>
          <w:rFonts w:ascii="Arial" w:hAnsi="Arial" w:cs="Arial"/>
          <w:noProof/>
          <w:sz w:val="18"/>
          <w:szCs w:val="18"/>
        </w:rPr>
      </w:pPr>
      <w:hyperlink w:anchor="_Toc371338654" w:history="1">
        <w:r w:rsidR="00991996" w:rsidRPr="00630B23">
          <w:rPr>
            <w:rStyle w:val="Hyperlink"/>
            <w:rFonts w:ascii="Arial" w:hAnsi="Arial" w:cs="Arial"/>
            <w:noProof/>
            <w:sz w:val="18"/>
            <w:szCs w:val="18"/>
            <w:lang w:val="mn-MN"/>
          </w:rPr>
          <w:t>Зураг</w:t>
        </w:r>
        <w:r w:rsidR="00991996" w:rsidRPr="00630B23">
          <w:rPr>
            <w:rStyle w:val="Hyperlink"/>
            <w:rFonts w:ascii="Arial" w:hAnsi="Arial" w:cs="Arial"/>
            <w:noProof/>
            <w:sz w:val="18"/>
            <w:szCs w:val="18"/>
          </w:rPr>
          <w:t xml:space="preserve"> 47. …</w:t>
        </w:r>
        <w:r w:rsidR="00991996" w:rsidRPr="00630B23">
          <w:rPr>
            <w:rStyle w:val="Hyperlink"/>
            <w:rFonts w:ascii="Arial" w:hAnsi="Arial" w:cs="Arial"/>
            <w:noProof/>
            <w:sz w:val="18"/>
            <w:szCs w:val="18"/>
            <w:lang w:val="mn-MN"/>
          </w:rPr>
          <w:t>гэвч хөрөнгийн дотогшлох урсгал буурч байна</w:t>
        </w:r>
        <w:r w:rsidR="00991996" w:rsidRPr="00630B23">
          <w:rPr>
            <w:rStyle w:val="Hyperlink"/>
            <w:rFonts w:ascii="Arial" w:hAnsi="Arial" w:cs="Arial"/>
            <w:noProof/>
            <w:sz w:val="18"/>
            <w:szCs w:val="18"/>
          </w:rPr>
          <w:t>…</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_Toc371338654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42</w:t>
        </w:r>
        <w:r w:rsidR="00991996" w:rsidRPr="00630B23">
          <w:rPr>
            <w:rFonts w:ascii="Arial" w:hAnsi="Arial" w:cs="Arial"/>
            <w:noProof/>
            <w:webHidden/>
            <w:sz w:val="18"/>
            <w:szCs w:val="18"/>
          </w:rPr>
          <w:fldChar w:fldCharType="end"/>
        </w:r>
      </w:hyperlink>
    </w:p>
    <w:p w14:paraId="0241B7F8" w14:textId="77777777" w:rsidR="00991996" w:rsidRPr="00630B23" w:rsidRDefault="00D05364" w:rsidP="00630B23">
      <w:pPr>
        <w:pStyle w:val="TableofFigures"/>
        <w:tabs>
          <w:tab w:val="right" w:leader="dot" w:pos="9350"/>
        </w:tabs>
        <w:jc w:val="both"/>
        <w:rPr>
          <w:rFonts w:ascii="Arial" w:hAnsi="Arial" w:cs="Arial"/>
          <w:noProof/>
          <w:sz w:val="18"/>
          <w:szCs w:val="18"/>
        </w:rPr>
      </w:pPr>
      <w:hyperlink w:anchor="_Toc371338655" w:history="1">
        <w:r w:rsidR="00991996" w:rsidRPr="00630B23">
          <w:rPr>
            <w:rStyle w:val="Hyperlink"/>
            <w:rFonts w:ascii="Arial" w:hAnsi="Arial" w:cs="Arial"/>
            <w:noProof/>
            <w:sz w:val="18"/>
            <w:szCs w:val="18"/>
            <w:lang w:val="mn-MN"/>
          </w:rPr>
          <w:t>Зураг</w:t>
        </w:r>
        <w:r w:rsidR="00991996" w:rsidRPr="00630B23">
          <w:rPr>
            <w:rStyle w:val="Hyperlink"/>
            <w:rFonts w:ascii="Arial" w:hAnsi="Arial" w:cs="Arial"/>
            <w:noProof/>
            <w:sz w:val="18"/>
            <w:szCs w:val="18"/>
          </w:rPr>
          <w:t xml:space="preserve"> 48. </w:t>
        </w:r>
        <w:r w:rsidR="00991996" w:rsidRPr="00630B23">
          <w:rPr>
            <w:rStyle w:val="Hyperlink"/>
            <w:rFonts w:ascii="Arial" w:hAnsi="Arial" w:cs="Arial"/>
            <w:noProof/>
            <w:sz w:val="18"/>
            <w:szCs w:val="18"/>
            <w:lang w:val="mn-MN"/>
          </w:rPr>
          <w:t>Гадаад валютын нөөц буурч байна</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_Toc371338655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43</w:t>
        </w:r>
        <w:r w:rsidR="00991996" w:rsidRPr="00630B23">
          <w:rPr>
            <w:rFonts w:ascii="Arial" w:hAnsi="Arial" w:cs="Arial"/>
            <w:noProof/>
            <w:webHidden/>
            <w:sz w:val="18"/>
            <w:szCs w:val="18"/>
          </w:rPr>
          <w:fldChar w:fldCharType="end"/>
        </w:r>
      </w:hyperlink>
    </w:p>
    <w:p w14:paraId="2E3B44DD" w14:textId="77777777" w:rsidR="00991996" w:rsidRPr="00630B23" w:rsidRDefault="00D05364" w:rsidP="00630B23">
      <w:pPr>
        <w:pStyle w:val="TableofFigures"/>
        <w:tabs>
          <w:tab w:val="right" w:leader="dot" w:pos="9350"/>
        </w:tabs>
        <w:jc w:val="both"/>
        <w:rPr>
          <w:rFonts w:ascii="Arial" w:hAnsi="Arial" w:cs="Arial"/>
          <w:noProof/>
          <w:sz w:val="18"/>
          <w:szCs w:val="18"/>
        </w:rPr>
      </w:pPr>
      <w:hyperlink w:anchor="_Toc371338656" w:history="1">
        <w:r w:rsidR="00991996" w:rsidRPr="00630B23">
          <w:rPr>
            <w:rStyle w:val="Hyperlink"/>
            <w:rFonts w:ascii="Arial" w:hAnsi="Arial" w:cs="Arial"/>
            <w:noProof/>
            <w:sz w:val="18"/>
            <w:szCs w:val="18"/>
            <w:lang w:val="mn-MN"/>
          </w:rPr>
          <w:t>Зураг</w:t>
        </w:r>
        <w:r w:rsidR="00991996" w:rsidRPr="00630B23">
          <w:rPr>
            <w:rStyle w:val="Hyperlink"/>
            <w:rFonts w:ascii="Arial" w:hAnsi="Arial" w:cs="Arial"/>
            <w:noProof/>
            <w:sz w:val="18"/>
            <w:szCs w:val="18"/>
          </w:rPr>
          <w:t xml:space="preserve"> 49. </w:t>
        </w:r>
        <w:r w:rsidR="00991996" w:rsidRPr="00630B23">
          <w:rPr>
            <w:rStyle w:val="Hyperlink"/>
            <w:rFonts w:ascii="Arial" w:hAnsi="Arial" w:cs="Arial"/>
            <w:noProof/>
            <w:sz w:val="18"/>
            <w:szCs w:val="18"/>
            <w:lang w:val="mn-MN"/>
          </w:rPr>
          <w:t>Богино хугацаатай гадаадын хөрөнгийн түвшин бага байна</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_Toc371338656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43</w:t>
        </w:r>
        <w:r w:rsidR="00991996" w:rsidRPr="00630B23">
          <w:rPr>
            <w:rFonts w:ascii="Arial" w:hAnsi="Arial" w:cs="Arial"/>
            <w:noProof/>
            <w:webHidden/>
            <w:sz w:val="18"/>
            <w:szCs w:val="18"/>
          </w:rPr>
          <w:fldChar w:fldCharType="end"/>
        </w:r>
      </w:hyperlink>
    </w:p>
    <w:p w14:paraId="32CDACBA" w14:textId="77777777" w:rsidR="00991996" w:rsidRPr="00630B23" w:rsidRDefault="00D05364" w:rsidP="00630B23">
      <w:pPr>
        <w:pStyle w:val="TableofFigures"/>
        <w:tabs>
          <w:tab w:val="right" w:leader="dot" w:pos="9350"/>
        </w:tabs>
        <w:jc w:val="both"/>
        <w:rPr>
          <w:rFonts w:ascii="Arial" w:hAnsi="Arial" w:cs="Arial"/>
          <w:noProof/>
          <w:sz w:val="18"/>
          <w:szCs w:val="18"/>
        </w:rPr>
      </w:pPr>
      <w:hyperlink w:anchor="_Toc371338657" w:history="1">
        <w:r w:rsidR="00991996" w:rsidRPr="00630B23">
          <w:rPr>
            <w:rStyle w:val="Hyperlink"/>
            <w:rFonts w:ascii="Arial" w:hAnsi="Arial" w:cs="Arial"/>
            <w:noProof/>
            <w:sz w:val="18"/>
            <w:szCs w:val="18"/>
            <w:lang w:val="mn-MN"/>
          </w:rPr>
          <w:t>Зураг</w:t>
        </w:r>
        <w:r w:rsidR="00991996" w:rsidRPr="00630B23">
          <w:rPr>
            <w:rStyle w:val="Hyperlink"/>
            <w:rFonts w:ascii="Arial" w:hAnsi="Arial" w:cs="Arial"/>
            <w:noProof/>
            <w:sz w:val="18"/>
            <w:szCs w:val="18"/>
          </w:rPr>
          <w:t xml:space="preserve"> 50. </w:t>
        </w:r>
        <w:r w:rsidR="00991996" w:rsidRPr="00630B23">
          <w:rPr>
            <w:rStyle w:val="Hyperlink"/>
            <w:rFonts w:ascii="Arial" w:hAnsi="Arial" w:cs="Arial"/>
            <w:noProof/>
            <w:sz w:val="18"/>
            <w:szCs w:val="18"/>
            <w:lang w:val="mn-MN"/>
          </w:rPr>
          <w:t>Засгийн газрын бондын өгөөж хэлбэлзэлтэй байна</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_Toc371338657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44</w:t>
        </w:r>
        <w:r w:rsidR="00991996" w:rsidRPr="00630B23">
          <w:rPr>
            <w:rFonts w:ascii="Arial" w:hAnsi="Arial" w:cs="Arial"/>
            <w:noProof/>
            <w:webHidden/>
            <w:sz w:val="18"/>
            <w:szCs w:val="18"/>
          </w:rPr>
          <w:fldChar w:fldCharType="end"/>
        </w:r>
      </w:hyperlink>
    </w:p>
    <w:p w14:paraId="17682F45" w14:textId="77777777" w:rsidR="00991996" w:rsidRPr="00630B23" w:rsidRDefault="00D05364" w:rsidP="00630B23">
      <w:pPr>
        <w:pStyle w:val="TableofFigures"/>
        <w:tabs>
          <w:tab w:val="right" w:leader="dot" w:pos="9350"/>
        </w:tabs>
        <w:jc w:val="both"/>
        <w:rPr>
          <w:rFonts w:ascii="Arial" w:hAnsi="Arial" w:cs="Arial"/>
          <w:noProof/>
          <w:sz w:val="18"/>
          <w:szCs w:val="18"/>
        </w:rPr>
      </w:pPr>
      <w:hyperlink w:anchor="_Toc371338658" w:history="1">
        <w:r w:rsidR="00991996" w:rsidRPr="00630B23">
          <w:rPr>
            <w:rStyle w:val="Hyperlink"/>
            <w:rFonts w:ascii="Arial" w:hAnsi="Arial" w:cs="Arial"/>
            <w:noProof/>
            <w:sz w:val="18"/>
            <w:szCs w:val="18"/>
            <w:lang w:val="mn-MN"/>
          </w:rPr>
          <w:t>Зураг</w:t>
        </w:r>
        <w:r w:rsidR="00991996" w:rsidRPr="00630B23">
          <w:rPr>
            <w:rStyle w:val="Hyperlink"/>
            <w:rFonts w:ascii="Arial" w:hAnsi="Arial" w:cs="Arial"/>
            <w:noProof/>
            <w:sz w:val="18"/>
            <w:szCs w:val="18"/>
          </w:rPr>
          <w:t xml:space="preserve"> 51. </w:t>
        </w:r>
        <w:r w:rsidR="00991996" w:rsidRPr="00630B23">
          <w:rPr>
            <w:rStyle w:val="Hyperlink"/>
            <w:rFonts w:ascii="Arial" w:hAnsi="Arial" w:cs="Arial"/>
            <w:noProof/>
            <w:sz w:val="18"/>
            <w:szCs w:val="18"/>
            <w:lang w:val="mn-MN"/>
          </w:rPr>
          <w:t>Эдийн засгийн үндсэн параметрүүд болон бодлоны хувьсагчдаар хийсэн бүс нутагийн харьцуулалт</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_Toc371338658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52</w:t>
        </w:r>
        <w:r w:rsidR="00991996" w:rsidRPr="00630B23">
          <w:rPr>
            <w:rFonts w:ascii="Arial" w:hAnsi="Arial" w:cs="Arial"/>
            <w:noProof/>
            <w:webHidden/>
            <w:sz w:val="18"/>
            <w:szCs w:val="18"/>
          </w:rPr>
          <w:fldChar w:fldCharType="end"/>
        </w:r>
      </w:hyperlink>
    </w:p>
    <w:p w14:paraId="2D41F2F0" w14:textId="7BC6D7DE" w:rsidR="001502FE" w:rsidRPr="00660167" w:rsidRDefault="00492FC3" w:rsidP="00630B23">
      <w:pPr>
        <w:spacing w:before="120" w:after="0"/>
        <w:jc w:val="both"/>
        <w:rPr>
          <w:rFonts w:cstheme="minorHAnsi"/>
          <w:b/>
          <w:color w:val="0070C0"/>
          <w:sz w:val="24"/>
          <w:szCs w:val="20"/>
          <w:lang w:val="mn-MN" w:eastAsia="ko-KR"/>
        </w:rPr>
      </w:pPr>
      <w:r w:rsidRPr="00630B23">
        <w:rPr>
          <w:rFonts w:ascii="Arial" w:hAnsi="Arial" w:cs="Arial"/>
          <w:b/>
          <w:color w:val="0070C0"/>
          <w:sz w:val="18"/>
          <w:szCs w:val="18"/>
          <w:lang w:eastAsia="ko-KR"/>
        </w:rPr>
        <w:fldChar w:fldCharType="end"/>
      </w:r>
      <w:r w:rsidR="00A7713C">
        <w:rPr>
          <w:rFonts w:cstheme="minorHAnsi"/>
          <w:b/>
          <w:color w:val="0070C0"/>
          <w:sz w:val="24"/>
          <w:szCs w:val="20"/>
          <w:lang w:val="mn-MN" w:eastAsia="ko-KR"/>
        </w:rPr>
        <w:t>Хүснэгтүүд</w:t>
      </w:r>
    </w:p>
    <w:p w14:paraId="0DA54193" w14:textId="77777777" w:rsidR="00991996" w:rsidRPr="00630B23" w:rsidRDefault="00717B1D">
      <w:pPr>
        <w:pStyle w:val="TableofFigures"/>
        <w:tabs>
          <w:tab w:val="right" w:leader="dot" w:pos="9350"/>
        </w:tabs>
        <w:rPr>
          <w:rStyle w:val="Hyperlink"/>
          <w:rFonts w:ascii="Arial" w:hAnsi="Arial" w:cs="Arial"/>
          <w:sz w:val="18"/>
          <w:szCs w:val="18"/>
          <w:lang w:val="mn-MN"/>
        </w:rPr>
      </w:pPr>
      <w:r w:rsidRPr="00630B23">
        <w:rPr>
          <w:rFonts w:ascii="Arial" w:hAnsi="Arial" w:cs="Arial"/>
          <w:b/>
          <w:color w:val="0070C0"/>
          <w:sz w:val="18"/>
          <w:szCs w:val="18"/>
          <w:lang w:eastAsia="ko-KR"/>
        </w:rPr>
        <w:fldChar w:fldCharType="begin"/>
      </w:r>
      <w:r w:rsidRPr="00630B23">
        <w:rPr>
          <w:rFonts w:ascii="Arial" w:hAnsi="Arial" w:cs="Arial"/>
          <w:b/>
          <w:color w:val="0070C0"/>
          <w:sz w:val="18"/>
          <w:szCs w:val="18"/>
          <w:lang w:eastAsia="ko-KR"/>
        </w:rPr>
        <w:instrText xml:space="preserve"> TOC \h \z \c "Table" </w:instrText>
      </w:r>
      <w:r w:rsidRPr="00630B23">
        <w:rPr>
          <w:rFonts w:ascii="Arial" w:hAnsi="Arial" w:cs="Arial"/>
          <w:b/>
          <w:color w:val="0070C0"/>
          <w:sz w:val="18"/>
          <w:szCs w:val="18"/>
          <w:lang w:eastAsia="ko-KR"/>
        </w:rPr>
        <w:fldChar w:fldCharType="separate"/>
      </w:r>
      <w:hyperlink w:anchor="_Toc371338971" w:history="1">
        <w:r w:rsidR="00991996" w:rsidRPr="00630B23">
          <w:rPr>
            <w:rStyle w:val="Hyperlink"/>
            <w:rFonts w:ascii="Arial" w:hAnsi="Arial" w:cs="Arial"/>
            <w:noProof/>
            <w:sz w:val="18"/>
            <w:szCs w:val="18"/>
            <w:lang w:val="mn-MN"/>
          </w:rPr>
          <w:t>Хүснэгт 1. Зүүн Ази болон Номхон Далайн бүс нутаг: ДНБ-ий өсөлтийн таамаглал</w:t>
        </w:r>
        <w:r w:rsidR="00991996" w:rsidRPr="00630B23">
          <w:rPr>
            <w:rStyle w:val="Hyperlink"/>
            <w:rFonts w:ascii="Arial" w:hAnsi="Arial" w:cs="Arial"/>
            <w:webHidden/>
            <w:sz w:val="18"/>
            <w:szCs w:val="18"/>
            <w:lang w:val="mn-MN"/>
          </w:rPr>
          <w:tab/>
        </w:r>
        <w:r w:rsidR="00991996" w:rsidRPr="00630B23">
          <w:rPr>
            <w:rStyle w:val="Hyperlink"/>
            <w:rFonts w:ascii="Arial" w:hAnsi="Arial" w:cs="Arial"/>
            <w:webHidden/>
            <w:sz w:val="18"/>
            <w:szCs w:val="18"/>
            <w:lang w:val="mn-MN"/>
          </w:rPr>
          <w:fldChar w:fldCharType="begin"/>
        </w:r>
        <w:r w:rsidR="00991996" w:rsidRPr="00630B23">
          <w:rPr>
            <w:rStyle w:val="Hyperlink"/>
            <w:rFonts w:ascii="Arial" w:hAnsi="Arial" w:cs="Arial"/>
            <w:webHidden/>
            <w:sz w:val="18"/>
            <w:szCs w:val="18"/>
            <w:lang w:val="mn-MN"/>
          </w:rPr>
          <w:instrText xml:space="preserve"> PAGEREF _Toc371338971 \h </w:instrText>
        </w:r>
        <w:r w:rsidR="00991996" w:rsidRPr="00630B23">
          <w:rPr>
            <w:rStyle w:val="Hyperlink"/>
            <w:rFonts w:ascii="Arial" w:hAnsi="Arial" w:cs="Arial"/>
            <w:webHidden/>
            <w:sz w:val="18"/>
            <w:szCs w:val="18"/>
            <w:lang w:val="mn-MN"/>
          </w:rPr>
        </w:r>
        <w:r w:rsidR="00991996" w:rsidRPr="00630B23">
          <w:rPr>
            <w:rStyle w:val="Hyperlink"/>
            <w:rFonts w:ascii="Arial" w:hAnsi="Arial" w:cs="Arial"/>
            <w:webHidden/>
            <w:sz w:val="18"/>
            <w:szCs w:val="18"/>
            <w:lang w:val="mn-MN"/>
          </w:rPr>
          <w:fldChar w:fldCharType="separate"/>
        </w:r>
        <w:r w:rsidR="00991996" w:rsidRPr="00630B23">
          <w:rPr>
            <w:rStyle w:val="Hyperlink"/>
            <w:rFonts w:ascii="Arial" w:hAnsi="Arial" w:cs="Arial"/>
            <w:webHidden/>
            <w:sz w:val="18"/>
            <w:szCs w:val="18"/>
            <w:lang w:val="mn-MN"/>
          </w:rPr>
          <w:t>12</w:t>
        </w:r>
        <w:r w:rsidR="00991996" w:rsidRPr="00630B23">
          <w:rPr>
            <w:rStyle w:val="Hyperlink"/>
            <w:rFonts w:ascii="Arial" w:hAnsi="Arial" w:cs="Arial"/>
            <w:webHidden/>
            <w:sz w:val="18"/>
            <w:szCs w:val="18"/>
            <w:lang w:val="mn-MN"/>
          </w:rPr>
          <w:fldChar w:fldCharType="end"/>
        </w:r>
      </w:hyperlink>
    </w:p>
    <w:p w14:paraId="17D169DD" w14:textId="77777777" w:rsidR="00991996" w:rsidRPr="00630B23" w:rsidRDefault="00D05364">
      <w:pPr>
        <w:pStyle w:val="TableofFigures"/>
        <w:tabs>
          <w:tab w:val="right" w:leader="dot" w:pos="9350"/>
        </w:tabs>
        <w:rPr>
          <w:rFonts w:ascii="Arial" w:hAnsi="Arial" w:cs="Arial"/>
          <w:noProof/>
          <w:sz w:val="18"/>
          <w:szCs w:val="18"/>
        </w:rPr>
      </w:pPr>
      <w:hyperlink w:anchor="_Toc371338972" w:history="1">
        <w:r w:rsidR="00991996" w:rsidRPr="00630B23">
          <w:rPr>
            <w:rStyle w:val="Hyperlink"/>
            <w:rFonts w:ascii="Arial" w:hAnsi="Arial" w:cs="Arial"/>
            <w:noProof/>
            <w:sz w:val="18"/>
            <w:szCs w:val="18"/>
            <w:lang w:val="mn-MN"/>
          </w:rPr>
          <w:t>Хүснэгт 2. Төрийн банкны баланс: Хадгаламжийн банкны үйл ажиллагааг шилжүүлэхээс өмнө болон дараа нь</w:t>
        </w:r>
        <w:r w:rsidR="00991996" w:rsidRPr="00630B23">
          <w:rPr>
            <w:rStyle w:val="Hyperlink"/>
            <w:rFonts w:ascii="Arial" w:hAnsi="Arial" w:cs="Arial"/>
            <w:webHidden/>
            <w:sz w:val="18"/>
            <w:szCs w:val="18"/>
            <w:lang w:val="mn-MN"/>
          </w:rPr>
          <w:tab/>
        </w:r>
        <w:r w:rsidR="00991996" w:rsidRPr="00630B23">
          <w:rPr>
            <w:rStyle w:val="Hyperlink"/>
            <w:rFonts w:ascii="Arial" w:hAnsi="Arial" w:cs="Arial"/>
            <w:webHidden/>
            <w:sz w:val="18"/>
            <w:szCs w:val="18"/>
            <w:lang w:val="mn-MN"/>
          </w:rPr>
          <w:fldChar w:fldCharType="begin"/>
        </w:r>
        <w:r w:rsidR="00991996" w:rsidRPr="00630B23">
          <w:rPr>
            <w:rStyle w:val="Hyperlink"/>
            <w:rFonts w:ascii="Arial" w:hAnsi="Arial" w:cs="Arial"/>
            <w:webHidden/>
            <w:sz w:val="18"/>
            <w:szCs w:val="18"/>
            <w:lang w:val="mn-MN"/>
          </w:rPr>
          <w:instrText xml:space="preserve"> PAGEREF _Toc371338972 \h </w:instrText>
        </w:r>
        <w:r w:rsidR="00991996" w:rsidRPr="00630B23">
          <w:rPr>
            <w:rStyle w:val="Hyperlink"/>
            <w:rFonts w:ascii="Arial" w:hAnsi="Arial" w:cs="Arial"/>
            <w:webHidden/>
            <w:sz w:val="18"/>
            <w:szCs w:val="18"/>
            <w:lang w:val="mn-MN"/>
          </w:rPr>
        </w:r>
        <w:r w:rsidR="00991996" w:rsidRPr="00630B23">
          <w:rPr>
            <w:rStyle w:val="Hyperlink"/>
            <w:rFonts w:ascii="Arial" w:hAnsi="Arial" w:cs="Arial"/>
            <w:webHidden/>
            <w:sz w:val="18"/>
            <w:szCs w:val="18"/>
            <w:lang w:val="mn-MN"/>
          </w:rPr>
          <w:fldChar w:fldCharType="separate"/>
        </w:r>
        <w:r w:rsidR="00991996" w:rsidRPr="00630B23">
          <w:rPr>
            <w:rStyle w:val="Hyperlink"/>
            <w:rFonts w:ascii="Arial" w:hAnsi="Arial" w:cs="Arial"/>
            <w:webHidden/>
            <w:sz w:val="18"/>
            <w:szCs w:val="18"/>
            <w:lang w:val="mn-MN"/>
          </w:rPr>
          <w:t>37</w:t>
        </w:r>
        <w:r w:rsidR="00991996" w:rsidRPr="00630B23">
          <w:rPr>
            <w:rStyle w:val="Hyperlink"/>
            <w:rFonts w:ascii="Arial" w:hAnsi="Arial" w:cs="Arial"/>
            <w:webHidden/>
            <w:sz w:val="18"/>
            <w:szCs w:val="18"/>
            <w:lang w:val="mn-MN"/>
          </w:rPr>
          <w:fldChar w:fldCharType="end"/>
        </w:r>
      </w:hyperlink>
    </w:p>
    <w:p w14:paraId="7C104579" w14:textId="019F54A0" w:rsidR="00717B1D" w:rsidRPr="00660167" w:rsidRDefault="00717B1D">
      <w:pPr>
        <w:spacing w:before="120" w:after="0"/>
        <w:jc w:val="center"/>
        <w:rPr>
          <w:rFonts w:cstheme="minorHAnsi"/>
          <w:b/>
          <w:color w:val="0070C0"/>
          <w:sz w:val="24"/>
          <w:szCs w:val="20"/>
          <w:lang w:val="mn-MN" w:eastAsia="ko-KR"/>
        </w:rPr>
      </w:pPr>
      <w:r w:rsidRPr="00630B23">
        <w:rPr>
          <w:rFonts w:ascii="Arial" w:hAnsi="Arial" w:cs="Arial"/>
          <w:b/>
          <w:color w:val="0070C0"/>
          <w:sz w:val="18"/>
          <w:szCs w:val="18"/>
          <w:lang w:eastAsia="ko-KR"/>
        </w:rPr>
        <w:fldChar w:fldCharType="end"/>
      </w:r>
      <w:r w:rsidR="00A7713C" w:rsidRPr="00991996">
        <w:rPr>
          <w:rFonts w:cstheme="minorHAnsi"/>
          <w:b/>
          <w:color w:val="0070C0"/>
          <w:sz w:val="24"/>
          <w:szCs w:val="20"/>
          <w:lang w:val="mn-MN" w:eastAsia="ko-KR"/>
        </w:rPr>
        <w:t>Хайрцаг</w:t>
      </w:r>
    </w:p>
    <w:p w14:paraId="75B530A3" w14:textId="2F293C98" w:rsidR="00131E38" w:rsidRPr="00630B23" w:rsidRDefault="00131E38" w:rsidP="00630B23">
      <w:pPr>
        <w:pStyle w:val="TableofFigures"/>
        <w:tabs>
          <w:tab w:val="right" w:leader="dot" w:pos="9350"/>
        </w:tabs>
        <w:rPr>
          <w:rStyle w:val="Hyperlink"/>
          <w:rFonts w:ascii="Arial" w:hAnsi="Arial" w:cs="Arial"/>
          <w:noProof/>
          <w:color w:val="auto"/>
          <w:u w:val="none"/>
          <w:lang w:val="mn-MN"/>
        </w:rPr>
      </w:pPr>
      <w:bookmarkStart w:id="0" w:name="_Toc370981659"/>
      <w:proofErr w:type="gramStart"/>
      <w:r w:rsidRPr="00630B23">
        <w:rPr>
          <w:rStyle w:val="Hyperlink"/>
          <w:rFonts w:ascii="Arial" w:hAnsi="Arial" w:cs="Arial"/>
          <w:noProof/>
          <w:color w:val="auto"/>
          <w:u w:val="none"/>
        </w:rPr>
        <w:t xml:space="preserve">Хайрцаг </w:t>
      </w:r>
      <w:r w:rsidRPr="00630B23">
        <w:rPr>
          <w:rStyle w:val="Hyperlink"/>
          <w:rFonts w:ascii="Arial" w:hAnsi="Arial" w:cs="Arial"/>
          <w:color w:val="auto"/>
          <w:u w:val="none"/>
          <w:lang w:val="mn-MN"/>
        </w:rPr>
        <w:fldChar w:fldCharType="begin"/>
      </w:r>
      <w:r w:rsidRPr="00630B23">
        <w:rPr>
          <w:rStyle w:val="Hyperlink"/>
          <w:rFonts w:ascii="Arial" w:hAnsi="Arial" w:cs="Arial"/>
          <w:noProof/>
          <w:color w:val="auto"/>
          <w:u w:val="none"/>
          <w:lang w:val="mn-MN"/>
        </w:rPr>
        <w:instrText xml:space="preserve"> SEQ Box \* ARABIC </w:instrText>
      </w:r>
      <w:r w:rsidRPr="00630B23">
        <w:rPr>
          <w:rStyle w:val="Hyperlink"/>
          <w:rFonts w:ascii="Arial" w:hAnsi="Arial" w:cs="Arial"/>
          <w:color w:val="auto"/>
          <w:u w:val="none"/>
          <w:lang w:val="mn-MN"/>
        </w:rPr>
        <w:fldChar w:fldCharType="separate"/>
      </w:r>
      <w:r w:rsidRPr="00630B23">
        <w:rPr>
          <w:rStyle w:val="Hyperlink"/>
          <w:rFonts w:ascii="Arial" w:hAnsi="Arial" w:cs="Arial"/>
          <w:color w:val="auto"/>
          <w:u w:val="none"/>
          <w:lang w:val="mn-MN"/>
        </w:rPr>
        <w:t>1</w:t>
      </w:r>
      <w:r w:rsidRPr="00630B23">
        <w:rPr>
          <w:rStyle w:val="Hyperlink"/>
          <w:rFonts w:ascii="Arial" w:hAnsi="Arial" w:cs="Arial"/>
          <w:color w:val="auto"/>
          <w:u w:val="none"/>
          <w:lang w:val="mn-MN"/>
        </w:rPr>
        <w:fldChar w:fldCharType="end"/>
      </w:r>
      <w:r w:rsidRPr="00630B23">
        <w:rPr>
          <w:rStyle w:val="Hyperlink"/>
          <w:rFonts w:ascii="Arial" w:hAnsi="Arial" w:cs="Arial"/>
          <w:noProof/>
          <w:color w:val="auto"/>
          <w:u w:val="none"/>
          <w:lang w:val="mn-MN"/>
        </w:rPr>
        <w:t>.</w:t>
      </w:r>
      <w:proofErr w:type="gramEnd"/>
      <w:r w:rsidRPr="00630B23">
        <w:rPr>
          <w:rStyle w:val="Hyperlink"/>
          <w:rFonts w:ascii="Arial" w:hAnsi="Arial" w:cs="Arial"/>
          <w:noProof/>
          <w:color w:val="auto"/>
          <w:u w:val="none"/>
          <w:lang w:val="mn-MN"/>
        </w:rPr>
        <w:t xml:space="preserve"> Ядуурлын хэмжээ 2012 онд 27.4 хувьд хүрч буурсан</w:t>
      </w:r>
      <w:r w:rsidRPr="00630B23">
        <w:rPr>
          <w:rStyle w:val="Hyperlink"/>
          <w:rFonts w:ascii="Arial" w:hAnsi="Arial" w:cs="Arial"/>
          <w:noProof/>
          <w:color w:val="auto"/>
          <w:sz w:val="18"/>
          <w:szCs w:val="18"/>
          <w:u w:val="none"/>
          <w:lang w:val="mn-MN"/>
        </w:rPr>
        <w:t>............................................................................14</w:t>
      </w:r>
    </w:p>
    <w:p w14:paraId="6E4489DD" w14:textId="77777777" w:rsidR="00991996" w:rsidRPr="00630B23" w:rsidRDefault="00030FD0">
      <w:pPr>
        <w:pStyle w:val="TableofFigures"/>
        <w:tabs>
          <w:tab w:val="right" w:leader="dot" w:pos="9350"/>
        </w:tabs>
        <w:rPr>
          <w:rFonts w:ascii="Arial" w:hAnsi="Arial" w:cs="Arial"/>
          <w:noProof/>
          <w:sz w:val="18"/>
          <w:szCs w:val="18"/>
        </w:rPr>
      </w:pPr>
      <w:r w:rsidRPr="00630B23">
        <w:rPr>
          <w:rFonts w:ascii="Arial" w:hAnsi="Arial" w:cs="Arial"/>
          <w:b/>
          <w:sz w:val="18"/>
          <w:szCs w:val="18"/>
          <w:lang w:eastAsia="ko-KR"/>
        </w:rPr>
        <w:fldChar w:fldCharType="begin"/>
      </w:r>
      <w:r w:rsidRPr="00630B23">
        <w:rPr>
          <w:rFonts w:ascii="Arial" w:hAnsi="Arial" w:cs="Arial"/>
          <w:b/>
          <w:sz w:val="18"/>
          <w:szCs w:val="18"/>
          <w:lang w:eastAsia="ko-KR"/>
        </w:rPr>
        <w:instrText xml:space="preserve"> TOC \h \z \c "Box" </w:instrText>
      </w:r>
      <w:r w:rsidRPr="00630B23">
        <w:rPr>
          <w:rFonts w:ascii="Arial" w:hAnsi="Arial" w:cs="Arial"/>
          <w:b/>
          <w:sz w:val="18"/>
          <w:szCs w:val="18"/>
          <w:lang w:eastAsia="ko-KR"/>
        </w:rPr>
        <w:fldChar w:fldCharType="separate"/>
      </w:r>
      <w:hyperlink w:anchor="_Toc371339041" w:history="1">
        <w:r w:rsidR="00991996" w:rsidRPr="00630B23">
          <w:rPr>
            <w:rStyle w:val="Hyperlink"/>
            <w:rFonts w:ascii="Arial" w:hAnsi="Arial" w:cs="Arial"/>
            <w:noProof/>
            <w:sz w:val="18"/>
            <w:szCs w:val="18"/>
            <w:lang w:val="mn-MN"/>
          </w:rPr>
          <w:t>Хайрцаг</w:t>
        </w:r>
        <w:r w:rsidR="00991996" w:rsidRPr="00630B23">
          <w:rPr>
            <w:rStyle w:val="Hyperlink"/>
            <w:rFonts w:ascii="Arial" w:hAnsi="Arial" w:cs="Arial"/>
            <w:noProof/>
            <w:sz w:val="18"/>
            <w:szCs w:val="18"/>
          </w:rPr>
          <w:t xml:space="preserve"> 2. </w:t>
        </w:r>
        <w:r w:rsidR="00991996" w:rsidRPr="00630B23">
          <w:rPr>
            <w:rStyle w:val="Hyperlink"/>
            <w:rFonts w:ascii="Arial" w:hAnsi="Arial" w:cs="Arial"/>
            <w:noProof/>
            <w:sz w:val="18"/>
            <w:szCs w:val="18"/>
            <w:lang w:val="mn-MN"/>
          </w:rPr>
          <w:t>Импортын барааны хэрэглээ болон суурь үнэ</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_Toc371339041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20</w:t>
        </w:r>
        <w:r w:rsidR="00991996" w:rsidRPr="00630B23">
          <w:rPr>
            <w:rFonts w:ascii="Arial" w:hAnsi="Arial" w:cs="Arial"/>
            <w:noProof/>
            <w:webHidden/>
            <w:sz w:val="18"/>
            <w:szCs w:val="18"/>
          </w:rPr>
          <w:fldChar w:fldCharType="end"/>
        </w:r>
      </w:hyperlink>
    </w:p>
    <w:p w14:paraId="5669CB22" w14:textId="77777777" w:rsidR="00991996" w:rsidRPr="00630B23" w:rsidRDefault="00D05364">
      <w:pPr>
        <w:pStyle w:val="TableofFigures"/>
        <w:tabs>
          <w:tab w:val="right" w:leader="dot" w:pos="9350"/>
        </w:tabs>
        <w:rPr>
          <w:rFonts w:ascii="Arial" w:hAnsi="Arial" w:cs="Arial"/>
          <w:noProof/>
          <w:sz w:val="18"/>
          <w:szCs w:val="18"/>
        </w:rPr>
      </w:pPr>
      <w:hyperlink w:anchor="_Toc371339042" w:history="1">
        <w:r w:rsidR="00991996" w:rsidRPr="00630B23">
          <w:rPr>
            <w:rStyle w:val="Hyperlink"/>
            <w:rFonts w:ascii="Arial" w:hAnsi="Arial" w:cs="Arial"/>
            <w:noProof/>
            <w:sz w:val="18"/>
            <w:szCs w:val="18"/>
            <w:lang w:val="mn-MN"/>
          </w:rPr>
          <w:t xml:space="preserve">Хайрцаг </w:t>
        </w:r>
        <w:r w:rsidR="00991996" w:rsidRPr="00630B23">
          <w:rPr>
            <w:rStyle w:val="Hyperlink"/>
            <w:rFonts w:ascii="Arial" w:hAnsi="Arial" w:cs="Arial"/>
            <w:noProof/>
            <w:sz w:val="18"/>
            <w:szCs w:val="18"/>
          </w:rPr>
          <w:t xml:space="preserve">3. </w:t>
        </w:r>
        <w:r w:rsidR="00991996" w:rsidRPr="00630B23">
          <w:rPr>
            <w:rStyle w:val="Hyperlink"/>
            <w:rFonts w:ascii="Arial" w:hAnsi="Arial" w:cs="Arial"/>
            <w:noProof/>
            <w:sz w:val="18"/>
            <w:szCs w:val="18"/>
            <w:lang w:val="mn-MN"/>
          </w:rPr>
          <w:t>Төсвөөс гадуурхи зарлага болон Чингис бонд</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_Toc371339042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27</w:t>
        </w:r>
        <w:r w:rsidR="00991996" w:rsidRPr="00630B23">
          <w:rPr>
            <w:rFonts w:ascii="Arial" w:hAnsi="Arial" w:cs="Arial"/>
            <w:noProof/>
            <w:webHidden/>
            <w:sz w:val="18"/>
            <w:szCs w:val="18"/>
          </w:rPr>
          <w:fldChar w:fldCharType="end"/>
        </w:r>
      </w:hyperlink>
    </w:p>
    <w:p w14:paraId="33A2CE1D" w14:textId="77777777" w:rsidR="00991996" w:rsidRPr="00630B23" w:rsidRDefault="00D05364">
      <w:pPr>
        <w:pStyle w:val="TableofFigures"/>
        <w:tabs>
          <w:tab w:val="right" w:leader="dot" w:pos="9350"/>
        </w:tabs>
        <w:rPr>
          <w:rFonts w:ascii="Arial" w:hAnsi="Arial" w:cs="Arial"/>
          <w:noProof/>
          <w:sz w:val="18"/>
          <w:szCs w:val="18"/>
        </w:rPr>
      </w:pPr>
      <w:hyperlink w:anchor="_Toc371339043" w:history="1">
        <w:r w:rsidR="00991996" w:rsidRPr="00630B23">
          <w:rPr>
            <w:rStyle w:val="Hyperlink"/>
            <w:rFonts w:ascii="Arial" w:hAnsi="Arial" w:cs="Arial"/>
            <w:noProof/>
            <w:sz w:val="18"/>
            <w:szCs w:val="18"/>
            <w:lang w:val="mn-MN"/>
          </w:rPr>
          <w:t xml:space="preserve">Хайрцаг </w:t>
        </w:r>
        <w:r w:rsidR="00991996" w:rsidRPr="00630B23">
          <w:rPr>
            <w:rStyle w:val="Hyperlink"/>
            <w:rFonts w:ascii="Arial" w:hAnsi="Arial" w:cs="Arial"/>
            <w:noProof/>
            <w:sz w:val="18"/>
            <w:szCs w:val="18"/>
          </w:rPr>
          <w:t>4. Хадгаламжийн банкны саяхны дампуурал</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_Toc371339043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35</w:t>
        </w:r>
        <w:r w:rsidR="00991996" w:rsidRPr="00630B23">
          <w:rPr>
            <w:rFonts w:ascii="Arial" w:hAnsi="Arial" w:cs="Arial"/>
            <w:noProof/>
            <w:webHidden/>
            <w:sz w:val="18"/>
            <w:szCs w:val="18"/>
          </w:rPr>
          <w:fldChar w:fldCharType="end"/>
        </w:r>
      </w:hyperlink>
    </w:p>
    <w:p w14:paraId="07CA048E" w14:textId="77777777" w:rsidR="00991996" w:rsidRPr="00630B23" w:rsidRDefault="00D05364">
      <w:pPr>
        <w:pStyle w:val="TableofFigures"/>
        <w:tabs>
          <w:tab w:val="right" w:leader="dot" w:pos="9350"/>
        </w:tabs>
        <w:rPr>
          <w:rFonts w:ascii="Arial" w:hAnsi="Arial" w:cs="Arial"/>
          <w:noProof/>
          <w:sz w:val="18"/>
          <w:szCs w:val="18"/>
        </w:rPr>
      </w:pPr>
      <w:hyperlink w:anchor="_Toc371339044" w:history="1">
        <w:r w:rsidR="00991996" w:rsidRPr="00630B23">
          <w:rPr>
            <w:rStyle w:val="Hyperlink"/>
            <w:rFonts w:ascii="Arial" w:hAnsi="Arial" w:cs="Arial"/>
            <w:noProof/>
            <w:sz w:val="18"/>
            <w:szCs w:val="18"/>
            <w:lang w:val="mn-MN"/>
          </w:rPr>
          <w:t xml:space="preserve">Хайрцаг </w:t>
        </w:r>
        <w:r w:rsidR="00991996" w:rsidRPr="00630B23">
          <w:rPr>
            <w:rStyle w:val="Hyperlink"/>
            <w:rFonts w:ascii="Arial" w:hAnsi="Arial" w:cs="Arial"/>
            <w:noProof/>
            <w:sz w:val="18"/>
            <w:szCs w:val="18"/>
          </w:rPr>
          <w:t xml:space="preserve">5. </w:t>
        </w:r>
        <w:r w:rsidR="00991996" w:rsidRPr="00630B23">
          <w:rPr>
            <w:rStyle w:val="Hyperlink"/>
            <w:rFonts w:ascii="Arial" w:hAnsi="Arial" w:cs="Arial"/>
            <w:noProof/>
            <w:sz w:val="18"/>
            <w:szCs w:val="18"/>
            <w:lang w:val="mn-MN"/>
          </w:rPr>
          <w:t>Үнийг тогтворжуулах хөтөлбөр</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_Toc371339044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37</w:t>
        </w:r>
        <w:r w:rsidR="00991996" w:rsidRPr="00630B23">
          <w:rPr>
            <w:rFonts w:ascii="Arial" w:hAnsi="Arial" w:cs="Arial"/>
            <w:noProof/>
            <w:webHidden/>
            <w:sz w:val="18"/>
            <w:szCs w:val="18"/>
          </w:rPr>
          <w:fldChar w:fldCharType="end"/>
        </w:r>
      </w:hyperlink>
    </w:p>
    <w:p w14:paraId="6C1D8324" w14:textId="77777777" w:rsidR="00991996" w:rsidRPr="00630B23" w:rsidRDefault="00D05364">
      <w:pPr>
        <w:pStyle w:val="TableofFigures"/>
        <w:tabs>
          <w:tab w:val="right" w:leader="dot" w:pos="9350"/>
        </w:tabs>
        <w:rPr>
          <w:rFonts w:ascii="Arial" w:hAnsi="Arial" w:cs="Arial"/>
          <w:noProof/>
          <w:sz w:val="18"/>
          <w:szCs w:val="18"/>
        </w:rPr>
      </w:pPr>
      <w:hyperlink w:anchor="_Toc371339045" w:history="1">
        <w:r w:rsidR="00991996" w:rsidRPr="00630B23">
          <w:rPr>
            <w:rStyle w:val="Hyperlink"/>
            <w:rFonts w:ascii="Arial" w:hAnsi="Arial" w:cs="Arial"/>
            <w:noProof/>
            <w:sz w:val="18"/>
            <w:szCs w:val="18"/>
            <w:lang w:val="mn-MN"/>
          </w:rPr>
          <w:t xml:space="preserve">Хайрцаг </w:t>
        </w:r>
        <w:r w:rsidR="00991996" w:rsidRPr="00630B23">
          <w:rPr>
            <w:rStyle w:val="Hyperlink"/>
            <w:rFonts w:ascii="Arial" w:hAnsi="Arial" w:cs="Arial"/>
            <w:noProof/>
            <w:sz w:val="18"/>
            <w:szCs w:val="18"/>
          </w:rPr>
          <w:t xml:space="preserve">6. </w:t>
        </w:r>
        <w:r w:rsidR="00991996" w:rsidRPr="00630B23">
          <w:rPr>
            <w:rStyle w:val="Hyperlink"/>
            <w:rFonts w:ascii="Arial" w:hAnsi="Arial" w:cs="Arial"/>
            <w:noProof/>
            <w:sz w:val="18"/>
            <w:szCs w:val="18"/>
            <w:lang w:val="mn-MN"/>
          </w:rPr>
          <w:t>Барилгын болон Орон сууцны хөгжлийг дэмжих хөтөлбөр</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_Toc371339045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38</w:t>
        </w:r>
        <w:r w:rsidR="00991996" w:rsidRPr="00630B23">
          <w:rPr>
            <w:rFonts w:ascii="Arial" w:hAnsi="Arial" w:cs="Arial"/>
            <w:noProof/>
            <w:webHidden/>
            <w:sz w:val="18"/>
            <w:szCs w:val="18"/>
          </w:rPr>
          <w:fldChar w:fldCharType="end"/>
        </w:r>
      </w:hyperlink>
    </w:p>
    <w:p w14:paraId="433CE7D3" w14:textId="77777777" w:rsidR="00991996" w:rsidRPr="00630B23" w:rsidRDefault="00D05364">
      <w:pPr>
        <w:pStyle w:val="TableofFigures"/>
        <w:tabs>
          <w:tab w:val="right" w:leader="dot" w:pos="9350"/>
        </w:tabs>
        <w:rPr>
          <w:rFonts w:ascii="Arial" w:hAnsi="Arial" w:cs="Arial"/>
          <w:noProof/>
          <w:sz w:val="18"/>
          <w:szCs w:val="18"/>
        </w:rPr>
      </w:pPr>
      <w:hyperlink w:anchor="_Toc371339046" w:history="1">
        <w:r w:rsidR="00991996" w:rsidRPr="00630B23">
          <w:rPr>
            <w:rStyle w:val="Hyperlink"/>
            <w:rFonts w:ascii="Arial" w:hAnsi="Arial" w:cs="Arial"/>
            <w:noProof/>
            <w:sz w:val="18"/>
            <w:szCs w:val="18"/>
            <w:lang w:val="mn-MN"/>
          </w:rPr>
          <w:t xml:space="preserve">Хайрцаг </w:t>
        </w:r>
        <w:r w:rsidR="00991996" w:rsidRPr="00630B23">
          <w:rPr>
            <w:rStyle w:val="Hyperlink"/>
            <w:rFonts w:ascii="Arial" w:hAnsi="Arial" w:cs="Arial"/>
            <w:noProof/>
            <w:sz w:val="18"/>
            <w:szCs w:val="18"/>
          </w:rPr>
          <w:t xml:space="preserve">7. </w:t>
        </w:r>
        <w:r w:rsidR="00991996" w:rsidRPr="00630B23">
          <w:rPr>
            <w:rStyle w:val="Hyperlink"/>
            <w:rFonts w:ascii="Arial" w:hAnsi="Arial" w:cs="Arial"/>
            <w:noProof/>
            <w:sz w:val="18"/>
            <w:szCs w:val="18"/>
            <w:lang w:val="mn-MN"/>
          </w:rPr>
          <w:t>Хөрөнгө оруулалтын шинэ хуулийн гол шинжүүд</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_Toc371339046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46</w:t>
        </w:r>
        <w:r w:rsidR="00991996" w:rsidRPr="00630B23">
          <w:rPr>
            <w:rFonts w:ascii="Arial" w:hAnsi="Arial" w:cs="Arial"/>
            <w:noProof/>
            <w:webHidden/>
            <w:sz w:val="18"/>
            <w:szCs w:val="18"/>
          </w:rPr>
          <w:fldChar w:fldCharType="end"/>
        </w:r>
      </w:hyperlink>
    </w:p>
    <w:p w14:paraId="12966B23" w14:textId="77777777" w:rsidR="00991996" w:rsidRPr="00630B23" w:rsidRDefault="00D05364">
      <w:pPr>
        <w:pStyle w:val="TableofFigures"/>
        <w:tabs>
          <w:tab w:val="right" w:leader="dot" w:pos="9350"/>
        </w:tabs>
        <w:rPr>
          <w:rFonts w:ascii="Arial" w:hAnsi="Arial" w:cs="Arial"/>
          <w:noProof/>
          <w:sz w:val="18"/>
          <w:szCs w:val="18"/>
        </w:rPr>
      </w:pPr>
      <w:hyperlink w:anchor="_Toc371339047" w:history="1">
        <w:r w:rsidR="00991996" w:rsidRPr="00630B23">
          <w:rPr>
            <w:rStyle w:val="Hyperlink"/>
            <w:rFonts w:ascii="Arial" w:hAnsi="Arial" w:cs="Arial"/>
            <w:noProof/>
            <w:sz w:val="18"/>
            <w:szCs w:val="18"/>
            <w:lang w:val="mn-MN"/>
          </w:rPr>
          <w:t xml:space="preserve">Хайрцаг </w:t>
        </w:r>
        <w:r w:rsidR="00991996" w:rsidRPr="00630B23">
          <w:rPr>
            <w:rStyle w:val="Hyperlink"/>
            <w:rFonts w:ascii="Arial" w:hAnsi="Arial" w:cs="Arial"/>
            <w:noProof/>
            <w:sz w:val="18"/>
            <w:szCs w:val="18"/>
          </w:rPr>
          <w:t xml:space="preserve">8. </w:t>
        </w:r>
        <w:r w:rsidR="00991996" w:rsidRPr="00630B23">
          <w:rPr>
            <w:rStyle w:val="Hyperlink"/>
            <w:rFonts w:ascii="Arial" w:hAnsi="Arial" w:cs="Arial"/>
            <w:noProof/>
            <w:sz w:val="18"/>
            <w:szCs w:val="18"/>
            <w:lang w:val="mn-MN"/>
          </w:rPr>
          <w:t>Монгол улс 2014 Бизнес хийх тайланд бизнес хийхийг хялбаруулах тал дээр амжилт гаргасан</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_Toc371339047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48</w:t>
        </w:r>
        <w:r w:rsidR="00991996" w:rsidRPr="00630B23">
          <w:rPr>
            <w:rFonts w:ascii="Arial" w:hAnsi="Arial" w:cs="Arial"/>
            <w:noProof/>
            <w:webHidden/>
            <w:sz w:val="18"/>
            <w:szCs w:val="18"/>
          </w:rPr>
          <w:fldChar w:fldCharType="end"/>
        </w:r>
      </w:hyperlink>
    </w:p>
    <w:p w14:paraId="2F98DD41" w14:textId="77777777" w:rsidR="00991996" w:rsidRPr="00630B23" w:rsidRDefault="00D05364">
      <w:pPr>
        <w:pStyle w:val="TableofFigures"/>
        <w:tabs>
          <w:tab w:val="right" w:leader="dot" w:pos="9350"/>
        </w:tabs>
        <w:rPr>
          <w:rFonts w:ascii="Arial" w:hAnsi="Arial" w:cs="Arial"/>
          <w:noProof/>
          <w:sz w:val="18"/>
          <w:szCs w:val="18"/>
        </w:rPr>
      </w:pPr>
      <w:hyperlink w:anchor="_Toc371339048" w:history="1">
        <w:r w:rsidR="00991996" w:rsidRPr="00630B23">
          <w:rPr>
            <w:rStyle w:val="Hyperlink"/>
            <w:rFonts w:ascii="Arial" w:hAnsi="Arial" w:cs="Arial"/>
            <w:noProof/>
            <w:sz w:val="18"/>
            <w:szCs w:val="18"/>
            <w:lang w:val="mn-MN"/>
          </w:rPr>
          <w:t xml:space="preserve">Хайрцаг </w:t>
        </w:r>
        <w:r w:rsidR="00991996" w:rsidRPr="00630B23">
          <w:rPr>
            <w:rStyle w:val="Hyperlink"/>
            <w:rFonts w:ascii="Arial" w:hAnsi="Arial" w:cs="Arial"/>
            <w:noProof/>
            <w:sz w:val="18"/>
            <w:szCs w:val="18"/>
          </w:rPr>
          <w:t xml:space="preserve">9. </w:t>
        </w:r>
        <w:r w:rsidR="00991996" w:rsidRPr="00630B23">
          <w:rPr>
            <w:rStyle w:val="Hyperlink"/>
            <w:rFonts w:ascii="Arial" w:hAnsi="Arial" w:cs="Arial"/>
            <w:noProof/>
            <w:sz w:val="18"/>
            <w:szCs w:val="18"/>
            <w:lang w:val="mn-MN"/>
          </w:rPr>
          <w:t>Монгол улс болон тус бүс нутагийн орнуудын макро эдийн засгийн бодлогууд</w:t>
        </w:r>
        <w:r w:rsidR="00991996" w:rsidRPr="00630B23">
          <w:rPr>
            <w:rFonts w:ascii="Arial" w:hAnsi="Arial" w:cs="Arial"/>
            <w:noProof/>
            <w:webHidden/>
            <w:sz w:val="18"/>
            <w:szCs w:val="18"/>
          </w:rPr>
          <w:tab/>
        </w:r>
        <w:r w:rsidR="00991996" w:rsidRPr="00630B23">
          <w:rPr>
            <w:rFonts w:ascii="Arial" w:hAnsi="Arial" w:cs="Arial"/>
            <w:noProof/>
            <w:webHidden/>
            <w:sz w:val="18"/>
            <w:szCs w:val="18"/>
          </w:rPr>
          <w:fldChar w:fldCharType="begin"/>
        </w:r>
        <w:r w:rsidR="00991996" w:rsidRPr="00630B23">
          <w:rPr>
            <w:rFonts w:ascii="Arial" w:hAnsi="Arial" w:cs="Arial"/>
            <w:noProof/>
            <w:webHidden/>
            <w:sz w:val="18"/>
            <w:szCs w:val="18"/>
          </w:rPr>
          <w:instrText xml:space="preserve"> PAGEREF _Toc371339048 \h </w:instrText>
        </w:r>
        <w:r w:rsidR="00991996" w:rsidRPr="00630B23">
          <w:rPr>
            <w:rFonts w:ascii="Arial" w:hAnsi="Arial" w:cs="Arial"/>
            <w:noProof/>
            <w:webHidden/>
            <w:sz w:val="18"/>
            <w:szCs w:val="18"/>
          </w:rPr>
        </w:r>
        <w:r w:rsidR="00991996" w:rsidRPr="00630B23">
          <w:rPr>
            <w:rFonts w:ascii="Arial" w:hAnsi="Arial" w:cs="Arial"/>
            <w:noProof/>
            <w:webHidden/>
            <w:sz w:val="18"/>
            <w:szCs w:val="18"/>
          </w:rPr>
          <w:fldChar w:fldCharType="separate"/>
        </w:r>
        <w:r w:rsidR="00991996" w:rsidRPr="00630B23">
          <w:rPr>
            <w:rFonts w:ascii="Arial" w:hAnsi="Arial" w:cs="Arial"/>
            <w:noProof/>
            <w:webHidden/>
            <w:sz w:val="18"/>
            <w:szCs w:val="18"/>
          </w:rPr>
          <w:t>51</w:t>
        </w:r>
        <w:r w:rsidR="00991996" w:rsidRPr="00630B23">
          <w:rPr>
            <w:rFonts w:ascii="Arial" w:hAnsi="Arial" w:cs="Arial"/>
            <w:noProof/>
            <w:webHidden/>
            <w:sz w:val="18"/>
            <w:szCs w:val="18"/>
          </w:rPr>
          <w:fldChar w:fldCharType="end"/>
        </w:r>
      </w:hyperlink>
    </w:p>
    <w:p w14:paraId="35278E57" w14:textId="77777777" w:rsidR="00EF6366" w:rsidRDefault="00030FD0">
      <w:pPr>
        <w:rPr>
          <w:rFonts w:ascii="Arial" w:hAnsi="Arial" w:cs="Arial"/>
          <w:b/>
          <w:sz w:val="18"/>
          <w:szCs w:val="18"/>
          <w:lang w:val="mn-MN" w:eastAsia="ko-KR"/>
        </w:rPr>
      </w:pPr>
      <w:r w:rsidRPr="00630B23">
        <w:rPr>
          <w:rFonts w:ascii="Arial" w:hAnsi="Arial" w:cs="Arial"/>
          <w:b/>
          <w:sz w:val="18"/>
          <w:szCs w:val="18"/>
          <w:lang w:eastAsia="ko-KR"/>
        </w:rPr>
        <w:fldChar w:fldCharType="end"/>
      </w:r>
    </w:p>
    <w:p w14:paraId="5C0668DC" w14:textId="77777777" w:rsidR="00131E38" w:rsidRDefault="00131E38">
      <w:pPr>
        <w:rPr>
          <w:rFonts w:ascii="Arial" w:hAnsi="Arial" w:cs="Arial"/>
          <w:b/>
          <w:sz w:val="18"/>
          <w:szCs w:val="18"/>
          <w:lang w:val="mn-MN" w:eastAsia="ko-KR"/>
        </w:rPr>
      </w:pPr>
    </w:p>
    <w:p w14:paraId="7CF1B15C" w14:textId="77777777" w:rsidR="00131E38" w:rsidRPr="00630B23" w:rsidRDefault="00131E38">
      <w:pPr>
        <w:rPr>
          <w:b/>
          <w:lang w:val="mn-MN" w:eastAsia="ko-KR"/>
        </w:rPr>
      </w:pPr>
    </w:p>
    <w:p w14:paraId="28F16C11" w14:textId="5A1FD96B" w:rsidR="00EF6366" w:rsidRPr="00660167" w:rsidRDefault="00A7713C" w:rsidP="00EF6366">
      <w:pPr>
        <w:spacing w:before="120" w:after="0"/>
        <w:jc w:val="center"/>
        <w:rPr>
          <w:rFonts w:cstheme="minorHAnsi"/>
          <w:b/>
          <w:color w:val="0070C0"/>
          <w:sz w:val="24"/>
          <w:szCs w:val="20"/>
          <w:lang w:val="mn-MN" w:eastAsia="ko-KR"/>
        </w:rPr>
      </w:pPr>
      <w:r>
        <w:rPr>
          <w:rFonts w:cstheme="minorHAnsi"/>
          <w:b/>
          <w:color w:val="0070C0"/>
          <w:sz w:val="24"/>
          <w:szCs w:val="20"/>
          <w:lang w:val="mn-MN" w:eastAsia="ko-KR"/>
        </w:rPr>
        <w:lastRenderedPageBreak/>
        <w:t>Товчилол</w:t>
      </w:r>
    </w:p>
    <w:tbl>
      <w:tblPr>
        <w:tblpPr w:leftFromText="180" w:rightFromText="180" w:vertAnchor="text" w:horzAnchor="page" w:tblpX="4167" w:tblpY="189"/>
        <w:tblW w:w="0" w:type="auto"/>
        <w:tblLook w:val="04A0" w:firstRow="1" w:lastRow="0" w:firstColumn="1" w:lastColumn="0" w:noHBand="0" w:noVBand="1"/>
      </w:tblPr>
      <w:tblGrid>
        <w:gridCol w:w="1191"/>
        <w:gridCol w:w="4324"/>
      </w:tblGrid>
      <w:tr w:rsidR="0093277D" w:rsidRPr="0093277D" w14:paraId="7CC71812" w14:textId="77777777" w:rsidTr="00660167">
        <w:trPr>
          <w:trHeight w:val="303"/>
        </w:trPr>
        <w:tc>
          <w:tcPr>
            <w:tcW w:w="1191" w:type="dxa"/>
          </w:tcPr>
          <w:p w14:paraId="666C5E5D" w14:textId="12E4CC0E" w:rsidR="0093277D" w:rsidRPr="00660167" w:rsidRDefault="00A7713C" w:rsidP="0093277D">
            <w:pPr>
              <w:rPr>
                <w:rFonts w:ascii="Arial" w:hAnsi="Arial" w:cs="Arial"/>
                <w:sz w:val="18"/>
                <w:szCs w:val="18"/>
                <w:lang w:val="mn-MN" w:eastAsia="ko-KR"/>
              </w:rPr>
            </w:pPr>
            <w:r>
              <w:rPr>
                <w:rFonts w:ascii="Arial" w:hAnsi="Arial" w:cs="Arial"/>
                <w:sz w:val="18"/>
                <w:szCs w:val="18"/>
                <w:lang w:val="mn-MN" w:eastAsia="ko-KR"/>
              </w:rPr>
              <w:t>МБ</w:t>
            </w:r>
          </w:p>
        </w:tc>
        <w:tc>
          <w:tcPr>
            <w:tcW w:w="4324" w:type="dxa"/>
          </w:tcPr>
          <w:p w14:paraId="666CF385" w14:textId="6E74FFB6" w:rsidR="0093277D" w:rsidRPr="00660167" w:rsidRDefault="00A7713C" w:rsidP="0093277D">
            <w:pPr>
              <w:rPr>
                <w:rFonts w:ascii="Arial" w:hAnsi="Arial" w:cs="Arial"/>
                <w:sz w:val="18"/>
                <w:szCs w:val="18"/>
                <w:lang w:val="mn-MN" w:eastAsia="ko-KR"/>
              </w:rPr>
            </w:pPr>
            <w:r>
              <w:rPr>
                <w:rFonts w:ascii="Arial" w:hAnsi="Arial" w:cs="Arial"/>
                <w:sz w:val="18"/>
                <w:szCs w:val="18"/>
                <w:lang w:val="mn-MN" w:eastAsia="ko-KR"/>
              </w:rPr>
              <w:t>Монголбанк</w:t>
            </w:r>
          </w:p>
        </w:tc>
      </w:tr>
      <w:tr w:rsidR="0093277D" w:rsidRPr="0093277D" w14:paraId="305BEF75" w14:textId="77777777" w:rsidTr="00660167">
        <w:trPr>
          <w:trHeight w:val="303"/>
        </w:trPr>
        <w:tc>
          <w:tcPr>
            <w:tcW w:w="1191" w:type="dxa"/>
          </w:tcPr>
          <w:p w14:paraId="7CF353CF" w14:textId="1982E606" w:rsidR="0093277D" w:rsidRPr="00660167" w:rsidRDefault="00A7713C" w:rsidP="0093277D">
            <w:pPr>
              <w:rPr>
                <w:rFonts w:ascii="Arial" w:hAnsi="Arial" w:cs="Arial"/>
                <w:sz w:val="18"/>
                <w:szCs w:val="18"/>
                <w:lang w:val="mn-MN" w:eastAsia="ko-KR"/>
              </w:rPr>
            </w:pPr>
            <w:r>
              <w:rPr>
                <w:rFonts w:ascii="Arial" w:hAnsi="Arial" w:cs="Arial"/>
                <w:sz w:val="18"/>
                <w:szCs w:val="18"/>
                <w:lang w:val="mn-MN" w:eastAsia="ko-KR"/>
              </w:rPr>
              <w:t>ХҮИ</w:t>
            </w:r>
          </w:p>
        </w:tc>
        <w:tc>
          <w:tcPr>
            <w:tcW w:w="4324" w:type="dxa"/>
          </w:tcPr>
          <w:p w14:paraId="1DE33459" w14:textId="4DBF463A" w:rsidR="0093277D" w:rsidRPr="00660167" w:rsidRDefault="00A7713C" w:rsidP="0093277D">
            <w:pPr>
              <w:rPr>
                <w:rFonts w:ascii="Arial" w:hAnsi="Arial" w:cs="Arial"/>
                <w:sz w:val="18"/>
                <w:szCs w:val="18"/>
                <w:lang w:val="mn-MN" w:eastAsia="ko-KR"/>
              </w:rPr>
            </w:pPr>
            <w:r>
              <w:rPr>
                <w:rFonts w:ascii="Arial" w:hAnsi="Arial" w:cs="Arial"/>
                <w:sz w:val="18"/>
                <w:szCs w:val="18"/>
                <w:lang w:val="mn-MN" w:eastAsia="ko-KR"/>
              </w:rPr>
              <w:t>Хэрэглээний үнийн индекс</w:t>
            </w:r>
          </w:p>
        </w:tc>
      </w:tr>
      <w:tr w:rsidR="0093277D" w:rsidRPr="0093277D" w14:paraId="17EE7D1B" w14:textId="77777777" w:rsidTr="00660167">
        <w:trPr>
          <w:trHeight w:val="303"/>
        </w:trPr>
        <w:tc>
          <w:tcPr>
            <w:tcW w:w="1191" w:type="dxa"/>
          </w:tcPr>
          <w:p w14:paraId="51FE2D06" w14:textId="3DF5F4F0" w:rsidR="0093277D" w:rsidRPr="00660167" w:rsidRDefault="00A7713C" w:rsidP="0093277D">
            <w:pPr>
              <w:rPr>
                <w:rFonts w:ascii="Arial" w:hAnsi="Arial" w:cs="Arial"/>
                <w:sz w:val="18"/>
                <w:szCs w:val="18"/>
                <w:lang w:val="mn-MN" w:eastAsia="ko-KR"/>
              </w:rPr>
            </w:pPr>
            <w:r>
              <w:rPr>
                <w:rFonts w:ascii="Arial" w:hAnsi="Arial" w:cs="Arial"/>
                <w:sz w:val="18"/>
                <w:szCs w:val="18"/>
                <w:lang w:val="mn-MN" w:eastAsia="ko-KR"/>
              </w:rPr>
              <w:t>МУХБ</w:t>
            </w:r>
          </w:p>
        </w:tc>
        <w:tc>
          <w:tcPr>
            <w:tcW w:w="4324" w:type="dxa"/>
          </w:tcPr>
          <w:p w14:paraId="1F123100" w14:textId="1FC27B2C" w:rsidR="0093277D" w:rsidRPr="00660167" w:rsidRDefault="00A7713C" w:rsidP="0093277D">
            <w:pPr>
              <w:rPr>
                <w:rFonts w:ascii="Arial" w:hAnsi="Arial" w:cs="Arial"/>
                <w:sz w:val="18"/>
                <w:szCs w:val="18"/>
                <w:lang w:val="mn-MN" w:eastAsia="ko-KR"/>
              </w:rPr>
            </w:pPr>
            <w:r>
              <w:rPr>
                <w:rFonts w:ascii="Arial" w:hAnsi="Arial" w:cs="Arial"/>
                <w:sz w:val="18"/>
                <w:szCs w:val="18"/>
                <w:lang w:val="mn-MN" w:eastAsia="ko-KR"/>
              </w:rPr>
              <w:t>Монгол улсын хөгжлийн банк</w:t>
            </w:r>
          </w:p>
        </w:tc>
      </w:tr>
      <w:tr w:rsidR="0093277D" w:rsidRPr="0093277D" w14:paraId="2A58F4DC" w14:textId="77777777" w:rsidTr="00660167">
        <w:trPr>
          <w:trHeight w:val="303"/>
        </w:trPr>
        <w:tc>
          <w:tcPr>
            <w:tcW w:w="1191" w:type="dxa"/>
          </w:tcPr>
          <w:p w14:paraId="33423FD0" w14:textId="02FC149D" w:rsidR="0093277D" w:rsidRPr="00660167" w:rsidRDefault="00B071DD" w:rsidP="0093277D">
            <w:pPr>
              <w:rPr>
                <w:rFonts w:ascii="Arial" w:hAnsi="Arial" w:cs="Arial"/>
                <w:sz w:val="18"/>
                <w:szCs w:val="18"/>
                <w:lang w:val="mn-MN" w:eastAsia="ko-KR"/>
              </w:rPr>
            </w:pPr>
            <w:r>
              <w:rPr>
                <w:rFonts w:ascii="Arial" w:hAnsi="Arial" w:cs="Arial"/>
                <w:sz w:val="18"/>
                <w:szCs w:val="18"/>
                <w:lang w:val="mn-MN" w:eastAsia="ko-KR"/>
              </w:rPr>
              <w:t>ГВ</w:t>
            </w:r>
          </w:p>
        </w:tc>
        <w:tc>
          <w:tcPr>
            <w:tcW w:w="4324" w:type="dxa"/>
          </w:tcPr>
          <w:p w14:paraId="0F96E196" w14:textId="1BAF8568" w:rsidR="0093277D" w:rsidRPr="00660167" w:rsidRDefault="00B071DD" w:rsidP="0093277D">
            <w:pPr>
              <w:rPr>
                <w:rFonts w:ascii="Arial" w:hAnsi="Arial" w:cs="Arial"/>
                <w:sz w:val="18"/>
                <w:szCs w:val="18"/>
                <w:lang w:val="mn-MN" w:eastAsia="ko-KR"/>
              </w:rPr>
            </w:pPr>
            <w:r>
              <w:rPr>
                <w:rFonts w:ascii="Arial" w:hAnsi="Arial" w:cs="Arial"/>
                <w:sz w:val="18"/>
                <w:szCs w:val="18"/>
                <w:lang w:val="mn-MN" w:eastAsia="ko-KR"/>
              </w:rPr>
              <w:t>Гадаад валют</w:t>
            </w:r>
          </w:p>
        </w:tc>
      </w:tr>
      <w:tr w:rsidR="0093277D" w:rsidRPr="0093277D" w14:paraId="1F3CED36" w14:textId="77777777" w:rsidTr="00660167">
        <w:trPr>
          <w:trHeight w:val="303"/>
        </w:trPr>
        <w:tc>
          <w:tcPr>
            <w:tcW w:w="1191" w:type="dxa"/>
          </w:tcPr>
          <w:p w14:paraId="31B66CB2" w14:textId="379DAD5E" w:rsidR="0093277D" w:rsidRPr="00660167" w:rsidRDefault="00B071DD" w:rsidP="0093277D">
            <w:pPr>
              <w:rPr>
                <w:rFonts w:ascii="Arial" w:hAnsi="Arial" w:cs="Arial"/>
                <w:sz w:val="18"/>
                <w:szCs w:val="18"/>
                <w:lang w:val="mn-MN" w:eastAsia="ko-KR"/>
              </w:rPr>
            </w:pPr>
            <w:r>
              <w:rPr>
                <w:rFonts w:ascii="Arial" w:hAnsi="Arial" w:cs="Arial"/>
                <w:sz w:val="18"/>
                <w:szCs w:val="18"/>
                <w:lang w:val="mn-MN" w:eastAsia="ko-KR"/>
              </w:rPr>
              <w:t>ТТБТХ</w:t>
            </w:r>
          </w:p>
        </w:tc>
        <w:tc>
          <w:tcPr>
            <w:tcW w:w="4324" w:type="dxa"/>
          </w:tcPr>
          <w:p w14:paraId="3E74BB29" w14:textId="3710BDAD" w:rsidR="0093277D" w:rsidRPr="00660167" w:rsidRDefault="00B071DD" w:rsidP="0093277D">
            <w:pPr>
              <w:rPr>
                <w:rFonts w:ascii="Arial" w:hAnsi="Arial" w:cs="Arial"/>
                <w:sz w:val="18"/>
                <w:szCs w:val="18"/>
                <w:lang w:val="mn-MN" w:eastAsia="ko-KR"/>
              </w:rPr>
            </w:pPr>
            <w:r>
              <w:rPr>
                <w:rFonts w:ascii="Arial" w:hAnsi="Arial" w:cs="Arial"/>
                <w:sz w:val="18"/>
                <w:szCs w:val="18"/>
                <w:lang w:val="mn-MN" w:eastAsia="ko-KR"/>
              </w:rPr>
              <w:t>Төсвийн тогтвортой байдлын тухай хууль</w:t>
            </w:r>
          </w:p>
        </w:tc>
      </w:tr>
      <w:tr w:rsidR="0093277D" w:rsidRPr="0093277D" w14:paraId="36F68EDB" w14:textId="77777777" w:rsidTr="00660167">
        <w:trPr>
          <w:trHeight w:val="303"/>
        </w:trPr>
        <w:tc>
          <w:tcPr>
            <w:tcW w:w="1191" w:type="dxa"/>
          </w:tcPr>
          <w:p w14:paraId="7F64F7DF" w14:textId="1849571D" w:rsidR="0093277D" w:rsidRPr="00660167" w:rsidRDefault="00B071DD" w:rsidP="0093277D">
            <w:pPr>
              <w:rPr>
                <w:rFonts w:ascii="Arial" w:hAnsi="Arial" w:cs="Arial"/>
                <w:sz w:val="18"/>
                <w:szCs w:val="18"/>
                <w:lang w:val="mn-MN" w:eastAsia="ko-KR"/>
              </w:rPr>
            </w:pPr>
            <w:r>
              <w:rPr>
                <w:rFonts w:ascii="Arial" w:hAnsi="Arial" w:cs="Arial"/>
                <w:sz w:val="18"/>
                <w:szCs w:val="18"/>
                <w:lang w:val="mn-MN" w:eastAsia="ko-KR"/>
              </w:rPr>
              <w:t>ДНБ</w:t>
            </w:r>
          </w:p>
        </w:tc>
        <w:tc>
          <w:tcPr>
            <w:tcW w:w="4324" w:type="dxa"/>
          </w:tcPr>
          <w:p w14:paraId="5F861C3F" w14:textId="509FAF07" w:rsidR="0093277D" w:rsidRPr="00660167" w:rsidRDefault="00B071DD" w:rsidP="0093277D">
            <w:pPr>
              <w:rPr>
                <w:rFonts w:ascii="Arial" w:hAnsi="Arial" w:cs="Arial"/>
                <w:sz w:val="18"/>
                <w:szCs w:val="18"/>
                <w:lang w:val="mn-MN" w:eastAsia="ko-KR"/>
              </w:rPr>
            </w:pPr>
            <w:r>
              <w:rPr>
                <w:rFonts w:ascii="Arial" w:hAnsi="Arial" w:cs="Arial"/>
                <w:sz w:val="18"/>
                <w:szCs w:val="18"/>
                <w:lang w:val="mn-MN" w:eastAsia="ko-KR"/>
              </w:rPr>
              <w:t>Дотоодын нийт бүтээгдэхүүн</w:t>
            </w:r>
          </w:p>
        </w:tc>
      </w:tr>
      <w:tr w:rsidR="0093277D" w:rsidRPr="0093277D" w14:paraId="2F09BE86" w14:textId="77777777" w:rsidTr="00660167">
        <w:trPr>
          <w:trHeight w:val="303"/>
        </w:trPr>
        <w:tc>
          <w:tcPr>
            <w:tcW w:w="1191" w:type="dxa"/>
          </w:tcPr>
          <w:p w14:paraId="2BD3259A" w14:textId="190A81ED" w:rsidR="0093277D" w:rsidRPr="00660167" w:rsidRDefault="00B071DD" w:rsidP="0093277D">
            <w:pPr>
              <w:rPr>
                <w:rFonts w:ascii="Arial" w:hAnsi="Arial" w:cs="Arial"/>
                <w:sz w:val="18"/>
                <w:szCs w:val="18"/>
                <w:lang w:val="mn-MN" w:eastAsia="ko-KR"/>
              </w:rPr>
            </w:pPr>
            <w:r>
              <w:rPr>
                <w:rFonts w:ascii="Arial" w:hAnsi="Arial" w:cs="Arial"/>
                <w:sz w:val="18"/>
                <w:szCs w:val="18"/>
                <w:lang w:val="mn-MN" w:eastAsia="ko-KR"/>
              </w:rPr>
              <w:t>ХХС</w:t>
            </w:r>
          </w:p>
        </w:tc>
        <w:tc>
          <w:tcPr>
            <w:tcW w:w="4324" w:type="dxa"/>
          </w:tcPr>
          <w:p w14:paraId="5E5647B4" w14:textId="43272788" w:rsidR="0093277D" w:rsidRPr="00660167" w:rsidRDefault="00B071DD" w:rsidP="0093277D">
            <w:pPr>
              <w:rPr>
                <w:rFonts w:ascii="Arial" w:hAnsi="Arial" w:cs="Arial"/>
                <w:sz w:val="18"/>
                <w:szCs w:val="18"/>
                <w:lang w:val="mn-MN" w:eastAsia="ko-KR"/>
              </w:rPr>
            </w:pPr>
            <w:r>
              <w:rPr>
                <w:rFonts w:ascii="Arial" w:hAnsi="Arial" w:cs="Arial"/>
                <w:sz w:val="18"/>
                <w:szCs w:val="18"/>
                <w:lang w:val="mn-MN" w:eastAsia="ko-KR"/>
              </w:rPr>
              <w:t>Хүний хөгжлийн сан</w:t>
            </w:r>
          </w:p>
        </w:tc>
      </w:tr>
      <w:tr w:rsidR="0093277D" w:rsidRPr="0093277D" w14:paraId="0BE6F60E" w14:textId="77777777" w:rsidTr="0093277D">
        <w:trPr>
          <w:trHeight w:val="303"/>
        </w:trPr>
        <w:tc>
          <w:tcPr>
            <w:tcW w:w="1191" w:type="dxa"/>
          </w:tcPr>
          <w:p w14:paraId="43E5B870" w14:textId="50245C5B" w:rsidR="0093277D" w:rsidRPr="00660167" w:rsidRDefault="00B071DD" w:rsidP="0093277D">
            <w:pPr>
              <w:rPr>
                <w:rFonts w:ascii="Arial" w:hAnsi="Arial" w:cs="Arial"/>
                <w:sz w:val="18"/>
                <w:szCs w:val="18"/>
                <w:lang w:val="mn-MN" w:eastAsia="ko-KR"/>
              </w:rPr>
            </w:pPr>
            <w:r>
              <w:rPr>
                <w:rFonts w:ascii="Arial" w:hAnsi="Arial" w:cs="Arial"/>
                <w:sz w:val="18"/>
                <w:szCs w:val="18"/>
                <w:lang w:val="mn-MN" w:eastAsia="ko-KR"/>
              </w:rPr>
              <w:t>АХС</w:t>
            </w:r>
          </w:p>
        </w:tc>
        <w:tc>
          <w:tcPr>
            <w:tcW w:w="4324" w:type="dxa"/>
          </w:tcPr>
          <w:p w14:paraId="5EE17F8C" w14:textId="1DF7E1A2" w:rsidR="0093277D" w:rsidRPr="00660167" w:rsidRDefault="00B071DD" w:rsidP="0093277D">
            <w:pPr>
              <w:rPr>
                <w:rFonts w:ascii="Arial" w:hAnsi="Arial" w:cs="Arial"/>
                <w:sz w:val="18"/>
                <w:szCs w:val="18"/>
                <w:lang w:val="mn-MN" w:eastAsia="ko-KR"/>
              </w:rPr>
            </w:pPr>
            <w:r>
              <w:rPr>
                <w:rFonts w:ascii="Arial" w:hAnsi="Arial" w:cs="Arial"/>
                <w:sz w:val="18"/>
                <w:szCs w:val="18"/>
                <w:lang w:val="mn-MN" w:eastAsia="ko-KR"/>
              </w:rPr>
              <w:t>Ажиллах хүчний судалгаа</w:t>
            </w:r>
          </w:p>
        </w:tc>
      </w:tr>
      <w:tr w:rsidR="0093277D" w:rsidRPr="0093277D" w14:paraId="04E9FA0C" w14:textId="77777777" w:rsidTr="00660167">
        <w:trPr>
          <w:trHeight w:val="303"/>
        </w:trPr>
        <w:tc>
          <w:tcPr>
            <w:tcW w:w="1191" w:type="dxa"/>
          </w:tcPr>
          <w:p w14:paraId="7B82D1E6" w14:textId="4997BDC5" w:rsidR="0093277D" w:rsidRPr="00660167" w:rsidRDefault="00B071DD" w:rsidP="0093277D">
            <w:pPr>
              <w:rPr>
                <w:rFonts w:ascii="Arial" w:hAnsi="Arial" w:cs="Arial"/>
                <w:sz w:val="18"/>
                <w:szCs w:val="18"/>
                <w:lang w:val="mn-MN" w:eastAsia="ko-KR"/>
              </w:rPr>
            </w:pPr>
            <w:r>
              <w:rPr>
                <w:rFonts w:ascii="Arial" w:hAnsi="Arial" w:cs="Arial"/>
                <w:sz w:val="18"/>
                <w:szCs w:val="18"/>
                <w:lang w:val="mn-MN" w:eastAsia="ko-KR"/>
              </w:rPr>
              <w:t>ЗГТ</w:t>
            </w:r>
          </w:p>
        </w:tc>
        <w:tc>
          <w:tcPr>
            <w:tcW w:w="4324" w:type="dxa"/>
          </w:tcPr>
          <w:p w14:paraId="64BB6A4D" w14:textId="5D581810" w:rsidR="0093277D" w:rsidRPr="00660167" w:rsidRDefault="00B071DD" w:rsidP="0093277D">
            <w:pPr>
              <w:rPr>
                <w:rFonts w:ascii="Arial" w:hAnsi="Arial" w:cs="Arial"/>
                <w:sz w:val="18"/>
                <w:szCs w:val="18"/>
                <w:lang w:val="mn-MN" w:eastAsia="ko-KR"/>
              </w:rPr>
            </w:pPr>
            <w:r>
              <w:rPr>
                <w:rFonts w:ascii="Arial" w:hAnsi="Arial" w:cs="Arial"/>
                <w:sz w:val="18"/>
                <w:szCs w:val="18"/>
                <w:lang w:val="mn-MN" w:eastAsia="ko-KR"/>
              </w:rPr>
              <w:t>Зүүн гар тал</w:t>
            </w:r>
          </w:p>
        </w:tc>
      </w:tr>
      <w:tr w:rsidR="0093277D" w:rsidRPr="0093277D" w14:paraId="4F35CF69" w14:textId="77777777" w:rsidTr="00660167">
        <w:trPr>
          <w:trHeight w:val="303"/>
        </w:trPr>
        <w:tc>
          <w:tcPr>
            <w:tcW w:w="1191" w:type="dxa"/>
          </w:tcPr>
          <w:p w14:paraId="1F2A4B52" w14:textId="17A0146D" w:rsidR="0093277D" w:rsidRPr="00660167" w:rsidRDefault="00B071DD" w:rsidP="0093277D">
            <w:pPr>
              <w:rPr>
                <w:rFonts w:ascii="Arial" w:hAnsi="Arial" w:cs="Arial"/>
                <w:sz w:val="18"/>
                <w:szCs w:val="18"/>
                <w:lang w:val="mn-MN" w:eastAsia="ko-KR"/>
              </w:rPr>
            </w:pPr>
            <w:r>
              <w:rPr>
                <w:rFonts w:ascii="Arial" w:hAnsi="Arial" w:cs="Arial"/>
                <w:sz w:val="18"/>
                <w:szCs w:val="18"/>
                <w:lang w:val="mn-MN" w:eastAsia="ko-KR"/>
              </w:rPr>
              <w:t>МСХ</w:t>
            </w:r>
          </w:p>
        </w:tc>
        <w:tc>
          <w:tcPr>
            <w:tcW w:w="4324" w:type="dxa"/>
          </w:tcPr>
          <w:p w14:paraId="34983BAB" w14:textId="733C61AD" w:rsidR="0093277D" w:rsidRPr="00660167" w:rsidRDefault="00B071DD" w:rsidP="0093277D">
            <w:pPr>
              <w:rPr>
                <w:rFonts w:ascii="Arial" w:hAnsi="Arial" w:cs="Arial"/>
                <w:sz w:val="18"/>
                <w:szCs w:val="18"/>
                <w:lang w:val="mn-MN" w:eastAsia="ko-KR"/>
              </w:rPr>
            </w:pPr>
            <w:r>
              <w:rPr>
                <w:rFonts w:ascii="Arial" w:hAnsi="Arial" w:cs="Arial"/>
                <w:sz w:val="18"/>
                <w:szCs w:val="18"/>
                <w:lang w:val="mn-MN" w:eastAsia="ko-KR"/>
              </w:rPr>
              <w:t>Монголын санхүүгийн холбоо</w:t>
            </w:r>
          </w:p>
        </w:tc>
      </w:tr>
      <w:tr w:rsidR="0093277D" w:rsidRPr="0093277D" w14:paraId="26562343" w14:textId="77777777" w:rsidTr="00660167">
        <w:trPr>
          <w:trHeight w:val="303"/>
        </w:trPr>
        <w:tc>
          <w:tcPr>
            <w:tcW w:w="1191" w:type="dxa"/>
          </w:tcPr>
          <w:p w14:paraId="5E62C323" w14:textId="77777777" w:rsidR="0093277D" w:rsidRPr="00660167" w:rsidRDefault="0093277D" w:rsidP="0093277D">
            <w:pPr>
              <w:rPr>
                <w:rFonts w:ascii="Arial" w:hAnsi="Arial" w:cs="Arial"/>
                <w:sz w:val="18"/>
                <w:szCs w:val="18"/>
                <w:lang w:eastAsia="ko-KR"/>
              </w:rPr>
            </w:pPr>
            <w:r w:rsidRPr="00660167">
              <w:rPr>
                <w:rFonts w:ascii="Arial" w:hAnsi="Arial" w:cs="Arial"/>
                <w:sz w:val="18"/>
                <w:szCs w:val="18"/>
                <w:lang w:eastAsia="ko-KR"/>
              </w:rPr>
              <w:t>MNT</w:t>
            </w:r>
          </w:p>
        </w:tc>
        <w:tc>
          <w:tcPr>
            <w:tcW w:w="4324" w:type="dxa"/>
          </w:tcPr>
          <w:p w14:paraId="0DE5074F" w14:textId="6E7C2002" w:rsidR="0093277D" w:rsidRPr="00660167" w:rsidRDefault="00B071DD" w:rsidP="0093277D">
            <w:pPr>
              <w:rPr>
                <w:rFonts w:ascii="Arial" w:hAnsi="Arial" w:cs="Arial"/>
                <w:sz w:val="18"/>
                <w:szCs w:val="18"/>
                <w:lang w:val="mn-MN" w:eastAsia="ko-KR"/>
              </w:rPr>
            </w:pPr>
            <w:r>
              <w:rPr>
                <w:rFonts w:ascii="Arial" w:hAnsi="Arial" w:cs="Arial"/>
                <w:sz w:val="18"/>
                <w:szCs w:val="18"/>
                <w:lang w:val="mn-MN" w:eastAsia="ko-KR"/>
              </w:rPr>
              <w:t>Монгол төгрөг</w:t>
            </w:r>
          </w:p>
        </w:tc>
      </w:tr>
      <w:tr w:rsidR="0093277D" w:rsidRPr="0093277D" w14:paraId="5288B399" w14:textId="77777777" w:rsidTr="00660167">
        <w:trPr>
          <w:trHeight w:val="303"/>
        </w:trPr>
        <w:tc>
          <w:tcPr>
            <w:tcW w:w="1191" w:type="dxa"/>
          </w:tcPr>
          <w:p w14:paraId="519398B5" w14:textId="2AE4D7CD" w:rsidR="0093277D" w:rsidRPr="00660167" w:rsidRDefault="00B071DD" w:rsidP="0093277D">
            <w:pPr>
              <w:rPr>
                <w:rFonts w:ascii="Arial" w:hAnsi="Arial" w:cs="Arial"/>
                <w:sz w:val="18"/>
                <w:szCs w:val="18"/>
                <w:lang w:val="mn-MN" w:eastAsia="ko-KR"/>
              </w:rPr>
            </w:pPr>
            <w:r>
              <w:rPr>
                <w:rFonts w:ascii="Arial" w:hAnsi="Arial" w:cs="Arial"/>
                <w:sz w:val="18"/>
                <w:szCs w:val="18"/>
                <w:lang w:val="mn-MN" w:eastAsia="ko-KR"/>
              </w:rPr>
              <w:t>СЯ</w:t>
            </w:r>
          </w:p>
        </w:tc>
        <w:tc>
          <w:tcPr>
            <w:tcW w:w="4324" w:type="dxa"/>
          </w:tcPr>
          <w:p w14:paraId="265629A7" w14:textId="28379CAE" w:rsidR="0093277D" w:rsidRPr="00660167" w:rsidRDefault="00B071DD" w:rsidP="0093277D">
            <w:pPr>
              <w:rPr>
                <w:rFonts w:ascii="Arial" w:hAnsi="Arial" w:cs="Arial"/>
                <w:sz w:val="18"/>
                <w:szCs w:val="18"/>
                <w:lang w:val="mn-MN" w:eastAsia="ko-KR"/>
              </w:rPr>
            </w:pPr>
            <w:r>
              <w:rPr>
                <w:rFonts w:ascii="Arial" w:hAnsi="Arial" w:cs="Arial"/>
                <w:sz w:val="18"/>
                <w:szCs w:val="18"/>
                <w:lang w:val="mn-MN" w:eastAsia="ko-KR"/>
              </w:rPr>
              <w:t>Сангийн яам</w:t>
            </w:r>
          </w:p>
        </w:tc>
      </w:tr>
      <w:tr w:rsidR="0093277D" w:rsidRPr="0093277D" w14:paraId="1B0DC6AE" w14:textId="77777777" w:rsidTr="00660167">
        <w:trPr>
          <w:trHeight w:val="303"/>
        </w:trPr>
        <w:tc>
          <w:tcPr>
            <w:tcW w:w="1191" w:type="dxa"/>
          </w:tcPr>
          <w:p w14:paraId="615EDCCE" w14:textId="421FDCF6" w:rsidR="0093277D" w:rsidRPr="00660167" w:rsidRDefault="00B071DD" w:rsidP="00660167">
            <w:pPr>
              <w:rPr>
                <w:rFonts w:ascii="Arial" w:hAnsi="Arial" w:cs="Arial"/>
                <w:sz w:val="18"/>
                <w:szCs w:val="18"/>
                <w:lang w:val="mn-MN" w:eastAsia="ko-KR"/>
              </w:rPr>
            </w:pPr>
            <w:r>
              <w:rPr>
                <w:rFonts w:ascii="Arial" w:hAnsi="Arial" w:cs="Arial"/>
                <w:sz w:val="18"/>
                <w:szCs w:val="18"/>
                <w:lang w:val="mn-MN" w:eastAsia="ko-KR"/>
              </w:rPr>
              <w:t>өсх</w:t>
            </w:r>
          </w:p>
        </w:tc>
        <w:tc>
          <w:tcPr>
            <w:tcW w:w="4324" w:type="dxa"/>
          </w:tcPr>
          <w:p w14:paraId="0F49BE14" w14:textId="5B6C9139" w:rsidR="0093277D" w:rsidRPr="00660167" w:rsidRDefault="00B071DD" w:rsidP="0093277D">
            <w:pPr>
              <w:rPr>
                <w:rFonts w:ascii="Arial" w:hAnsi="Arial" w:cs="Arial"/>
                <w:sz w:val="18"/>
                <w:szCs w:val="18"/>
                <w:lang w:val="mn-MN" w:eastAsia="ko-KR"/>
              </w:rPr>
            </w:pPr>
            <w:r>
              <w:rPr>
                <w:rFonts w:ascii="Arial" w:hAnsi="Arial" w:cs="Arial"/>
                <w:sz w:val="18"/>
                <w:szCs w:val="18"/>
                <w:lang w:val="mn-MN" w:eastAsia="ko-KR"/>
              </w:rPr>
              <w:t>өмнөх сартай харьцуулсан</w:t>
            </w:r>
          </w:p>
        </w:tc>
      </w:tr>
      <w:tr w:rsidR="0093277D" w:rsidRPr="0093277D" w14:paraId="1A20C949" w14:textId="77777777" w:rsidTr="0093277D">
        <w:trPr>
          <w:trHeight w:val="303"/>
        </w:trPr>
        <w:tc>
          <w:tcPr>
            <w:tcW w:w="1191" w:type="dxa"/>
          </w:tcPr>
          <w:p w14:paraId="750E5AF9" w14:textId="6F0C18F6" w:rsidR="0093277D" w:rsidRPr="00660167" w:rsidRDefault="00B071DD" w:rsidP="0093277D">
            <w:pPr>
              <w:rPr>
                <w:rFonts w:ascii="Arial" w:hAnsi="Arial" w:cs="Arial"/>
                <w:sz w:val="18"/>
                <w:szCs w:val="18"/>
                <w:lang w:val="mn-MN" w:eastAsia="ko-KR"/>
              </w:rPr>
            </w:pPr>
            <w:r>
              <w:rPr>
                <w:rFonts w:ascii="Arial" w:hAnsi="Arial" w:cs="Arial"/>
                <w:sz w:val="18"/>
                <w:szCs w:val="18"/>
                <w:lang w:val="mn-MN" w:eastAsia="ko-KR"/>
              </w:rPr>
              <w:t>сгд</w:t>
            </w:r>
          </w:p>
        </w:tc>
        <w:tc>
          <w:tcPr>
            <w:tcW w:w="4324" w:type="dxa"/>
          </w:tcPr>
          <w:p w14:paraId="42C4FCBD" w14:textId="3E268CBA" w:rsidR="0093277D" w:rsidRPr="00660167" w:rsidRDefault="00B071DD" w:rsidP="0093277D">
            <w:pPr>
              <w:rPr>
                <w:rFonts w:ascii="Arial" w:hAnsi="Arial" w:cs="Arial"/>
                <w:sz w:val="18"/>
                <w:szCs w:val="18"/>
                <w:lang w:val="mn-MN" w:eastAsia="ko-KR"/>
              </w:rPr>
            </w:pPr>
            <w:r>
              <w:rPr>
                <w:rFonts w:ascii="Arial" w:hAnsi="Arial" w:cs="Arial"/>
                <w:sz w:val="18"/>
                <w:szCs w:val="18"/>
                <w:lang w:val="mn-MN" w:eastAsia="ko-KR"/>
              </w:rPr>
              <w:t>сарын гулсмал дундаж</w:t>
            </w:r>
          </w:p>
        </w:tc>
      </w:tr>
      <w:tr w:rsidR="0093277D" w:rsidRPr="0093277D" w14:paraId="27D28D1A" w14:textId="77777777" w:rsidTr="00660167">
        <w:trPr>
          <w:trHeight w:val="303"/>
        </w:trPr>
        <w:tc>
          <w:tcPr>
            <w:tcW w:w="1191" w:type="dxa"/>
          </w:tcPr>
          <w:p w14:paraId="7A8BCAA3" w14:textId="67F1A30B" w:rsidR="0093277D" w:rsidRPr="00660167" w:rsidRDefault="00B071DD" w:rsidP="0093277D">
            <w:pPr>
              <w:rPr>
                <w:rFonts w:ascii="Arial" w:hAnsi="Arial" w:cs="Arial"/>
                <w:sz w:val="18"/>
                <w:szCs w:val="18"/>
                <w:lang w:val="mn-MN" w:eastAsia="ko-KR"/>
              </w:rPr>
            </w:pPr>
            <w:r>
              <w:rPr>
                <w:rFonts w:ascii="Arial" w:hAnsi="Arial" w:cs="Arial"/>
                <w:sz w:val="18"/>
                <w:szCs w:val="18"/>
                <w:lang w:val="mn-MN" w:eastAsia="ko-KR"/>
              </w:rPr>
              <w:t>тн</w:t>
            </w:r>
          </w:p>
        </w:tc>
        <w:tc>
          <w:tcPr>
            <w:tcW w:w="4324" w:type="dxa"/>
          </w:tcPr>
          <w:p w14:paraId="5FE9CFB7" w14:textId="3C08D748" w:rsidR="0093277D" w:rsidRPr="00660167" w:rsidRDefault="00B071DD" w:rsidP="0093277D">
            <w:pPr>
              <w:rPr>
                <w:rFonts w:ascii="Arial" w:hAnsi="Arial" w:cs="Arial"/>
                <w:sz w:val="18"/>
                <w:szCs w:val="18"/>
                <w:lang w:val="mn-MN" w:eastAsia="ko-KR"/>
              </w:rPr>
            </w:pPr>
            <w:r>
              <w:rPr>
                <w:rFonts w:ascii="Arial" w:hAnsi="Arial" w:cs="Arial"/>
                <w:sz w:val="18"/>
                <w:szCs w:val="18"/>
                <w:lang w:val="mn-MN" w:eastAsia="ko-KR"/>
              </w:rPr>
              <w:t>тонн</w:t>
            </w:r>
          </w:p>
        </w:tc>
      </w:tr>
      <w:tr w:rsidR="0093277D" w:rsidRPr="0093277D" w14:paraId="495A5FBB" w14:textId="77777777" w:rsidTr="00660167">
        <w:trPr>
          <w:trHeight w:val="303"/>
        </w:trPr>
        <w:tc>
          <w:tcPr>
            <w:tcW w:w="1191" w:type="dxa"/>
          </w:tcPr>
          <w:p w14:paraId="537BEE51" w14:textId="3A37A96B" w:rsidR="0093277D" w:rsidRPr="00660167" w:rsidRDefault="00B071DD" w:rsidP="0093277D">
            <w:pPr>
              <w:rPr>
                <w:rFonts w:ascii="Arial" w:hAnsi="Arial" w:cs="Arial"/>
                <w:sz w:val="18"/>
                <w:szCs w:val="18"/>
                <w:lang w:val="mn-MN" w:eastAsia="ko-KR"/>
              </w:rPr>
            </w:pPr>
            <w:r>
              <w:rPr>
                <w:rFonts w:ascii="Arial" w:hAnsi="Arial" w:cs="Arial"/>
                <w:sz w:val="18"/>
                <w:szCs w:val="18"/>
                <w:lang w:val="mn-MN" w:eastAsia="ko-KR"/>
              </w:rPr>
              <w:t>ЧЗ</w:t>
            </w:r>
          </w:p>
        </w:tc>
        <w:tc>
          <w:tcPr>
            <w:tcW w:w="4324" w:type="dxa"/>
          </w:tcPr>
          <w:p w14:paraId="54728B64" w14:textId="046B338F" w:rsidR="0093277D" w:rsidRPr="00660167" w:rsidRDefault="00B071DD" w:rsidP="0093277D">
            <w:pPr>
              <w:rPr>
                <w:rFonts w:ascii="Arial" w:hAnsi="Arial" w:cs="Arial"/>
                <w:sz w:val="18"/>
                <w:szCs w:val="18"/>
                <w:lang w:val="mn-MN" w:eastAsia="ko-KR"/>
              </w:rPr>
            </w:pPr>
            <w:r>
              <w:rPr>
                <w:rFonts w:ascii="Arial" w:hAnsi="Arial" w:cs="Arial"/>
                <w:sz w:val="18"/>
                <w:szCs w:val="18"/>
                <w:lang w:val="mn-MN" w:eastAsia="ko-KR"/>
              </w:rPr>
              <w:t>чанаргүй зээл</w:t>
            </w:r>
          </w:p>
        </w:tc>
      </w:tr>
      <w:tr w:rsidR="0093277D" w:rsidRPr="0093277D" w14:paraId="5EF3AA07" w14:textId="77777777" w:rsidTr="00660167">
        <w:trPr>
          <w:trHeight w:val="303"/>
        </w:trPr>
        <w:tc>
          <w:tcPr>
            <w:tcW w:w="1191" w:type="dxa"/>
          </w:tcPr>
          <w:p w14:paraId="2B17720F" w14:textId="1FA5A594" w:rsidR="0093277D" w:rsidRPr="00660167" w:rsidRDefault="00B071DD" w:rsidP="0093277D">
            <w:pPr>
              <w:rPr>
                <w:rFonts w:ascii="Arial" w:hAnsi="Arial" w:cs="Arial"/>
                <w:sz w:val="18"/>
                <w:szCs w:val="18"/>
                <w:lang w:val="mn-MN" w:eastAsia="ko-KR"/>
              </w:rPr>
            </w:pPr>
            <w:r>
              <w:rPr>
                <w:rFonts w:ascii="Arial" w:hAnsi="Arial" w:cs="Arial"/>
                <w:sz w:val="18"/>
                <w:szCs w:val="18"/>
                <w:lang w:val="mn-MN" w:eastAsia="ko-KR"/>
              </w:rPr>
              <w:t>ҮСХ</w:t>
            </w:r>
          </w:p>
        </w:tc>
        <w:tc>
          <w:tcPr>
            <w:tcW w:w="4324" w:type="dxa"/>
          </w:tcPr>
          <w:p w14:paraId="3D7F7D38" w14:textId="681D8B9C" w:rsidR="0093277D" w:rsidRPr="00660167" w:rsidRDefault="00B071DD" w:rsidP="0093277D">
            <w:pPr>
              <w:rPr>
                <w:rFonts w:ascii="Arial" w:hAnsi="Arial" w:cs="Arial"/>
                <w:sz w:val="18"/>
                <w:szCs w:val="18"/>
                <w:lang w:val="mn-MN" w:eastAsia="ko-KR"/>
              </w:rPr>
            </w:pPr>
            <w:r>
              <w:rPr>
                <w:rFonts w:ascii="Arial" w:hAnsi="Arial" w:cs="Arial"/>
                <w:sz w:val="18"/>
                <w:szCs w:val="18"/>
                <w:lang w:val="mn-MN" w:eastAsia="ko-KR"/>
              </w:rPr>
              <w:t>Үндэсний статистикийн хороо</w:t>
            </w:r>
          </w:p>
        </w:tc>
      </w:tr>
      <w:tr w:rsidR="0093277D" w:rsidRPr="0093277D" w14:paraId="089D1F3A" w14:textId="77777777" w:rsidTr="00660167">
        <w:trPr>
          <w:trHeight w:val="303"/>
        </w:trPr>
        <w:tc>
          <w:tcPr>
            <w:tcW w:w="1191" w:type="dxa"/>
          </w:tcPr>
          <w:p w14:paraId="44CEC2D5" w14:textId="77777777" w:rsidR="0093277D" w:rsidRPr="00660167" w:rsidRDefault="0093277D" w:rsidP="0093277D">
            <w:pPr>
              <w:rPr>
                <w:rFonts w:ascii="Arial" w:hAnsi="Arial" w:cs="Arial"/>
                <w:sz w:val="18"/>
                <w:szCs w:val="18"/>
                <w:lang w:eastAsia="ko-KR"/>
              </w:rPr>
            </w:pPr>
            <w:r w:rsidRPr="00660167">
              <w:rPr>
                <w:rFonts w:ascii="Arial" w:hAnsi="Arial" w:cs="Arial"/>
                <w:sz w:val="18"/>
                <w:szCs w:val="18"/>
                <w:lang w:eastAsia="ko-KR"/>
              </w:rPr>
              <w:t>OT</w:t>
            </w:r>
          </w:p>
        </w:tc>
        <w:tc>
          <w:tcPr>
            <w:tcW w:w="4324" w:type="dxa"/>
          </w:tcPr>
          <w:p w14:paraId="4B153B9F" w14:textId="5081C606" w:rsidR="0093277D" w:rsidRPr="00660167" w:rsidRDefault="00B071DD" w:rsidP="0093277D">
            <w:pPr>
              <w:rPr>
                <w:rFonts w:ascii="Arial" w:hAnsi="Arial" w:cs="Arial"/>
                <w:sz w:val="18"/>
                <w:szCs w:val="18"/>
                <w:lang w:val="mn-MN" w:eastAsia="ko-KR"/>
              </w:rPr>
            </w:pPr>
            <w:r>
              <w:rPr>
                <w:rFonts w:ascii="Arial" w:hAnsi="Arial" w:cs="Arial"/>
                <w:sz w:val="18"/>
                <w:szCs w:val="18"/>
                <w:lang w:val="mn-MN" w:eastAsia="ko-KR"/>
              </w:rPr>
              <w:t>Оюу толгой</w:t>
            </w:r>
          </w:p>
        </w:tc>
      </w:tr>
      <w:tr w:rsidR="0093277D" w:rsidRPr="0093277D" w14:paraId="7DF411B4" w14:textId="77777777" w:rsidTr="00660167">
        <w:trPr>
          <w:trHeight w:val="303"/>
        </w:trPr>
        <w:tc>
          <w:tcPr>
            <w:tcW w:w="1191" w:type="dxa"/>
          </w:tcPr>
          <w:p w14:paraId="0EC3AD18" w14:textId="1D96B2AB" w:rsidR="0093277D" w:rsidRPr="00660167" w:rsidRDefault="00B071DD" w:rsidP="0093277D">
            <w:pPr>
              <w:rPr>
                <w:rFonts w:ascii="Arial" w:hAnsi="Arial" w:cs="Arial"/>
                <w:sz w:val="18"/>
                <w:szCs w:val="18"/>
                <w:lang w:val="mn-MN" w:eastAsia="ko-KR"/>
              </w:rPr>
            </w:pPr>
            <w:r>
              <w:rPr>
                <w:rFonts w:ascii="Arial" w:hAnsi="Arial" w:cs="Arial"/>
                <w:sz w:val="18"/>
                <w:szCs w:val="18"/>
                <w:lang w:val="mn-MN" w:eastAsia="ko-KR"/>
              </w:rPr>
              <w:t>бгт</w:t>
            </w:r>
          </w:p>
        </w:tc>
        <w:tc>
          <w:tcPr>
            <w:tcW w:w="4324" w:type="dxa"/>
          </w:tcPr>
          <w:p w14:paraId="03D42DF7" w14:textId="3950FF79" w:rsidR="0093277D" w:rsidRPr="00660167" w:rsidRDefault="00B071DD" w:rsidP="0093277D">
            <w:pPr>
              <w:rPr>
                <w:rFonts w:ascii="Arial" w:hAnsi="Arial" w:cs="Arial"/>
                <w:sz w:val="18"/>
                <w:szCs w:val="18"/>
                <w:lang w:val="mn-MN" w:eastAsia="ko-KR"/>
              </w:rPr>
            </w:pPr>
            <w:r>
              <w:rPr>
                <w:rFonts w:ascii="Arial" w:hAnsi="Arial" w:cs="Arial"/>
                <w:sz w:val="18"/>
                <w:szCs w:val="18"/>
                <w:lang w:val="mn-MN" w:eastAsia="ko-KR"/>
              </w:rPr>
              <w:t>баруун гар тал</w:t>
            </w:r>
          </w:p>
        </w:tc>
      </w:tr>
      <w:tr w:rsidR="0093277D" w:rsidRPr="0093277D" w14:paraId="22618E40" w14:textId="77777777" w:rsidTr="00660167">
        <w:trPr>
          <w:trHeight w:val="303"/>
        </w:trPr>
        <w:tc>
          <w:tcPr>
            <w:tcW w:w="1191" w:type="dxa"/>
          </w:tcPr>
          <w:p w14:paraId="0C1CB024" w14:textId="3E708CA8" w:rsidR="0093277D" w:rsidRPr="00660167" w:rsidRDefault="00B071DD" w:rsidP="00660167">
            <w:pPr>
              <w:rPr>
                <w:rFonts w:ascii="Arial" w:hAnsi="Arial" w:cs="Arial"/>
                <w:sz w:val="18"/>
                <w:szCs w:val="18"/>
                <w:lang w:val="mn-MN" w:eastAsia="ko-KR"/>
              </w:rPr>
            </w:pPr>
            <w:r>
              <w:rPr>
                <w:rFonts w:ascii="Arial" w:hAnsi="Arial" w:cs="Arial"/>
                <w:sz w:val="18"/>
                <w:szCs w:val="18"/>
                <w:lang w:val="mn-MN" w:eastAsia="ko-KR"/>
              </w:rPr>
              <w:t>өух</w:t>
            </w:r>
          </w:p>
        </w:tc>
        <w:tc>
          <w:tcPr>
            <w:tcW w:w="4324" w:type="dxa"/>
          </w:tcPr>
          <w:p w14:paraId="439E1392" w14:textId="7ED0EFD4" w:rsidR="0093277D" w:rsidRPr="00660167" w:rsidRDefault="00B071DD" w:rsidP="00660167">
            <w:pPr>
              <w:rPr>
                <w:rFonts w:ascii="Arial" w:hAnsi="Arial" w:cs="Arial"/>
                <w:sz w:val="18"/>
                <w:szCs w:val="18"/>
                <w:lang w:eastAsia="ko-KR"/>
              </w:rPr>
            </w:pPr>
            <w:r>
              <w:rPr>
                <w:rFonts w:ascii="Arial" w:hAnsi="Arial" w:cs="Arial"/>
                <w:sz w:val="18"/>
                <w:szCs w:val="18"/>
                <w:lang w:val="mn-MN" w:eastAsia="ko-KR"/>
              </w:rPr>
              <w:t>өмнөх улиралтай харьцуулсан</w:t>
            </w:r>
            <w:r w:rsidR="0093277D">
              <w:rPr>
                <w:rFonts w:ascii="Arial" w:hAnsi="Arial" w:cs="Arial"/>
                <w:sz w:val="18"/>
                <w:szCs w:val="18"/>
                <w:lang w:eastAsia="ko-KR"/>
              </w:rPr>
              <w:t xml:space="preserve"> </w:t>
            </w:r>
          </w:p>
        </w:tc>
      </w:tr>
      <w:tr w:rsidR="0093277D" w:rsidRPr="0093277D" w14:paraId="498AFEC0" w14:textId="77777777" w:rsidTr="00660167">
        <w:trPr>
          <w:trHeight w:val="303"/>
        </w:trPr>
        <w:tc>
          <w:tcPr>
            <w:tcW w:w="1191" w:type="dxa"/>
          </w:tcPr>
          <w:p w14:paraId="762E93B6" w14:textId="308DA050" w:rsidR="0093277D" w:rsidRPr="00660167" w:rsidRDefault="00B071DD" w:rsidP="0093277D">
            <w:pPr>
              <w:rPr>
                <w:rFonts w:ascii="Arial" w:hAnsi="Arial" w:cs="Arial"/>
                <w:sz w:val="18"/>
                <w:szCs w:val="18"/>
                <w:lang w:val="mn-MN" w:eastAsia="ko-KR"/>
              </w:rPr>
            </w:pPr>
            <w:r>
              <w:rPr>
                <w:rFonts w:ascii="Arial" w:hAnsi="Arial" w:cs="Arial"/>
                <w:sz w:val="18"/>
                <w:szCs w:val="18"/>
                <w:lang w:val="mn-MN" w:eastAsia="ko-KR"/>
              </w:rPr>
              <w:t>өжх</w:t>
            </w:r>
          </w:p>
        </w:tc>
        <w:tc>
          <w:tcPr>
            <w:tcW w:w="4324" w:type="dxa"/>
          </w:tcPr>
          <w:p w14:paraId="73E594D1" w14:textId="444BE020" w:rsidR="0093277D" w:rsidRPr="00660167" w:rsidRDefault="00B071DD" w:rsidP="0093277D">
            <w:pPr>
              <w:rPr>
                <w:rFonts w:ascii="Arial" w:hAnsi="Arial" w:cs="Arial"/>
                <w:sz w:val="18"/>
                <w:szCs w:val="18"/>
                <w:lang w:val="mn-MN" w:eastAsia="ko-KR"/>
              </w:rPr>
            </w:pPr>
            <w:r>
              <w:rPr>
                <w:rFonts w:ascii="Arial" w:hAnsi="Arial" w:cs="Arial"/>
                <w:sz w:val="18"/>
                <w:szCs w:val="18"/>
                <w:lang w:val="mn-MN" w:eastAsia="ko-KR"/>
              </w:rPr>
              <w:t>өмнөх жилтэй харьцуулсан</w:t>
            </w:r>
          </w:p>
        </w:tc>
      </w:tr>
    </w:tbl>
    <w:p w14:paraId="2EE12541" w14:textId="77777777" w:rsidR="00EF6366" w:rsidRPr="00864224" w:rsidRDefault="00EF6366" w:rsidP="00EF6366">
      <w:pPr>
        <w:spacing w:before="120" w:after="0"/>
        <w:jc w:val="center"/>
        <w:rPr>
          <w:rFonts w:cstheme="minorHAnsi"/>
          <w:b/>
          <w:color w:val="0070C0"/>
          <w:sz w:val="24"/>
          <w:szCs w:val="20"/>
          <w:lang w:eastAsia="ko-KR"/>
        </w:rPr>
      </w:pPr>
    </w:p>
    <w:p w14:paraId="17B6F69F" w14:textId="29480D9B" w:rsidR="00EF6366" w:rsidRPr="00660167" w:rsidRDefault="00030FD0">
      <w:pPr>
        <w:rPr>
          <w:b/>
          <w:lang w:eastAsia="ko-KR"/>
        </w:rPr>
      </w:pPr>
      <w:r>
        <w:rPr>
          <w:b/>
          <w:lang w:eastAsia="ko-KR"/>
        </w:rPr>
        <w:br w:type="page"/>
      </w:r>
    </w:p>
    <w:p w14:paraId="14F513FA" w14:textId="507D347C" w:rsidR="00540BB5" w:rsidRPr="00660167" w:rsidRDefault="00046FF6" w:rsidP="00660167">
      <w:pPr>
        <w:pStyle w:val="Heading1"/>
        <w:jc w:val="center"/>
        <w:rPr>
          <w:rFonts w:ascii="Arial" w:hAnsi="Arial" w:cs="Arial"/>
          <w:sz w:val="40"/>
          <w:szCs w:val="18"/>
        </w:rPr>
      </w:pPr>
      <w:bookmarkStart w:id="1" w:name="_Toc371338270"/>
      <w:bookmarkEnd w:id="0"/>
      <w:r>
        <w:rPr>
          <w:b w:val="0"/>
          <w:lang w:val="mn-MN" w:eastAsia="ko-KR"/>
        </w:rPr>
        <w:lastRenderedPageBreak/>
        <w:t>Хураангуй</w:t>
      </w:r>
      <w:bookmarkEnd w:id="1"/>
    </w:p>
    <w:p w14:paraId="15584E99" w14:textId="7777D19A" w:rsidR="00234505" w:rsidRDefault="00046FF6" w:rsidP="00660167">
      <w:pPr>
        <w:spacing w:before="120" w:after="60" w:line="264" w:lineRule="auto"/>
        <w:jc w:val="both"/>
        <w:rPr>
          <w:rFonts w:ascii="Arial" w:hAnsi="Arial" w:cs="Arial"/>
          <w:sz w:val="18"/>
          <w:szCs w:val="18"/>
        </w:rPr>
      </w:pPr>
      <w:r>
        <w:rPr>
          <w:rFonts w:ascii="Arial" w:hAnsi="Arial" w:cs="Arial"/>
          <w:sz w:val="18"/>
          <w:szCs w:val="18"/>
          <w:lang w:val="mn-MN"/>
        </w:rPr>
        <w:t xml:space="preserve">Монгол улсын эдийн засаг 2013 онд Оюу толгойн </w:t>
      </w:r>
      <w:r>
        <w:rPr>
          <w:rFonts w:ascii="Arial" w:hAnsi="Arial" w:cs="Arial"/>
          <w:sz w:val="18"/>
          <w:szCs w:val="18"/>
        </w:rPr>
        <w:t>(</w:t>
      </w:r>
      <w:r>
        <w:rPr>
          <w:rFonts w:ascii="Arial" w:hAnsi="Arial" w:cs="Arial"/>
          <w:sz w:val="18"/>
          <w:szCs w:val="18"/>
          <w:lang w:val="mn-MN"/>
        </w:rPr>
        <w:t>ОТ</w:t>
      </w:r>
      <w:r>
        <w:rPr>
          <w:rFonts w:ascii="Arial" w:hAnsi="Arial" w:cs="Arial"/>
          <w:sz w:val="18"/>
          <w:szCs w:val="18"/>
        </w:rPr>
        <w:t xml:space="preserve">) </w:t>
      </w:r>
      <w:r>
        <w:rPr>
          <w:rFonts w:ascii="Arial" w:hAnsi="Arial" w:cs="Arial"/>
          <w:sz w:val="18"/>
          <w:szCs w:val="18"/>
          <w:lang w:val="mn-MN"/>
        </w:rPr>
        <w:t>уурхайн зэсийн үйлдвэрлэл эхэлсэн, эдийн засгийн тэлэх бодлогуудын үр дүнд хоёр оронтой тоонд хэвээрээ байхаар байна. Гэвч эдийн засаг</w:t>
      </w:r>
      <w:r w:rsidR="008003C7">
        <w:rPr>
          <w:rFonts w:ascii="Arial" w:hAnsi="Arial" w:cs="Arial"/>
          <w:sz w:val="18"/>
          <w:szCs w:val="18"/>
          <w:lang w:val="mn-MN"/>
        </w:rPr>
        <w:t>т</w:t>
      </w:r>
      <w:r>
        <w:rPr>
          <w:rFonts w:ascii="Arial" w:hAnsi="Arial" w:cs="Arial"/>
          <w:sz w:val="18"/>
          <w:szCs w:val="18"/>
          <w:lang w:val="mn-MN"/>
        </w:rPr>
        <w:t xml:space="preserve"> ГШХО-ын урсгал багассан, уул уурхайн экспорт сул байгаатай холбоотойгоор төлбөрийн тэнцэлийн хүчтэй дарамттай тулгарч байна. Төлбөрийн тэнцлийн энэхүү томоохон тэнцвэргүй байдал нь уул уурхайн зах зээл сул байгаагаас гадна сүүлийн хоёр жилд үргэлжилсэн эдийн засгийн мөчлөгийг дагасан удирдлагын үр дүнг илтээр илэрхийлж байгаа. Түүнээс гадна Монгол улс</w:t>
      </w:r>
      <w:r w:rsidR="008003C7">
        <w:rPr>
          <w:rFonts w:ascii="Arial" w:hAnsi="Arial" w:cs="Arial"/>
          <w:sz w:val="18"/>
          <w:szCs w:val="18"/>
          <w:lang w:val="mn-MN"/>
        </w:rPr>
        <w:t>ад</w:t>
      </w:r>
      <w:r>
        <w:rPr>
          <w:rFonts w:ascii="Arial" w:hAnsi="Arial" w:cs="Arial"/>
          <w:sz w:val="18"/>
          <w:szCs w:val="18"/>
          <w:lang w:val="mn-MN"/>
        </w:rPr>
        <w:t xml:space="preserve"> дэлхийн эдийн засгийн тодорхой бус байдал болон уул уурхайн зах зээлийн цаашдын сулралаас үүдэж эрсдэлд учрах талтай. Их хэмжээний төсвөөс гадуурхи зардал болон зээлийн хурдацтай өсөлтөд суурилан үргэлжилэн тэлж байгаа сангийн бодлогын улмаас макро эдийн засаг болон санхүүгийн өртөмтгий байдал улам нэмэгдэж байна</w:t>
      </w:r>
      <w:r>
        <w:rPr>
          <w:rFonts w:ascii="Arial" w:hAnsi="Arial" w:cs="Arial"/>
          <w:sz w:val="18"/>
          <w:szCs w:val="18"/>
        </w:rPr>
        <w:t xml:space="preserve">. </w:t>
      </w:r>
      <w:r>
        <w:rPr>
          <w:rFonts w:ascii="Arial" w:hAnsi="Arial" w:cs="Arial"/>
          <w:sz w:val="18"/>
          <w:szCs w:val="18"/>
          <w:lang w:val="mn-MN"/>
        </w:rPr>
        <w:t>Засгийн газар үүсч байгаа асуудлыг даван туулах зорилгоор сүүлийн саруудад хэд хэдэн томоохон эерэг арга хэмжээг авч хэрэгжүүлсний дотор Хөрөнгө оруулалтын шинэ хууль гаргасан, төсвий</w:t>
      </w:r>
      <w:r w:rsidR="008003C7">
        <w:rPr>
          <w:rFonts w:ascii="Arial" w:hAnsi="Arial" w:cs="Arial"/>
          <w:sz w:val="18"/>
          <w:szCs w:val="18"/>
          <w:lang w:val="mn-MN"/>
        </w:rPr>
        <w:t>г</w:t>
      </w:r>
      <w:r>
        <w:rPr>
          <w:rFonts w:ascii="Arial" w:hAnsi="Arial" w:cs="Arial"/>
          <w:sz w:val="18"/>
          <w:szCs w:val="18"/>
          <w:lang w:val="mn-MN"/>
        </w:rPr>
        <w:t xml:space="preserve"> </w:t>
      </w:r>
      <w:r w:rsidR="008003C7">
        <w:rPr>
          <w:rFonts w:ascii="Arial" w:hAnsi="Arial" w:cs="Arial"/>
          <w:sz w:val="18"/>
          <w:szCs w:val="18"/>
          <w:lang w:val="mn-MN"/>
        </w:rPr>
        <w:t>сайжруулах</w:t>
      </w:r>
      <w:r>
        <w:rPr>
          <w:rFonts w:ascii="Arial" w:hAnsi="Arial" w:cs="Arial"/>
          <w:sz w:val="18"/>
          <w:szCs w:val="18"/>
          <w:lang w:val="mn-MN"/>
        </w:rPr>
        <w:t xml:space="preserve"> төлөвлөгөөг боловсруулсан явдал юм. Гэвч гадаад нөхцөл байдал тодорхой бус байдалтай байгаа, төлбөрийн тэнцэлийн </w:t>
      </w:r>
      <w:r w:rsidR="008003C7">
        <w:rPr>
          <w:rFonts w:ascii="Arial" w:hAnsi="Arial" w:cs="Arial"/>
          <w:sz w:val="18"/>
          <w:szCs w:val="18"/>
          <w:lang w:val="mn-MN"/>
        </w:rPr>
        <w:t xml:space="preserve">тэнцвэргүй </w:t>
      </w:r>
      <w:r>
        <w:rPr>
          <w:rFonts w:ascii="Arial" w:hAnsi="Arial" w:cs="Arial"/>
          <w:sz w:val="18"/>
          <w:szCs w:val="18"/>
          <w:lang w:val="mn-MN"/>
        </w:rPr>
        <w:t>энэ нөхцөлд эдийн засгийн тогтвортой байдалд хүрэх, макро эдийн засгийн халхавч бодлогуудад чиглэгдсэн өсөлтөд чиглэсэн эдийн засгийн бодлогуудыг хэрэгжүүлэх</w:t>
      </w:r>
      <w:r w:rsidR="008003C7">
        <w:rPr>
          <w:rFonts w:ascii="Arial" w:hAnsi="Arial" w:cs="Arial"/>
          <w:sz w:val="18"/>
          <w:szCs w:val="18"/>
          <w:lang w:val="mn-MN"/>
        </w:rPr>
        <w:t>эд</w:t>
      </w:r>
      <w:r>
        <w:rPr>
          <w:rFonts w:ascii="Arial" w:hAnsi="Arial" w:cs="Arial"/>
          <w:sz w:val="18"/>
          <w:szCs w:val="18"/>
          <w:lang w:val="mn-MN"/>
        </w:rPr>
        <w:t xml:space="preserve"> илүү хүчин чармайлт шаардлагатай байна</w:t>
      </w:r>
      <w:r w:rsidR="0056231F">
        <w:rPr>
          <w:rFonts w:ascii="Arial" w:hAnsi="Arial" w:cs="Arial"/>
          <w:sz w:val="18"/>
          <w:szCs w:val="18"/>
        </w:rPr>
        <w:t>.</w:t>
      </w:r>
    </w:p>
    <w:p w14:paraId="77CBF4E2" w14:textId="1E2A8194" w:rsidR="00D861BF" w:rsidRPr="00660167" w:rsidRDefault="00046FF6" w:rsidP="00660167">
      <w:pPr>
        <w:spacing w:before="240" w:after="120" w:line="264" w:lineRule="auto"/>
        <w:jc w:val="both"/>
        <w:rPr>
          <w:rFonts w:ascii="Arial" w:hAnsi="Arial" w:cs="Arial"/>
          <w:b/>
          <w:i/>
          <w:color w:val="0070C0"/>
          <w:sz w:val="18"/>
          <w:szCs w:val="18"/>
        </w:rPr>
      </w:pPr>
      <w:r>
        <w:rPr>
          <w:rFonts w:ascii="Arial" w:hAnsi="Arial" w:cs="Arial"/>
          <w:b/>
          <w:i/>
          <w:color w:val="0070C0"/>
          <w:sz w:val="18"/>
          <w:szCs w:val="18"/>
          <w:lang w:val="mn-MN"/>
        </w:rPr>
        <w:t>Бодит салбарын хөгжил</w:t>
      </w:r>
    </w:p>
    <w:p w14:paraId="667E6FDF" w14:textId="11C6DEA3" w:rsidR="003A051B" w:rsidRDefault="00046FF6" w:rsidP="00660167">
      <w:pPr>
        <w:spacing w:line="264" w:lineRule="auto"/>
        <w:jc w:val="both"/>
        <w:rPr>
          <w:rFonts w:ascii="Arial" w:hAnsi="Arial" w:cs="Arial"/>
          <w:color w:val="000000" w:themeColor="text1"/>
          <w:sz w:val="18"/>
          <w:szCs w:val="20"/>
          <w:lang w:eastAsia="ko-KR"/>
        </w:rPr>
      </w:pPr>
      <w:r>
        <w:rPr>
          <w:rFonts w:ascii="Arial" w:hAnsi="Arial" w:cs="Arial"/>
          <w:b/>
          <w:sz w:val="18"/>
          <w:szCs w:val="20"/>
          <w:lang w:val="mn-MN" w:eastAsia="ko-KR"/>
        </w:rPr>
        <w:t xml:space="preserve">Монгол улсын эдийн засаг 2013 онд дахин хоёр оронтой тоонд байхаар байгаа боловч эрсдэлд өртөмтгий хэвээр байна. </w:t>
      </w:r>
      <w:r>
        <w:rPr>
          <w:rFonts w:ascii="Arial" w:hAnsi="Arial" w:cs="Arial"/>
          <w:color w:val="000000" w:themeColor="text1"/>
          <w:sz w:val="18"/>
          <w:szCs w:val="20"/>
          <w:lang w:val="mn-MN" w:eastAsia="ko-KR"/>
        </w:rPr>
        <w:t xml:space="preserve">Төсвийн болон мөнгөний тэлэх бодлогууд болон ОТ уурхайн үйлдвэрлэл нэмэгдэж байгаатай холбоотойгоор эдийн засаг 2013 онд хоёр оронтой тоонд хэвээрээ байхаар байна. Хөдөө аж ахуйн үйлдвэрлэлийн сайн гүйцэтгэл, барилгын салбар хүчтэй тэлсэн нь өсөлтөд </w:t>
      </w:r>
      <w:r w:rsidR="008003C7">
        <w:rPr>
          <w:rFonts w:ascii="Arial" w:hAnsi="Arial" w:cs="Arial"/>
          <w:color w:val="000000" w:themeColor="text1"/>
          <w:sz w:val="18"/>
          <w:szCs w:val="20"/>
          <w:lang w:val="mn-MN" w:eastAsia="ko-KR"/>
        </w:rPr>
        <w:t>нөлөөлсөн</w:t>
      </w:r>
      <w:r>
        <w:rPr>
          <w:rFonts w:ascii="Arial" w:hAnsi="Arial" w:cs="Arial"/>
          <w:color w:val="000000" w:themeColor="text1"/>
          <w:sz w:val="18"/>
          <w:szCs w:val="20"/>
          <w:lang w:val="mn-MN" w:eastAsia="ko-KR"/>
        </w:rPr>
        <w:t xml:space="preserve">. Дэлхийн банк </w:t>
      </w:r>
      <w:r w:rsidR="008003C7">
        <w:rPr>
          <w:rFonts w:ascii="Arial" w:hAnsi="Arial" w:cs="Arial"/>
          <w:color w:val="000000" w:themeColor="text1"/>
          <w:sz w:val="18"/>
          <w:szCs w:val="20"/>
          <w:lang w:val="mn-MN" w:eastAsia="ko-KR"/>
        </w:rPr>
        <w:t>д</w:t>
      </w:r>
      <w:r>
        <w:rPr>
          <w:rFonts w:ascii="Arial" w:hAnsi="Arial" w:cs="Arial"/>
          <w:color w:val="000000" w:themeColor="text1"/>
          <w:sz w:val="18"/>
          <w:szCs w:val="20"/>
          <w:lang w:val="mn-MN" w:eastAsia="ko-KR"/>
        </w:rPr>
        <w:t xml:space="preserve">өрөвдүгээр сарын эдийн засгийн тоймын үед хийгдсэн таамаглалаа </w:t>
      </w:r>
      <w:r>
        <w:rPr>
          <w:rFonts w:ascii="Arial" w:hAnsi="Arial" w:cs="Arial"/>
          <w:color w:val="000000" w:themeColor="text1"/>
          <w:sz w:val="18"/>
          <w:szCs w:val="20"/>
          <w:lang w:eastAsia="ko-KR"/>
        </w:rPr>
        <w:t>(</w:t>
      </w:r>
      <w:r>
        <w:rPr>
          <w:rFonts w:ascii="Arial" w:hAnsi="Arial" w:cs="Arial"/>
          <w:color w:val="000000" w:themeColor="text1"/>
          <w:sz w:val="18"/>
          <w:szCs w:val="20"/>
          <w:lang w:val="mn-MN" w:eastAsia="ko-KR"/>
        </w:rPr>
        <w:t>13 хувь</w:t>
      </w:r>
      <w:r>
        <w:rPr>
          <w:rFonts w:ascii="Arial" w:hAnsi="Arial" w:cs="Arial"/>
          <w:color w:val="000000" w:themeColor="text1"/>
          <w:sz w:val="18"/>
          <w:szCs w:val="20"/>
          <w:lang w:eastAsia="ko-KR"/>
        </w:rPr>
        <w:t>)</w:t>
      </w:r>
      <w:r>
        <w:rPr>
          <w:rFonts w:ascii="Arial" w:hAnsi="Arial" w:cs="Arial"/>
          <w:color w:val="000000" w:themeColor="text1"/>
          <w:sz w:val="18"/>
          <w:szCs w:val="20"/>
          <w:lang w:val="mn-MN" w:eastAsia="ko-KR"/>
        </w:rPr>
        <w:t xml:space="preserve"> бууруулж 2013 онд 12.5 хувь болгон, БНХАУ-ын өсөлт суларсан, уул уурхайн салбарт сэргэлт таамаглаж байснаас удаан байгааг илэрхийлэн өөрчиллөө. Эдийн засгийн өсөлт 2014 онд мөн хоёр оронтой тоонд хэвээрээ байхаар байгаа бөгөөд энэ нь ОТ уурхайн үйлдвэрлэл нэмэгдсэнтэй холбоотой юм. Гэвч эдийн засгийн төлөв байдал</w:t>
      </w:r>
      <w:r w:rsidR="008003C7">
        <w:rPr>
          <w:rFonts w:ascii="Arial" w:hAnsi="Arial" w:cs="Arial"/>
          <w:color w:val="000000" w:themeColor="text1"/>
          <w:sz w:val="18"/>
          <w:szCs w:val="20"/>
          <w:lang w:val="mn-MN" w:eastAsia="ko-KR"/>
        </w:rPr>
        <w:t>д</w:t>
      </w:r>
      <w:r>
        <w:rPr>
          <w:rFonts w:ascii="Arial" w:hAnsi="Arial" w:cs="Arial"/>
          <w:color w:val="000000" w:themeColor="text1"/>
          <w:sz w:val="18"/>
          <w:szCs w:val="20"/>
          <w:lang w:val="mn-MN" w:eastAsia="ko-KR"/>
        </w:rPr>
        <w:t xml:space="preserve"> гадаад орчны тодорхой бус байдал, төлбөрийн тэнцлийн тэнцвэргүй байдал нэмэгдэж байгаа энэ үед үргэлжлүүлсэн эдийн засгийн бодлогоос үүдэлтэй эрсдэл байсаар байна</w:t>
      </w:r>
      <w:r w:rsidR="009D4A95">
        <w:rPr>
          <w:rFonts w:ascii="Arial" w:hAnsi="Arial" w:cs="Arial"/>
          <w:color w:val="000000" w:themeColor="text1"/>
          <w:sz w:val="18"/>
          <w:szCs w:val="20"/>
          <w:lang w:eastAsia="ko-KR"/>
        </w:rPr>
        <w:t>.</w:t>
      </w:r>
    </w:p>
    <w:p w14:paraId="0BB8C961" w14:textId="77777777" w:rsidR="00046FF6" w:rsidRPr="001D7164" w:rsidRDefault="00046FF6" w:rsidP="00046FF6">
      <w:pPr>
        <w:spacing w:after="120" w:line="264" w:lineRule="auto"/>
        <w:jc w:val="both"/>
        <w:rPr>
          <w:rFonts w:ascii="Arial" w:hAnsi="Arial" w:cs="Arial"/>
          <w:b/>
          <w:i/>
          <w:color w:val="0070C0"/>
          <w:sz w:val="18"/>
          <w:szCs w:val="20"/>
          <w:lang w:val="mn-MN"/>
        </w:rPr>
      </w:pPr>
      <w:r>
        <w:rPr>
          <w:rFonts w:ascii="Arial" w:hAnsi="Arial" w:cs="Arial"/>
          <w:b/>
          <w:i/>
          <w:color w:val="0070C0"/>
          <w:sz w:val="18"/>
          <w:szCs w:val="20"/>
          <w:lang w:val="mn-MN"/>
        </w:rPr>
        <w:t>Инфляци</w:t>
      </w:r>
    </w:p>
    <w:p w14:paraId="1B969BE6" w14:textId="712739E9" w:rsidR="00DA37F8" w:rsidRDefault="00046FF6" w:rsidP="00660167">
      <w:pPr>
        <w:spacing w:line="264" w:lineRule="auto"/>
        <w:jc w:val="both"/>
        <w:rPr>
          <w:rFonts w:ascii="Arial" w:hAnsi="Arial" w:cs="Arial"/>
          <w:sz w:val="18"/>
          <w:szCs w:val="18"/>
        </w:rPr>
      </w:pPr>
      <w:r>
        <w:rPr>
          <w:rFonts w:ascii="Arial" w:hAnsi="Arial" w:cs="Arial"/>
          <w:b/>
          <w:sz w:val="18"/>
          <w:szCs w:val="20"/>
          <w:lang w:val="mn-MN"/>
        </w:rPr>
        <w:t xml:space="preserve">Инфляци нэг оронтой тоонд хадгалагдаж байгаа боловч сүүлийн саруудад инфляцийн дарамт өсч байна. </w:t>
      </w:r>
      <w:r>
        <w:rPr>
          <w:rFonts w:ascii="Arial" w:hAnsi="Arial" w:cs="Arial"/>
          <w:sz w:val="18"/>
          <w:szCs w:val="20"/>
          <w:lang w:val="mn-MN"/>
        </w:rPr>
        <w:t>Энэ оны эхэнд үндэсний хэмжээнд инфляцийн түвшин тогтвортой байсан боловч 8 дугаар сард 9.4 хувьд, 9 дүгээр сард 9.9 хувьд хүрч өслөө. Монголбанк Үнийг тогтворжуулах хөтөлбөрөөр үнүүдийг барьж инфляцийг нэг оронтой тоонд б</w:t>
      </w:r>
      <w:r w:rsidR="008003C7">
        <w:rPr>
          <w:rFonts w:ascii="Arial" w:hAnsi="Arial" w:cs="Arial"/>
          <w:sz w:val="18"/>
          <w:szCs w:val="20"/>
          <w:lang w:val="mn-MN"/>
        </w:rPr>
        <w:t>агтажж</w:t>
      </w:r>
      <w:r>
        <w:rPr>
          <w:rFonts w:ascii="Arial" w:hAnsi="Arial" w:cs="Arial"/>
          <w:sz w:val="18"/>
          <w:szCs w:val="20"/>
          <w:lang w:val="mn-MN"/>
        </w:rPr>
        <w:t xml:space="preserve"> байна. </w:t>
      </w:r>
      <w:r>
        <w:rPr>
          <w:rFonts w:ascii="Arial" w:hAnsi="Arial" w:cs="Arial"/>
          <w:sz w:val="18"/>
          <w:szCs w:val="18"/>
          <w:lang w:val="mn-MN"/>
        </w:rPr>
        <w:t xml:space="preserve">Гэвч сүүлийн саруудад гарсан валютын ханшны сулралт нь импортлогдсон бүтээгдэхүүний өртөгийг нэмэгдүүлж, нийлүүлэгчдэд борлуулалтын үнийг тогтвортой барих боломжийг </w:t>
      </w:r>
      <w:r w:rsidR="008003C7">
        <w:rPr>
          <w:rFonts w:ascii="Arial" w:hAnsi="Arial" w:cs="Arial"/>
          <w:sz w:val="18"/>
          <w:szCs w:val="18"/>
          <w:lang w:val="mn-MN"/>
        </w:rPr>
        <w:t xml:space="preserve">багасгаж </w:t>
      </w:r>
      <w:r>
        <w:rPr>
          <w:rFonts w:ascii="Arial" w:hAnsi="Arial" w:cs="Arial"/>
          <w:sz w:val="18"/>
          <w:szCs w:val="18"/>
          <w:lang w:val="mn-MN"/>
        </w:rPr>
        <w:t>байна. Валютын ханшны өнөөгийн хандлага, макро эдийн засгийн тэлэх бодлогуудаас үүссэн дарамттай байгаа энэ үед мөнгөний бодлогын удирдлагуудад инфляцийг нэг оронтой тоонд барихад төвөг</w:t>
      </w:r>
      <w:r w:rsidR="008003C7">
        <w:rPr>
          <w:rFonts w:ascii="Arial" w:hAnsi="Arial" w:cs="Arial"/>
          <w:sz w:val="18"/>
          <w:szCs w:val="18"/>
          <w:lang w:val="mn-MN"/>
        </w:rPr>
        <w:t>тэй болох</w:t>
      </w:r>
      <w:r>
        <w:rPr>
          <w:rFonts w:ascii="Arial" w:hAnsi="Arial" w:cs="Arial"/>
          <w:sz w:val="18"/>
          <w:szCs w:val="18"/>
          <w:lang w:val="mn-MN"/>
        </w:rPr>
        <w:t xml:space="preserve"> талтай</w:t>
      </w:r>
      <w:r w:rsidR="00C43626">
        <w:rPr>
          <w:rFonts w:ascii="Arial" w:hAnsi="Arial" w:cs="Arial"/>
          <w:sz w:val="18"/>
          <w:szCs w:val="18"/>
        </w:rPr>
        <w:t>.</w:t>
      </w:r>
    </w:p>
    <w:p w14:paraId="7BE790E1" w14:textId="08E58BB2" w:rsidR="003A051B" w:rsidRPr="00630B23" w:rsidRDefault="008003C7" w:rsidP="00660167">
      <w:pPr>
        <w:spacing w:after="120" w:line="264" w:lineRule="auto"/>
        <w:jc w:val="both"/>
        <w:rPr>
          <w:rFonts w:ascii="Arial" w:hAnsi="Arial" w:cs="Arial"/>
          <w:b/>
          <w:i/>
          <w:color w:val="0070C0"/>
          <w:sz w:val="18"/>
          <w:szCs w:val="18"/>
          <w:lang w:val="mn-MN" w:eastAsia="ko-KR"/>
        </w:rPr>
      </w:pPr>
      <w:r>
        <w:rPr>
          <w:rFonts w:ascii="Arial" w:hAnsi="Arial" w:cs="Arial"/>
          <w:b/>
          <w:i/>
          <w:color w:val="0070C0"/>
          <w:sz w:val="18"/>
          <w:szCs w:val="18"/>
          <w:lang w:val="mn-MN" w:eastAsia="ko-KR"/>
        </w:rPr>
        <w:t>Төсвийн байдал ба хэтийн төлөв</w:t>
      </w:r>
    </w:p>
    <w:p w14:paraId="2B686FC9" w14:textId="790BFEA9" w:rsidR="00080818" w:rsidRDefault="00046FF6" w:rsidP="00660167">
      <w:pPr>
        <w:spacing w:line="264" w:lineRule="auto"/>
        <w:jc w:val="both"/>
        <w:rPr>
          <w:rFonts w:ascii="Arial" w:hAnsi="Arial" w:cs="Arial"/>
          <w:sz w:val="18"/>
          <w:szCs w:val="20"/>
        </w:rPr>
      </w:pPr>
      <w:r>
        <w:rPr>
          <w:rFonts w:ascii="Arial" w:hAnsi="Arial" w:cs="Arial"/>
          <w:b/>
          <w:sz w:val="18"/>
          <w:szCs w:val="20"/>
          <w:lang w:val="mn-MN"/>
        </w:rPr>
        <w:t xml:space="preserve">Төсвөөс гадуурхи зарлага нэмэгдэж байгаа нь санаа зовних асуудал хэвээрээ байгаа бөгөөд Чингис бондын орлогын томоохон хэсэг нь төсвөөс гадуурхи улсын хөрөнгө оруулалтын төслүүдийг, голчилон МУХБ-аар дамжуулан хийж байна. </w:t>
      </w:r>
      <w:r>
        <w:rPr>
          <w:rFonts w:ascii="Arial" w:hAnsi="Arial" w:cs="Arial"/>
          <w:sz w:val="18"/>
          <w:szCs w:val="20"/>
          <w:lang w:val="mn-MN"/>
        </w:rPr>
        <w:t xml:space="preserve">Засгийн газар ойролцоогоор 0.7 тэрбум ам.долларыг </w:t>
      </w:r>
      <w:r w:rsidRPr="00AE0B73">
        <w:rPr>
          <w:rFonts w:ascii="Arial" w:hAnsi="Arial" w:cs="Arial"/>
          <w:sz w:val="18"/>
          <w:szCs w:val="20"/>
        </w:rPr>
        <w:t xml:space="preserve">– </w:t>
      </w:r>
      <w:r>
        <w:rPr>
          <w:rFonts w:ascii="Arial" w:hAnsi="Arial" w:cs="Arial"/>
          <w:sz w:val="18"/>
          <w:szCs w:val="20"/>
          <w:lang w:val="mn-MN"/>
        </w:rPr>
        <w:t>энэ нь ДНБ-ий 6 орчим хувьтай тэнцэх хэмжээний</w:t>
      </w:r>
      <w:r w:rsidR="008003C7">
        <w:rPr>
          <w:rFonts w:ascii="Arial" w:hAnsi="Arial" w:cs="Arial"/>
          <w:sz w:val="18"/>
          <w:szCs w:val="20"/>
          <w:lang w:val="mn-MN"/>
        </w:rPr>
        <w:t xml:space="preserve"> хөрөнгийг</w:t>
      </w:r>
      <w:r>
        <w:rPr>
          <w:rFonts w:ascii="Arial" w:hAnsi="Arial" w:cs="Arial"/>
          <w:sz w:val="18"/>
          <w:szCs w:val="20"/>
          <w:lang w:val="mn-MN"/>
        </w:rPr>
        <w:t xml:space="preserve"> </w:t>
      </w:r>
      <w:r w:rsidRPr="00AE0B73">
        <w:rPr>
          <w:rFonts w:ascii="Arial" w:hAnsi="Arial" w:cs="Arial"/>
          <w:sz w:val="18"/>
          <w:szCs w:val="20"/>
        </w:rPr>
        <w:t xml:space="preserve">– </w:t>
      </w:r>
      <w:r>
        <w:rPr>
          <w:rFonts w:ascii="Arial" w:hAnsi="Arial" w:cs="Arial"/>
          <w:sz w:val="18"/>
          <w:szCs w:val="20"/>
          <w:lang w:val="mn-MN"/>
        </w:rPr>
        <w:t>бондын орлогоос 9 дүгээр сар хүртэл зарцуулсан бөгөөд жилийн үлдсэн саруудад дахин</w:t>
      </w:r>
      <w:r>
        <w:rPr>
          <w:rFonts w:ascii="Arial" w:hAnsi="Arial" w:cs="Arial"/>
          <w:sz w:val="18"/>
          <w:szCs w:val="20"/>
        </w:rPr>
        <w:t xml:space="preserve"> 0.2-0.3 </w:t>
      </w:r>
      <w:r>
        <w:rPr>
          <w:rFonts w:ascii="Arial" w:hAnsi="Arial" w:cs="Arial"/>
          <w:sz w:val="18"/>
          <w:szCs w:val="20"/>
          <w:lang w:val="mn-MN"/>
        </w:rPr>
        <w:t xml:space="preserve">сая ам.долларыг зарцуулахаар байна. МУХБ нь 2012 оноос хойш төсвөөс гадуурхи зарцуулалтыг хийдэг гол санхүүжигч болсон бөгөөд түүний нийт төсвөөс гадуурхи зарцуулалт нь Чингис бондын төслүүдийг оролцуулаад 2013 онд ДНБ-ий 10 хувьд хүрэхээр байна. Чингис бондын орлого болон 2013 онд МУХБ-ны үйл ажиллагааны талаарх албан ёсны тайлан гараагүй бөгөөд энэ нь төсвөөс гадуурхи төслүүдийн ил тод байдал болон үр ашгийг </w:t>
      </w:r>
      <w:r w:rsidR="008003C7">
        <w:rPr>
          <w:rFonts w:ascii="Arial" w:hAnsi="Arial" w:cs="Arial"/>
          <w:sz w:val="18"/>
          <w:szCs w:val="20"/>
          <w:lang w:val="mn-MN"/>
        </w:rPr>
        <w:t xml:space="preserve">талаар </w:t>
      </w:r>
      <w:r>
        <w:rPr>
          <w:rFonts w:ascii="Arial" w:hAnsi="Arial" w:cs="Arial"/>
          <w:sz w:val="18"/>
          <w:szCs w:val="20"/>
          <w:lang w:val="mn-MN"/>
        </w:rPr>
        <w:t>дахин санаа зовоосон асуудлыг үүсгэж байна</w:t>
      </w:r>
      <w:r w:rsidR="00080818">
        <w:rPr>
          <w:rFonts w:ascii="Arial" w:hAnsi="Arial" w:cs="Arial"/>
          <w:sz w:val="18"/>
          <w:szCs w:val="20"/>
        </w:rPr>
        <w:t>.</w:t>
      </w:r>
    </w:p>
    <w:p w14:paraId="755F58DE" w14:textId="2D5574C8" w:rsidR="005C3C86" w:rsidRDefault="00046FF6" w:rsidP="00046FF6">
      <w:pPr>
        <w:spacing w:after="120" w:line="264" w:lineRule="auto"/>
        <w:jc w:val="both"/>
        <w:rPr>
          <w:rFonts w:ascii="Arial" w:hAnsi="Arial" w:cs="Arial"/>
          <w:sz w:val="18"/>
          <w:szCs w:val="20"/>
        </w:rPr>
      </w:pPr>
      <w:r>
        <w:rPr>
          <w:rFonts w:ascii="Arial" w:hAnsi="Arial" w:cs="Arial"/>
          <w:b/>
          <w:sz w:val="18"/>
          <w:szCs w:val="20"/>
          <w:lang w:val="mn-MN"/>
        </w:rPr>
        <w:t>Томоохон хэмжээний төсвөөс гадуурхи зарцуулалтын улмаас төсвийн бодлого 2003 онд хүчтэй тэлэх хэвээрээ байгаа ч төсвий</w:t>
      </w:r>
      <w:r w:rsidR="008003C7">
        <w:rPr>
          <w:rFonts w:ascii="Arial" w:hAnsi="Arial" w:cs="Arial"/>
          <w:b/>
          <w:sz w:val="18"/>
          <w:szCs w:val="20"/>
          <w:lang w:val="mn-MN"/>
        </w:rPr>
        <w:t>г сайжруулах</w:t>
      </w:r>
      <w:r>
        <w:rPr>
          <w:rFonts w:ascii="Arial" w:hAnsi="Arial" w:cs="Arial"/>
          <w:b/>
          <w:sz w:val="18"/>
          <w:szCs w:val="20"/>
          <w:lang w:val="mn-MN"/>
        </w:rPr>
        <w:t xml:space="preserve"> төлөвлөгөө</w:t>
      </w:r>
      <w:r w:rsidR="008003C7">
        <w:rPr>
          <w:rFonts w:ascii="Arial" w:hAnsi="Arial" w:cs="Arial"/>
          <w:b/>
          <w:sz w:val="18"/>
          <w:szCs w:val="20"/>
          <w:lang w:val="mn-MN"/>
        </w:rPr>
        <w:t xml:space="preserve"> гаргасан</w:t>
      </w:r>
      <w:r>
        <w:rPr>
          <w:rFonts w:ascii="Arial" w:hAnsi="Arial" w:cs="Arial"/>
          <w:b/>
          <w:sz w:val="18"/>
          <w:szCs w:val="20"/>
          <w:lang w:val="mn-MN"/>
        </w:rPr>
        <w:t xml:space="preserve"> нь илүү тогтвортой төсвийн зам руу чиглэсэн эерэг алхам боллоо. </w:t>
      </w:r>
      <w:r>
        <w:rPr>
          <w:rFonts w:ascii="Arial" w:hAnsi="Arial" w:cs="Arial"/>
          <w:sz w:val="18"/>
          <w:szCs w:val="20"/>
          <w:lang w:val="mn-MN"/>
        </w:rPr>
        <w:t xml:space="preserve">Албан ёсны төсвийн зарцуулалтыг </w:t>
      </w:r>
      <w:r w:rsidRPr="00E401BC">
        <w:rPr>
          <w:rFonts w:ascii="Arial" w:hAnsi="Arial" w:cs="Arial"/>
          <w:sz w:val="18"/>
          <w:szCs w:val="20"/>
        </w:rPr>
        <w:t xml:space="preserve">– </w:t>
      </w:r>
      <w:r>
        <w:rPr>
          <w:rFonts w:ascii="Arial" w:hAnsi="Arial" w:cs="Arial"/>
          <w:sz w:val="18"/>
          <w:szCs w:val="20"/>
          <w:lang w:val="mn-MN"/>
        </w:rPr>
        <w:t xml:space="preserve">энэ нь Монгол улсын Хөгжлийн банкны </w:t>
      </w:r>
      <w:r>
        <w:rPr>
          <w:rFonts w:ascii="Arial" w:hAnsi="Arial" w:cs="Arial"/>
          <w:sz w:val="18"/>
          <w:szCs w:val="20"/>
        </w:rPr>
        <w:t>(</w:t>
      </w:r>
      <w:r>
        <w:rPr>
          <w:rFonts w:ascii="Arial" w:hAnsi="Arial" w:cs="Arial"/>
          <w:sz w:val="18"/>
          <w:szCs w:val="20"/>
          <w:lang w:val="mn-MN"/>
        </w:rPr>
        <w:t>МУХБ</w:t>
      </w:r>
      <w:r>
        <w:rPr>
          <w:rFonts w:ascii="Arial" w:hAnsi="Arial" w:cs="Arial"/>
          <w:sz w:val="18"/>
          <w:szCs w:val="20"/>
        </w:rPr>
        <w:t>)</w:t>
      </w:r>
      <w:r>
        <w:rPr>
          <w:rFonts w:ascii="Arial" w:hAnsi="Arial" w:cs="Arial"/>
          <w:sz w:val="18"/>
          <w:szCs w:val="20"/>
          <w:lang w:val="mn-MN"/>
        </w:rPr>
        <w:t xml:space="preserve"> зарцуулалтыг хасч тооцсон </w:t>
      </w:r>
      <w:r w:rsidRPr="00E401BC">
        <w:rPr>
          <w:rFonts w:ascii="Arial" w:hAnsi="Arial" w:cs="Arial"/>
          <w:sz w:val="18"/>
          <w:szCs w:val="18"/>
        </w:rPr>
        <w:t xml:space="preserve">– </w:t>
      </w:r>
      <w:r>
        <w:rPr>
          <w:rFonts w:ascii="Arial" w:hAnsi="Arial" w:cs="Arial"/>
          <w:sz w:val="18"/>
          <w:szCs w:val="18"/>
          <w:lang w:val="mn-MN"/>
        </w:rPr>
        <w:t xml:space="preserve">хийхэд болгоомжтой байгаа бөгөөд учир нь төсвийн орлого анх </w:t>
      </w:r>
      <w:r>
        <w:rPr>
          <w:rFonts w:ascii="Arial" w:hAnsi="Arial" w:cs="Arial"/>
          <w:sz w:val="18"/>
          <w:szCs w:val="18"/>
          <w:lang w:val="mn-MN"/>
        </w:rPr>
        <w:lastRenderedPageBreak/>
        <w:t>төлөвлөж байснаас нэлээд сул байна. Төсвийн удирдлагууд орлого дутагдаж байгаа энэ үед Төсвийн тогтвортой байдлын тухай хуулийн тэнцвэржүүлсэн алдагдлыг ДНБ-ий 2 хувьд хүргэж бууруулахын тулд төсвий</w:t>
      </w:r>
      <w:r w:rsidR="00E40923">
        <w:rPr>
          <w:rFonts w:ascii="Arial" w:hAnsi="Arial" w:cs="Arial"/>
          <w:sz w:val="18"/>
          <w:szCs w:val="18"/>
          <w:lang w:val="mn-MN"/>
        </w:rPr>
        <w:t>г</w:t>
      </w:r>
      <w:r>
        <w:rPr>
          <w:rFonts w:ascii="Arial" w:hAnsi="Arial" w:cs="Arial"/>
          <w:sz w:val="18"/>
          <w:szCs w:val="18"/>
          <w:lang w:val="mn-MN"/>
        </w:rPr>
        <w:t xml:space="preserve"> </w:t>
      </w:r>
      <w:r w:rsidR="00E40923">
        <w:rPr>
          <w:rFonts w:ascii="Arial" w:hAnsi="Arial" w:cs="Arial"/>
          <w:sz w:val="18"/>
          <w:szCs w:val="18"/>
          <w:lang w:val="mn-MN"/>
        </w:rPr>
        <w:t xml:space="preserve">сайжруулах </w:t>
      </w:r>
      <w:r>
        <w:rPr>
          <w:rFonts w:ascii="Arial" w:hAnsi="Arial" w:cs="Arial"/>
          <w:sz w:val="18"/>
          <w:szCs w:val="18"/>
          <w:lang w:val="mn-MN"/>
        </w:rPr>
        <w:t xml:space="preserve">төлөвлөгөөг зарласан боловч төсвөөс гадуурх томоохон хэмжээний улсын хөрөнгө оруулалт нь төсвийн бодлогыг тэлэх хэлбэрт оруулж, төсвийн алдагдлыг төсвөөс гадуурхи томоохон улсын хөрөнгө оруулалтыг оруулан тооцвол ДНБ-ий 12 гаран хувьд хүргээд байна. </w:t>
      </w:r>
      <w:r>
        <w:rPr>
          <w:rFonts w:ascii="Arial" w:hAnsi="Arial" w:cs="Arial"/>
          <w:sz w:val="18"/>
          <w:szCs w:val="20"/>
          <w:lang w:val="mn-MN"/>
        </w:rPr>
        <w:t>Засгийн газрын зарлага 2010 онд 36.6 хувь байснаа огцом өсч 2013 онд ДНБ-ий 47 гаран хувьд хүрэхээр байна</w:t>
      </w:r>
      <w:r w:rsidR="00AE0B73">
        <w:rPr>
          <w:rFonts w:ascii="Arial" w:hAnsi="Arial" w:cs="Arial"/>
          <w:sz w:val="18"/>
          <w:szCs w:val="20"/>
        </w:rPr>
        <w:t>.</w:t>
      </w:r>
      <w:r w:rsidR="007F6E09">
        <w:rPr>
          <w:rFonts w:ascii="Arial" w:hAnsi="Arial" w:cs="Arial"/>
          <w:sz w:val="18"/>
          <w:szCs w:val="20"/>
        </w:rPr>
        <w:t xml:space="preserve"> </w:t>
      </w:r>
    </w:p>
    <w:p w14:paraId="364691DB" w14:textId="65E1416B" w:rsidR="00046FF6" w:rsidRPr="001D7164" w:rsidRDefault="00046FF6" w:rsidP="00046FF6">
      <w:pPr>
        <w:spacing w:after="120" w:line="264" w:lineRule="auto"/>
        <w:jc w:val="both"/>
        <w:rPr>
          <w:rFonts w:ascii="Arial" w:hAnsi="Arial" w:cs="Arial"/>
          <w:b/>
          <w:i/>
          <w:color w:val="0070C0"/>
          <w:sz w:val="18"/>
          <w:szCs w:val="20"/>
          <w:lang w:val="mn-MN"/>
        </w:rPr>
      </w:pPr>
      <w:r>
        <w:rPr>
          <w:rFonts w:ascii="Arial" w:hAnsi="Arial" w:cs="Arial"/>
          <w:b/>
          <w:i/>
          <w:color w:val="0070C0"/>
          <w:sz w:val="18"/>
          <w:szCs w:val="20"/>
          <w:lang w:val="mn-MN"/>
        </w:rPr>
        <w:t>Мөнгөний болон банкны салбар</w:t>
      </w:r>
    </w:p>
    <w:p w14:paraId="43520889" w14:textId="2AB058CD" w:rsidR="00FE1D64" w:rsidRDefault="00046FF6" w:rsidP="00660167">
      <w:pPr>
        <w:spacing w:line="264" w:lineRule="auto"/>
        <w:jc w:val="both"/>
        <w:rPr>
          <w:noProof/>
          <w:sz w:val="18"/>
          <w:lang w:eastAsia="ko-KR"/>
        </w:rPr>
      </w:pPr>
      <w:r>
        <w:rPr>
          <w:rFonts w:ascii="Arial" w:hAnsi="Arial" w:cs="Arial"/>
          <w:b/>
          <w:sz w:val="18"/>
          <w:szCs w:val="20"/>
          <w:lang w:val="mn-MN"/>
        </w:rPr>
        <w:t>Мөнгөний бодлогын удирдлагууд энэ оны эхэнд зээлийн өсөлт сул байсныг даван гарах зорилгоор 2013 онд мөнгөний хүчтэй сулруулах бодлогыг хэрэгжүүлж байна.</w:t>
      </w:r>
      <w:r>
        <w:rPr>
          <w:rFonts w:ascii="Arial" w:hAnsi="Arial" w:cs="Arial"/>
          <w:b/>
          <w:sz w:val="18"/>
          <w:szCs w:val="20"/>
        </w:rPr>
        <w:t xml:space="preserve"> </w:t>
      </w:r>
      <w:r>
        <w:rPr>
          <w:rFonts w:ascii="Arial" w:hAnsi="Arial" w:cs="Arial"/>
          <w:sz w:val="18"/>
          <w:lang w:val="mn-MN"/>
        </w:rPr>
        <w:t>Мөнгөний сулруулах бодлого нь хөнгөлөлттэй нөхцөлтэйгээр зээлжих бодлогын хөтөлбөрүүдээр дамжин хэрэгжиж байна</w:t>
      </w:r>
      <w:r w:rsidRPr="00A11297">
        <w:rPr>
          <w:rFonts w:ascii="Arial" w:hAnsi="Arial" w:cs="Arial"/>
          <w:sz w:val="18"/>
        </w:rPr>
        <w:t>: (</w:t>
      </w:r>
      <w:r w:rsidRPr="00A11297">
        <w:rPr>
          <w:rFonts w:ascii="Arial" w:hAnsi="Arial" w:cs="Arial"/>
          <w:color w:val="000000" w:themeColor="text1"/>
          <w:sz w:val="18"/>
        </w:rPr>
        <w:t xml:space="preserve">i) </w:t>
      </w:r>
      <w:r>
        <w:rPr>
          <w:rFonts w:ascii="Arial" w:hAnsi="Arial" w:cs="Arial"/>
          <w:color w:val="000000" w:themeColor="text1"/>
          <w:sz w:val="18"/>
          <w:lang w:val="mn-MN"/>
        </w:rPr>
        <w:t>Үнийг тогтворжуулах бодлогын хүрээнд сонгогдсон салбаруудад 718 тэрбум төгрөгийн хөнгөлөлттэй зээл олгох</w:t>
      </w:r>
      <w:r>
        <w:rPr>
          <w:rFonts w:ascii="Arial" w:hAnsi="Arial" w:cs="Arial"/>
          <w:color w:val="000000" w:themeColor="text1"/>
          <w:sz w:val="18"/>
        </w:rPr>
        <w:t xml:space="preserve">; (ii) эдийн засгийг тэтгэхийн тулд нэг жилийн хугацаатай </w:t>
      </w:r>
      <w:r>
        <w:rPr>
          <w:rFonts w:ascii="Arial" w:hAnsi="Arial" w:cs="Arial"/>
          <w:color w:val="000000" w:themeColor="text1"/>
          <w:sz w:val="18"/>
          <w:lang w:val="mn-MN"/>
        </w:rPr>
        <w:t xml:space="preserve">900 тэрбум төгрөгийн </w:t>
      </w:r>
      <w:r>
        <w:rPr>
          <w:rFonts w:ascii="Arial" w:hAnsi="Arial" w:cs="Arial"/>
          <w:color w:val="000000" w:themeColor="text1"/>
          <w:sz w:val="18"/>
        </w:rPr>
        <w:t>хадгаламжийг</w:t>
      </w:r>
      <w:r>
        <w:rPr>
          <w:rFonts w:ascii="Arial" w:hAnsi="Arial" w:cs="Arial"/>
          <w:color w:val="000000" w:themeColor="text1"/>
          <w:sz w:val="18"/>
          <w:lang w:val="mn-MN"/>
        </w:rPr>
        <w:t xml:space="preserve"> банкуудад 5 сараас хойш байршуулсан</w:t>
      </w:r>
      <w:r w:rsidRPr="00A11297">
        <w:rPr>
          <w:rFonts w:ascii="Arial" w:hAnsi="Arial" w:cs="Arial"/>
          <w:color w:val="000000" w:themeColor="text1"/>
          <w:sz w:val="18"/>
        </w:rPr>
        <w:t xml:space="preserve">; </w:t>
      </w:r>
      <w:r>
        <w:rPr>
          <w:rFonts w:ascii="Arial" w:hAnsi="Arial" w:cs="Arial"/>
          <w:color w:val="000000" w:themeColor="text1"/>
          <w:sz w:val="18"/>
          <w:lang w:val="mn-MN"/>
        </w:rPr>
        <w:t>мөн</w:t>
      </w:r>
      <w:r w:rsidRPr="00A11297">
        <w:rPr>
          <w:rFonts w:ascii="Arial" w:hAnsi="Arial" w:cs="Arial"/>
          <w:color w:val="000000" w:themeColor="text1"/>
          <w:sz w:val="18"/>
        </w:rPr>
        <w:t xml:space="preserve"> (iii)</w:t>
      </w:r>
      <w:r>
        <w:rPr>
          <w:rFonts w:ascii="Arial" w:hAnsi="Arial" w:cs="Arial"/>
          <w:color w:val="000000" w:themeColor="text1"/>
          <w:sz w:val="18"/>
          <w:lang w:val="mn-MN"/>
        </w:rPr>
        <w:t xml:space="preserve"> нэмэлт барилгын болон орон сууцны хөтөлбөрүүд үүнд 6 сараас эхлэн бага хувийн хүүтэй 1.1 их наядын моргейжийн зээллэг мөн барилгын компаниудад 430 тэрбум төгрөгийн зээлийг гаргасан</w:t>
      </w:r>
      <w:r w:rsidRPr="00A11297">
        <w:rPr>
          <w:rFonts w:ascii="Arial" w:hAnsi="Arial" w:cs="Arial"/>
          <w:color w:val="000000" w:themeColor="text1"/>
          <w:sz w:val="18"/>
        </w:rPr>
        <w:t xml:space="preserve">. </w:t>
      </w:r>
      <w:r>
        <w:rPr>
          <w:rFonts w:ascii="Arial" w:hAnsi="Arial" w:cs="Arial"/>
          <w:color w:val="000000" w:themeColor="text1"/>
          <w:sz w:val="18"/>
          <w:lang w:val="mn-MN"/>
        </w:rPr>
        <w:t xml:space="preserve"> Зээлийн бодлогын хөтөлбөрүүдээр дамжуулан төв банкны арилжааны банкуудад өгсөн зээл 2012 оны 11 сараас эхлэн буюу Үнийг Тогтворжуулах Хөтөлбөр эхэлнээс огцом 3.4 их наядаар өссөн байна</w:t>
      </w:r>
      <w:r w:rsidR="00FE1D64" w:rsidRPr="00A11297">
        <w:rPr>
          <w:rFonts w:ascii="Arial" w:hAnsi="Arial" w:cs="Arial"/>
          <w:color w:val="000000" w:themeColor="text1"/>
          <w:sz w:val="18"/>
        </w:rPr>
        <w:t>.</w:t>
      </w:r>
      <w:r w:rsidR="00FE1D64" w:rsidRPr="00A11297">
        <w:rPr>
          <w:noProof/>
          <w:sz w:val="18"/>
          <w:lang w:eastAsia="ko-KR"/>
        </w:rPr>
        <w:t xml:space="preserve"> </w:t>
      </w:r>
    </w:p>
    <w:p w14:paraId="3D1E3F1E" w14:textId="0BC7C3A7" w:rsidR="00456D34" w:rsidRPr="00456D34" w:rsidRDefault="00046FF6" w:rsidP="00660167">
      <w:pPr>
        <w:spacing w:line="264" w:lineRule="auto"/>
        <w:jc w:val="both"/>
        <w:rPr>
          <w:rFonts w:ascii="Arial" w:hAnsi="Arial" w:cs="Arial"/>
          <w:sz w:val="18"/>
          <w:szCs w:val="20"/>
        </w:rPr>
      </w:pPr>
      <w:r>
        <w:rPr>
          <w:rFonts w:ascii="Arial" w:hAnsi="Arial" w:cs="Arial"/>
          <w:b/>
          <w:color w:val="000000" w:themeColor="text1"/>
          <w:sz w:val="18"/>
          <w:lang w:val="mn-MN"/>
        </w:rPr>
        <w:t xml:space="preserve">Мөнгөний суларсан бодлого нь сүүлийн саруудад зээлийн өсөлтийг хурдасгаж байна, ялангуяа барилга болон орон сууцны салбарт өссөн байна. </w:t>
      </w:r>
      <w:r>
        <w:rPr>
          <w:rFonts w:ascii="Arial" w:hAnsi="Arial" w:cs="Arial"/>
          <w:color w:val="000000" w:themeColor="text1"/>
          <w:sz w:val="18"/>
          <w:lang w:val="mn-MN"/>
        </w:rPr>
        <w:t xml:space="preserve">Хувийн салбарын зээлийн өсөлт 1 дүгээр сард 23.9 хувь байснаа 9 дүгээр сард </w:t>
      </w:r>
      <w:r w:rsidRPr="00A11297">
        <w:rPr>
          <w:rFonts w:ascii="Arial" w:hAnsi="Arial" w:cs="Arial"/>
          <w:color w:val="000000" w:themeColor="text1"/>
          <w:sz w:val="18"/>
        </w:rPr>
        <w:t>4</w:t>
      </w:r>
      <w:r>
        <w:rPr>
          <w:rFonts w:ascii="Arial" w:hAnsi="Arial" w:cs="Arial"/>
          <w:color w:val="000000" w:themeColor="text1"/>
          <w:sz w:val="18"/>
        </w:rPr>
        <w:t>8</w:t>
      </w:r>
      <w:r w:rsidRPr="00A11297">
        <w:rPr>
          <w:rFonts w:ascii="Arial" w:hAnsi="Arial" w:cs="Arial"/>
          <w:color w:val="000000" w:themeColor="text1"/>
          <w:sz w:val="18"/>
        </w:rPr>
        <w:t xml:space="preserve"> </w:t>
      </w:r>
      <w:r>
        <w:rPr>
          <w:rFonts w:ascii="Arial" w:hAnsi="Arial" w:cs="Arial"/>
          <w:color w:val="000000" w:themeColor="text1"/>
          <w:sz w:val="18"/>
          <w:lang w:val="mn-MN"/>
        </w:rPr>
        <w:t>хувь болсон байна. Зээлийн хурдацтай өсөлтийн улмаас зээл хадгаламжийн харьцаа 2012 оны эцэст 99 хувь байсан бол 128 хувь болж огцом хурдацтай өсчээ. Зээлийн өсөлт барилгын салбарт голлон төвлөрсөн байна</w:t>
      </w:r>
      <w:r w:rsidRPr="00A11297">
        <w:rPr>
          <w:rFonts w:ascii="Arial" w:hAnsi="Arial" w:cs="Arial"/>
          <w:color w:val="000000" w:themeColor="text1"/>
          <w:sz w:val="18"/>
        </w:rPr>
        <w:t>.</w:t>
      </w:r>
      <w:r>
        <w:rPr>
          <w:rFonts w:ascii="Arial" w:hAnsi="Arial" w:cs="Arial"/>
          <w:color w:val="000000" w:themeColor="text1"/>
          <w:sz w:val="18"/>
          <w:lang w:val="mn-MN"/>
        </w:rPr>
        <w:t xml:space="preserve"> Мөнгөний сулруулах хөтөлбөрийн гаргаж буй чөлөөтэй хөрвөх капиталын 60 гаран хувийг барилгын салбар болон орон сууцны салбаруудыг дэмжихэд хэрэглэсэн. Үүний үр дүнд, барилгын салбарт өгсөн банкны зээлийн өсөлт хоёрдугаар улиралд 67.7 хувьд хүрч өсөн, түүний банкны </w:t>
      </w:r>
      <w:r w:rsidR="00E40923">
        <w:rPr>
          <w:rFonts w:ascii="Arial" w:hAnsi="Arial" w:cs="Arial"/>
          <w:color w:val="000000" w:themeColor="text1"/>
          <w:sz w:val="18"/>
          <w:lang w:val="mn-MN"/>
        </w:rPr>
        <w:t xml:space="preserve">нийт </w:t>
      </w:r>
      <w:r>
        <w:rPr>
          <w:rFonts w:ascii="Arial" w:hAnsi="Arial" w:cs="Arial"/>
          <w:color w:val="000000" w:themeColor="text1"/>
          <w:sz w:val="18"/>
          <w:lang w:val="mn-MN"/>
        </w:rPr>
        <w:t>зээлд эзлэх хувийн жин нь 37.7 хувь болон нэмэгджээ</w:t>
      </w:r>
      <w:r w:rsidR="00AA4941" w:rsidRPr="00456D34">
        <w:rPr>
          <w:rFonts w:ascii="Arial" w:hAnsi="Arial" w:cs="Arial"/>
          <w:sz w:val="18"/>
          <w:szCs w:val="20"/>
        </w:rPr>
        <w:t>.</w:t>
      </w:r>
    </w:p>
    <w:p w14:paraId="4C684973" w14:textId="4AAA734B" w:rsidR="00456D34" w:rsidRDefault="00046FF6" w:rsidP="00660167">
      <w:pPr>
        <w:spacing w:before="200" w:line="264" w:lineRule="auto"/>
        <w:jc w:val="both"/>
        <w:rPr>
          <w:rFonts w:ascii="Arial" w:hAnsi="Arial" w:cs="Arial"/>
          <w:bCs/>
          <w:sz w:val="18"/>
          <w:szCs w:val="18"/>
        </w:rPr>
      </w:pPr>
      <w:r>
        <w:rPr>
          <w:rFonts w:ascii="Arial" w:hAnsi="Arial" w:cs="Arial"/>
          <w:b/>
          <w:color w:val="000000" w:themeColor="text1"/>
          <w:sz w:val="18"/>
          <w:lang w:val="mn-MN"/>
        </w:rPr>
        <w:t xml:space="preserve">Зээлийн өсөлтийн одоогийн энэ огцом өсөлтөд мөнгөний бодлогын удирдлагууд анхаарлаа хандуулах хэрэгтэй. </w:t>
      </w:r>
      <w:r>
        <w:rPr>
          <w:rFonts w:ascii="Arial" w:hAnsi="Arial" w:cs="Arial"/>
          <w:color w:val="000000" w:themeColor="text1"/>
          <w:sz w:val="18"/>
          <w:lang w:val="mn-MN"/>
        </w:rPr>
        <w:t xml:space="preserve">Мөнгөний бодлогыг сулруулсан нь эдийн засгийн өсөлтийг хоёр оронтой тоонд барихад нэмэр оруулж байгаа боловч ГШХО-ын урсгал буурч байгаа энэ үед зээлийн өсөлтийг нэмэгдүүлж байна. Гэвч эдийн засгийн сүүлийн үеийн үзүүлэлтүүдээс харахад сүүлийн саруудад гарсан хурдацтай зээлийн өсөлт нь гадаад болон дотоод тэнцвэргүй байдлыг муутгаж эхэллээ. Макро эдийн засгийн тогтвортой байдалд зээлийн огцом өсөлтийн сөрөг нөлөө нь валютын ханшны сулралтыг хурдасгаж, инфляцийг нэмэгдүүлэх байдлаар илэрч байна. </w:t>
      </w:r>
      <w:r>
        <w:rPr>
          <w:rFonts w:ascii="Arial" w:hAnsi="Arial" w:cs="Arial"/>
          <w:bCs/>
          <w:sz w:val="18"/>
          <w:szCs w:val="20"/>
          <w:lang w:val="mn-MN"/>
        </w:rPr>
        <w:t>Зээлийн өсөлт огцом байгаа энэ үед банкны салбар одоогийн эдийн засгийн байж болох уналтад нэрвэгдэх байдал улам нэмэгдэж байна, ялангуяа барилгын болон орон сууцны салбарт зээлийн төвлөрөлтэй энэ нөхцөлд. Төрөл бүрийн бодлогын зээлүүд</w:t>
      </w:r>
      <w:r w:rsidR="00E40923">
        <w:rPr>
          <w:rFonts w:ascii="Arial" w:hAnsi="Arial" w:cs="Arial"/>
          <w:bCs/>
          <w:sz w:val="18"/>
          <w:szCs w:val="20"/>
          <w:lang w:val="mn-MN"/>
        </w:rPr>
        <w:t>эд</w:t>
      </w:r>
      <w:r>
        <w:rPr>
          <w:rFonts w:ascii="Arial" w:hAnsi="Arial" w:cs="Arial"/>
          <w:bCs/>
          <w:sz w:val="18"/>
          <w:szCs w:val="20"/>
          <w:lang w:val="mn-MN"/>
        </w:rPr>
        <w:t xml:space="preserve"> тавигдах зөв зохицуулалты</w:t>
      </w:r>
      <w:r w:rsidR="00E40923">
        <w:rPr>
          <w:rFonts w:ascii="Arial" w:hAnsi="Arial" w:cs="Arial"/>
          <w:bCs/>
          <w:sz w:val="18"/>
          <w:szCs w:val="20"/>
          <w:lang w:val="mn-MN"/>
        </w:rPr>
        <w:t>г</w:t>
      </w:r>
      <w:r>
        <w:rPr>
          <w:rFonts w:ascii="Arial" w:hAnsi="Arial" w:cs="Arial"/>
          <w:bCs/>
          <w:sz w:val="18"/>
          <w:szCs w:val="20"/>
          <w:lang w:val="mn-MN"/>
        </w:rPr>
        <w:t xml:space="preserve"> сулруулж, зөвшөөрөх нь ухамсрын эрсдлийг </w:t>
      </w:r>
      <w:r>
        <w:rPr>
          <w:rFonts w:ascii="Arial" w:hAnsi="Arial" w:cs="Arial"/>
          <w:bCs/>
          <w:sz w:val="18"/>
          <w:szCs w:val="20"/>
        </w:rPr>
        <w:t xml:space="preserve">(moral hazard) </w:t>
      </w:r>
      <w:r>
        <w:rPr>
          <w:rFonts w:ascii="Arial" w:hAnsi="Arial" w:cs="Arial"/>
          <w:bCs/>
          <w:sz w:val="18"/>
          <w:szCs w:val="20"/>
          <w:lang w:val="mn-MN"/>
        </w:rPr>
        <w:t>нэмэгдүүлж, банкны тогтолцооны ил тод байдлыг бууруулснаар банкны салбарын эмзэг байдлыг улам нэмэгдүүлэх талтай байна</w:t>
      </w:r>
      <w:r w:rsidR="00456D34" w:rsidRPr="00456D34">
        <w:rPr>
          <w:rFonts w:ascii="Arial" w:hAnsi="Arial" w:cs="Arial"/>
          <w:bCs/>
          <w:sz w:val="18"/>
          <w:szCs w:val="18"/>
        </w:rPr>
        <w:t>.</w:t>
      </w:r>
    </w:p>
    <w:p w14:paraId="12333131" w14:textId="77777777" w:rsidR="00046FF6" w:rsidRPr="001D7164" w:rsidRDefault="00046FF6" w:rsidP="00046FF6">
      <w:pPr>
        <w:spacing w:before="200" w:after="120" w:line="264" w:lineRule="auto"/>
        <w:jc w:val="both"/>
        <w:rPr>
          <w:rFonts w:ascii="Arial" w:hAnsi="Arial" w:cs="Arial"/>
          <w:b/>
          <w:bCs/>
          <w:i/>
          <w:color w:val="0070C0"/>
          <w:sz w:val="18"/>
          <w:szCs w:val="18"/>
          <w:lang w:val="mn-MN"/>
        </w:rPr>
      </w:pPr>
      <w:r>
        <w:rPr>
          <w:rFonts w:ascii="Arial" w:hAnsi="Arial" w:cs="Arial"/>
          <w:b/>
          <w:bCs/>
          <w:i/>
          <w:color w:val="0070C0"/>
          <w:sz w:val="18"/>
          <w:szCs w:val="18"/>
          <w:lang w:val="mn-MN"/>
        </w:rPr>
        <w:t>Гадаад салбар</w:t>
      </w:r>
    </w:p>
    <w:p w14:paraId="4C67E727" w14:textId="4857D649" w:rsidR="00E40923" w:rsidRDefault="00046FF6" w:rsidP="00660167">
      <w:pPr>
        <w:spacing w:line="264" w:lineRule="auto"/>
        <w:jc w:val="both"/>
        <w:rPr>
          <w:rFonts w:ascii="Arial" w:hAnsi="Arial" w:cs="Arial"/>
          <w:bCs/>
          <w:sz w:val="18"/>
          <w:szCs w:val="18"/>
          <w:lang w:val="mn-MN"/>
        </w:rPr>
      </w:pPr>
      <w:r>
        <w:rPr>
          <w:rFonts w:ascii="Arial" w:hAnsi="Arial" w:cs="Arial"/>
          <w:b/>
          <w:bCs/>
          <w:sz w:val="18"/>
          <w:szCs w:val="18"/>
          <w:lang w:val="mn-MN"/>
        </w:rPr>
        <w:t xml:space="preserve">Төлбөрийн тэнцлийн дарамт улам нэмэгдэж байгаа нь ГШХО-ын урсгал буурч байгаа, уул уурхайн экспорт сул хэвээрээ байгаа энэ эдийн засагт улам том асуудал болж байна. </w:t>
      </w:r>
      <w:r>
        <w:rPr>
          <w:rFonts w:ascii="Arial" w:hAnsi="Arial" w:cs="Arial"/>
          <w:sz w:val="18"/>
          <w:szCs w:val="20"/>
          <w:lang w:val="mn-MN"/>
        </w:rPr>
        <w:t>Дэлхийн уул уурхайн зах зээл сул байгаа нь уул уурхайн экспорт, импортын эрэлтэд нөлөөлж байна</w:t>
      </w:r>
      <w:r w:rsidRPr="00105624">
        <w:rPr>
          <w:rFonts w:ascii="Arial" w:hAnsi="Arial" w:cs="Arial"/>
          <w:sz w:val="18"/>
          <w:szCs w:val="20"/>
        </w:rPr>
        <w:t xml:space="preserve"> – </w:t>
      </w:r>
      <w:r>
        <w:rPr>
          <w:rFonts w:ascii="Arial" w:hAnsi="Arial" w:cs="Arial"/>
          <w:sz w:val="18"/>
          <w:szCs w:val="20"/>
          <w:lang w:val="mn-MN"/>
        </w:rPr>
        <w:t xml:space="preserve">энэ нь ГШХО урсгал их байх үед 2011 онд хоёр дахинаас илүү хэмжээгээр нэмэгдэж байсан бол </w:t>
      </w:r>
      <w:r w:rsidRPr="00B529DE">
        <w:rPr>
          <w:rFonts w:ascii="Arial" w:hAnsi="Arial" w:cs="Arial"/>
          <w:sz w:val="18"/>
          <w:szCs w:val="20"/>
        </w:rPr>
        <w:t>–</w:t>
      </w:r>
      <w:r>
        <w:rPr>
          <w:rFonts w:ascii="Arial" w:hAnsi="Arial" w:cs="Arial"/>
          <w:sz w:val="18"/>
          <w:szCs w:val="20"/>
        </w:rPr>
        <w:t xml:space="preserve"> </w:t>
      </w:r>
      <w:r>
        <w:rPr>
          <w:rFonts w:ascii="Arial" w:hAnsi="Arial" w:cs="Arial"/>
          <w:sz w:val="18"/>
          <w:szCs w:val="20"/>
          <w:lang w:val="mn-MN"/>
        </w:rPr>
        <w:t>дотоодын нийт эрэлт нь дотоодын үйлдвэрлэлийн хүчин чадлаасаа даван гарс</w:t>
      </w:r>
      <w:r w:rsidR="00E40923">
        <w:rPr>
          <w:rFonts w:ascii="Arial" w:hAnsi="Arial" w:cs="Arial"/>
          <w:sz w:val="18"/>
          <w:szCs w:val="20"/>
          <w:lang w:val="mn-MN"/>
        </w:rPr>
        <w:t>а</w:t>
      </w:r>
      <w:r>
        <w:rPr>
          <w:rFonts w:ascii="Arial" w:hAnsi="Arial" w:cs="Arial"/>
          <w:sz w:val="18"/>
          <w:szCs w:val="20"/>
          <w:lang w:val="mn-MN"/>
        </w:rPr>
        <w:t>н</w:t>
      </w:r>
      <w:r w:rsidR="00E40923">
        <w:rPr>
          <w:rFonts w:ascii="Arial" w:hAnsi="Arial" w:cs="Arial"/>
          <w:sz w:val="18"/>
          <w:szCs w:val="20"/>
          <w:lang w:val="mn-MN"/>
        </w:rPr>
        <w:t xml:space="preserve"> хэмжээнээс </w:t>
      </w:r>
      <w:r>
        <w:rPr>
          <w:rFonts w:ascii="Arial" w:hAnsi="Arial" w:cs="Arial"/>
          <w:sz w:val="18"/>
          <w:szCs w:val="20"/>
          <w:lang w:val="mn-MN"/>
        </w:rPr>
        <w:t>их хэвээрээ тогтлоо. Гадаадын хөрөнгийн дотогшлох урсгал нь буурсан нь хөрөнгө оруулалтын тогтолцоонд санаа зовниулах асуудал нэмэгдэж байгааг мөн ОТ уурхайн хөрөнгө оруулалт дууссаныг илэрхийлж байна. Урсгал дансны томоохон алдагдалтай байгаа энэ үед хөрөнгийн дотогшлох урсгал буурч байгаа нь их хэмжээний гадаад санхүүжилтийн цоорхойг үүсгэж, энэ нь ДНБ-ий 10 орчим хувьтай тэнцэж байна. Төлбөрийн тэнцлийн дарамт нэмэгдэж байгаа</w:t>
      </w:r>
      <w:r w:rsidR="00E40923">
        <w:rPr>
          <w:rFonts w:ascii="Arial" w:hAnsi="Arial" w:cs="Arial"/>
          <w:sz w:val="18"/>
          <w:szCs w:val="20"/>
          <w:lang w:val="mn-MN"/>
        </w:rPr>
        <w:t xml:space="preserve"> нь</w:t>
      </w:r>
      <w:r>
        <w:rPr>
          <w:rFonts w:ascii="Arial" w:hAnsi="Arial" w:cs="Arial"/>
          <w:sz w:val="18"/>
          <w:szCs w:val="20"/>
          <w:lang w:val="mn-MN"/>
        </w:rPr>
        <w:t xml:space="preserve"> гадаад валютын нөөцийн байдал болон гадаад валютын зах зээлд илэрч эхэллээ. Дотоодын валютад гадаад нөхцөл байдал муудснаас үүдэж дарамт нэмэгдэн, 7 сараас эхлэн хүчтэй хэлбэлзэлтэй байлаа</w:t>
      </w:r>
      <w:r w:rsidR="00105624" w:rsidRPr="00105624">
        <w:rPr>
          <w:rFonts w:ascii="Arial" w:hAnsi="Arial" w:cs="Arial"/>
          <w:bCs/>
          <w:sz w:val="18"/>
          <w:szCs w:val="18"/>
        </w:rPr>
        <w:t>.</w:t>
      </w:r>
    </w:p>
    <w:p w14:paraId="46EB5A9A" w14:textId="4D50A4D5" w:rsidR="006A5C7C" w:rsidRPr="00660167" w:rsidRDefault="00046FF6" w:rsidP="00660167">
      <w:pPr>
        <w:spacing w:line="264" w:lineRule="auto"/>
        <w:jc w:val="both"/>
        <w:rPr>
          <w:rFonts w:ascii="Arial" w:hAnsi="Arial" w:cs="Arial"/>
          <w:b/>
          <w:bCs/>
          <w:color w:val="FF0000"/>
          <w:sz w:val="16"/>
        </w:rPr>
      </w:pPr>
      <w:r>
        <w:rPr>
          <w:rFonts w:ascii="Arial" w:hAnsi="Arial" w:cs="Arial"/>
          <w:b/>
          <w:bCs/>
          <w:sz w:val="18"/>
          <w:lang w:val="mn-MN"/>
        </w:rPr>
        <w:t>Валютын ханшны саяхны огцом хэлбэлзэл нь төлбөрийн тэнцлийн нэмэгдэж байгаа дарамтыг бууруулах, хөрөнгийн шинэ дотогшлох урсгалыг татахад чиглэгдсэн зөв эдийн засгийн бодлого хэрэгтэйг илэрхийллээ.</w:t>
      </w:r>
      <w:r w:rsidRPr="00CE6CAE">
        <w:rPr>
          <w:rFonts w:ascii="Arial" w:hAnsi="Arial" w:cs="Arial"/>
          <w:bCs/>
          <w:sz w:val="18"/>
        </w:rPr>
        <w:t xml:space="preserve"> </w:t>
      </w:r>
      <w:r>
        <w:rPr>
          <w:rFonts w:ascii="Arial" w:hAnsi="Arial" w:cs="Arial"/>
          <w:bCs/>
          <w:sz w:val="18"/>
          <w:lang w:val="mn-MN"/>
        </w:rPr>
        <w:t>Б</w:t>
      </w:r>
      <w:r>
        <w:rPr>
          <w:rFonts w:ascii="Arial" w:hAnsi="Arial" w:cs="Arial"/>
          <w:sz w:val="18"/>
          <w:szCs w:val="18"/>
          <w:lang w:val="mn-MN"/>
        </w:rPr>
        <w:t xml:space="preserve">огино хугацааны зээллэг болон богино хугацааны гадаадын багцын хөрөнгө оруулалтын улмаас гадаад валютын зах зээлд хөрөнгийн огцом гадагшлах урсгалаас үүдэлтэйгээр томоохон </w:t>
      </w:r>
      <w:r>
        <w:rPr>
          <w:rFonts w:ascii="Arial" w:hAnsi="Arial" w:cs="Arial"/>
          <w:sz w:val="18"/>
          <w:szCs w:val="18"/>
          <w:lang w:val="mn-MN"/>
        </w:rPr>
        <w:lastRenderedPageBreak/>
        <w:t>эрсдэл үүсдэггүй, гэвч энэ нь хэд хэдэн сөрөг мэдээллийн улмаас “онцлог эрсдэл”-д өртөмтгий болгож байна. Саяхан баталсан шинэ Хөрөнгө оруулалтын хууль нь төлбөрийн тэнцлийн тэнцвэргүй байдлыг зөөлрүүлэх, зах зээлийн сул сентиментыг сайжруулахад эерэг алхам болох талтай</w:t>
      </w:r>
      <w:r w:rsidR="00B1107E">
        <w:rPr>
          <w:rFonts w:ascii="Arial" w:hAnsi="Arial" w:cs="Arial"/>
          <w:sz w:val="18"/>
          <w:szCs w:val="18"/>
        </w:rPr>
        <w:t>.</w:t>
      </w:r>
      <w:r w:rsidR="00367CE1">
        <w:rPr>
          <w:rFonts w:ascii="Arial" w:hAnsi="Arial" w:cs="Arial"/>
          <w:sz w:val="18"/>
          <w:szCs w:val="18"/>
        </w:rPr>
        <w:t xml:space="preserve"> </w:t>
      </w:r>
      <w:r w:rsidR="00367CE1">
        <w:rPr>
          <w:rFonts w:ascii="Arial" w:hAnsi="Arial" w:cs="Arial"/>
          <w:sz w:val="18"/>
          <w:szCs w:val="18"/>
          <w:lang w:val="mn-MN"/>
        </w:rPr>
        <w:t xml:space="preserve">Одоогийн байгаа гадаадын хөрөнгө, өр төлбөрийн бүрэлдэхүүнээс харахад, тухайн бүс нутагт бусад хэд хэдэн орнууд өртөөд байгаа хөрөнгийн гадагшлах урсгалын том сөрөг нөлөө хараахан алга байна. 2013 оны 6 дугаар сарын байдлаар, гадаадын шууд хөрөнгө оруулалтын үлдэгдэл хэмжээ 15 тэрбум ам.доллар байна. Монгол улс дахь гадаадын багцын хөрөнгө оруулалтын үлдэгдэл хэмжээ зөвхөн 2.7 тэрбум ам.доллар байгаагаас ихэнх нь урт хугацааны бондын хөрөнгө оруулалт ажээ. </w:t>
      </w:r>
    </w:p>
    <w:p w14:paraId="245F7700" w14:textId="77777777" w:rsidR="00046FF6" w:rsidRPr="001D7164" w:rsidRDefault="00046FF6" w:rsidP="00046FF6">
      <w:pPr>
        <w:spacing w:before="120" w:after="120" w:line="264" w:lineRule="auto"/>
        <w:jc w:val="both"/>
        <w:rPr>
          <w:rFonts w:ascii="Arial" w:hAnsi="Arial" w:cs="Arial"/>
          <w:b/>
          <w:i/>
          <w:color w:val="0070C0"/>
          <w:sz w:val="18"/>
          <w:szCs w:val="18"/>
          <w:lang w:val="mn-MN"/>
        </w:rPr>
      </w:pPr>
      <w:r>
        <w:rPr>
          <w:rFonts w:ascii="Arial" w:hAnsi="Arial" w:cs="Arial"/>
          <w:b/>
          <w:i/>
          <w:color w:val="0070C0"/>
          <w:sz w:val="18"/>
          <w:szCs w:val="18"/>
          <w:lang w:val="mn-MN"/>
        </w:rPr>
        <w:t>Ерөнхий үнэлгээ болон бодлогын зөвлөмжүүд</w:t>
      </w:r>
    </w:p>
    <w:p w14:paraId="7B076809" w14:textId="382114D8" w:rsidR="00B1107E" w:rsidRDefault="00046FF6" w:rsidP="00660167">
      <w:pPr>
        <w:spacing w:before="120" w:after="120" w:line="264" w:lineRule="auto"/>
        <w:jc w:val="both"/>
        <w:rPr>
          <w:rFonts w:ascii="Arial" w:hAnsi="Arial" w:cs="Arial"/>
          <w:bCs/>
          <w:sz w:val="18"/>
          <w:szCs w:val="18"/>
        </w:rPr>
      </w:pPr>
      <w:r>
        <w:rPr>
          <w:rFonts w:ascii="Arial" w:hAnsi="Arial" w:cs="Arial"/>
          <w:b/>
          <w:bCs/>
          <w:sz w:val="18"/>
          <w:szCs w:val="18"/>
          <w:lang w:val="mn-MN"/>
        </w:rPr>
        <w:t xml:space="preserve">Төлбөрийн тэнцлийн дарамт нэмэгдэж байгаа энэ үед одоогийн суларсан эдийн засгийн бодлогууд нь тогтвортой бус бөгөөд макро эдийн засгийн цаашдын тогтвортой байдалд сөргөөр нөлөөлнө. </w:t>
      </w:r>
      <w:r>
        <w:rPr>
          <w:rFonts w:ascii="Arial" w:hAnsi="Arial" w:cs="Arial"/>
          <w:bCs/>
          <w:sz w:val="18"/>
          <w:szCs w:val="18"/>
          <w:lang w:val="mn-MN"/>
        </w:rPr>
        <w:t>Засгийн газраас эдийн засагт тулгарч байгаа эрсдлийг даван гарах зорилгоор хэд хэдэн эерэг нааштай алхамуудыг авч хэрэгжүүлсэний дотор хөрөнгө оруулалтын шинэ хуулийг баталсан мөн төсвий</w:t>
      </w:r>
      <w:r w:rsidR="00E40923">
        <w:rPr>
          <w:rFonts w:ascii="Arial" w:hAnsi="Arial" w:cs="Arial"/>
          <w:bCs/>
          <w:sz w:val="18"/>
          <w:szCs w:val="18"/>
          <w:lang w:val="mn-MN"/>
        </w:rPr>
        <w:t>г сайжруулах</w:t>
      </w:r>
      <w:r>
        <w:rPr>
          <w:rFonts w:ascii="Arial" w:hAnsi="Arial" w:cs="Arial"/>
          <w:bCs/>
          <w:sz w:val="18"/>
          <w:szCs w:val="18"/>
          <w:lang w:val="mn-MN"/>
        </w:rPr>
        <w:t xml:space="preserve"> төлөвлөгөөг боловсруулсан явдал юм. Гэвч одоогийн эдийн засгийн бодлогын хүрээнд, импортын эрэлт тогтмол өндөр байгаа, мөн уул уурхайн зах зээл сэргэх байдал тодорхойгүй энэ үед төлбөрийн тэнцлийн томоохон дарамт нь ойрын жилүүдэд шууд их хэмжээгээр арилгахгүй байх талтай байна. Бүс нутгийнхаа орнуудтай харьцуулбал, Монгол улсын эдийн засгийн удирдлага нь өндөр тэлэлттэй байгаа бөгөөд энэ нь их хэмжээний урсгал дансны алдагдал, өндөр инфляцийг үүсгэж байна.</w:t>
      </w:r>
      <w:r>
        <w:rPr>
          <w:rFonts w:ascii="Arial" w:hAnsi="Arial" w:cs="Arial"/>
          <w:bCs/>
          <w:sz w:val="18"/>
          <w:szCs w:val="18"/>
        </w:rPr>
        <w:t xml:space="preserve"> </w:t>
      </w:r>
      <w:proofErr w:type="gramStart"/>
      <w:r>
        <w:rPr>
          <w:rFonts w:ascii="Arial" w:hAnsi="Arial" w:cs="Arial"/>
          <w:bCs/>
          <w:sz w:val="18"/>
          <w:szCs w:val="18"/>
        </w:rPr>
        <w:t>(</w:t>
      </w:r>
      <w:r>
        <w:rPr>
          <w:rFonts w:ascii="Arial" w:hAnsi="Arial" w:cs="Arial"/>
          <w:bCs/>
          <w:sz w:val="18"/>
          <w:szCs w:val="18"/>
          <w:lang w:val="mn-MN"/>
        </w:rPr>
        <w:t>Хайрцаг</w:t>
      </w:r>
      <w:r>
        <w:rPr>
          <w:rFonts w:ascii="Arial" w:hAnsi="Arial" w:cs="Arial"/>
          <w:bCs/>
          <w:sz w:val="18"/>
          <w:szCs w:val="18"/>
        </w:rPr>
        <w:t xml:space="preserve"> 9).</w:t>
      </w:r>
      <w:proofErr w:type="gramEnd"/>
      <w:r>
        <w:rPr>
          <w:rFonts w:ascii="Arial" w:hAnsi="Arial" w:cs="Arial"/>
          <w:bCs/>
          <w:sz w:val="18"/>
          <w:szCs w:val="18"/>
        </w:rPr>
        <w:t xml:space="preserve"> </w:t>
      </w:r>
      <w:r>
        <w:rPr>
          <w:rFonts w:ascii="Arial" w:hAnsi="Arial" w:cs="Arial"/>
          <w:bCs/>
          <w:sz w:val="18"/>
          <w:szCs w:val="18"/>
          <w:lang w:val="mn-MN"/>
        </w:rPr>
        <w:t>Хэрвээ одоогийн энэхүү тэлсэн, суларсан эдийн засгийн бодлогууд үргэлжилбэл төлбөрийн тэнцлийн дарамт тогтворгүй болох бөгөөд дунд хугацаанд эдийн засгийн хүчтэй зохицуулалтын үйл явц хийхэд хүргэх талтай</w:t>
      </w:r>
      <w:r w:rsidR="00B1107E">
        <w:rPr>
          <w:rFonts w:ascii="Arial" w:hAnsi="Arial" w:cs="Arial"/>
          <w:bCs/>
          <w:sz w:val="18"/>
          <w:szCs w:val="18"/>
        </w:rPr>
        <w:t xml:space="preserve">. </w:t>
      </w:r>
    </w:p>
    <w:p w14:paraId="001D135F" w14:textId="7277D0F5" w:rsidR="004E7E4C" w:rsidRPr="008751B5" w:rsidRDefault="00046FF6" w:rsidP="00660167">
      <w:pPr>
        <w:spacing w:before="120" w:after="120" w:line="264" w:lineRule="auto"/>
        <w:jc w:val="both"/>
        <w:rPr>
          <w:rFonts w:ascii="Arial" w:hAnsi="Arial" w:cs="Arial"/>
          <w:bCs/>
          <w:sz w:val="18"/>
          <w:szCs w:val="18"/>
        </w:rPr>
      </w:pPr>
      <w:r>
        <w:rPr>
          <w:rFonts w:ascii="Arial" w:hAnsi="Arial" w:cs="Arial"/>
          <w:b/>
          <w:bCs/>
          <w:sz w:val="18"/>
          <w:szCs w:val="18"/>
          <w:lang w:val="mn-MN"/>
        </w:rPr>
        <w:t>Монгол улсын эдийн засаг нь гадаад эдийн засгийн тааламжгүй нөхцөл байдалд өртөх байдал улам нэмэгдэж байх талтай.</w:t>
      </w:r>
      <w:r w:rsidRPr="008751B5">
        <w:rPr>
          <w:rFonts w:ascii="Arial" w:hAnsi="Arial" w:cs="Arial"/>
          <w:bCs/>
          <w:sz w:val="18"/>
          <w:szCs w:val="18"/>
        </w:rPr>
        <w:t xml:space="preserve"> </w:t>
      </w:r>
      <w:r>
        <w:rPr>
          <w:rFonts w:ascii="Arial" w:hAnsi="Arial" w:cs="Arial"/>
          <w:bCs/>
          <w:sz w:val="18"/>
          <w:szCs w:val="18"/>
          <w:lang w:val="mn-MN"/>
        </w:rPr>
        <w:t>Хятад улсын эдийн засаг нь хөрөнгө оруулалт</w:t>
      </w:r>
      <w:r w:rsidR="00E40923">
        <w:rPr>
          <w:rFonts w:ascii="Arial" w:hAnsi="Arial" w:cs="Arial"/>
          <w:bCs/>
          <w:sz w:val="18"/>
          <w:szCs w:val="18"/>
          <w:lang w:val="mn-MN"/>
        </w:rPr>
        <w:t>ад чиглэсэн</w:t>
      </w:r>
      <w:r>
        <w:rPr>
          <w:rFonts w:ascii="Arial" w:hAnsi="Arial" w:cs="Arial"/>
          <w:bCs/>
          <w:sz w:val="18"/>
          <w:szCs w:val="18"/>
          <w:lang w:val="mn-MN"/>
        </w:rPr>
        <w:t xml:space="preserve"> </w:t>
      </w:r>
      <w:r w:rsidR="00E40923">
        <w:rPr>
          <w:rFonts w:ascii="Arial" w:hAnsi="Arial" w:cs="Arial"/>
          <w:bCs/>
          <w:sz w:val="18"/>
          <w:szCs w:val="18"/>
          <w:lang w:val="mn-MN"/>
        </w:rPr>
        <w:t>өсөлтөөс</w:t>
      </w:r>
      <w:r>
        <w:rPr>
          <w:rFonts w:ascii="Arial" w:hAnsi="Arial" w:cs="Arial"/>
          <w:bCs/>
          <w:sz w:val="18"/>
          <w:szCs w:val="18"/>
          <w:lang w:val="mn-MN"/>
        </w:rPr>
        <w:t xml:space="preserve"> илүү хэрэглээнд суурилсан өсөлт</w:t>
      </w:r>
      <w:r w:rsidR="00E40923">
        <w:rPr>
          <w:rFonts w:ascii="Arial" w:hAnsi="Arial" w:cs="Arial"/>
          <w:bCs/>
          <w:sz w:val="18"/>
          <w:szCs w:val="18"/>
          <w:lang w:val="mn-MN"/>
        </w:rPr>
        <w:t xml:space="preserve"> бий болгохоор</w:t>
      </w:r>
      <w:r>
        <w:rPr>
          <w:rFonts w:ascii="Arial" w:hAnsi="Arial" w:cs="Arial"/>
          <w:bCs/>
          <w:sz w:val="18"/>
          <w:szCs w:val="18"/>
          <w:lang w:val="mn-MN"/>
        </w:rPr>
        <w:t xml:space="preserve"> өөрчлөгдөж байгаа нь Хятадын өсөлтийг цаашид бууруулах талтай. Хөгжсөн орнуудад сүүлийн жилүүдэд огцом нэмэгдүүлж байсан тоон сулруулалтыг багасгаж эхэлж байгаа нь шинээр үүсч байгаа орнуудад орох хөрөнгийн дотогшлох урсгалыг сулруулж, зээллэгийн өртөгийг нэмэгдүүлэх талтай. Дэлхийн уул уурхайн зах зээл ойрын жилүүдэд хангалттай нийлүүлэлт, голлох эрдэс бүтээгдэхүүн экспортлогч орнуудын дунд өрсөлдөөн нэмэгдэж байгаа энэ үед </w:t>
      </w:r>
      <w:r w:rsidR="00E40923">
        <w:rPr>
          <w:rFonts w:ascii="Arial" w:hAnsi="Arial" w:cs="Arial"/>
          <w:bCs/>
          <w:sz w:val="18"/>
          <w:szCs w:val="18"/>
          <w:lang w:val="mn-MN"/>
        </w:rPr>
        <w:t xml:space="preserve">уг зах зээл </w:t>
      </w:r>
      <w:r>
        <w:rPr>
          <w:rFonts w:ascii="Arial" w:hAnsi="Arial" w:cs="Arial"/>
          <w:bCs/>
          <w:sz w:val="18"/>
          <w:szCs w:val="18"/>
          <w:lang w:val="mn-MN"/>
        </w:rPr>
        <w:t>сул хэвээрээ байх</w:t>
      </w:r>
      <w:r w:rsidR="00E40923">
        <w:rPr>
          <w:rFonts w:ascii="Arial" w:hAnsi="Arial" w:cs="Arial"/>
          <w:bCs/>
          <w:sz w:val="18"/>
          <w:szCs w:val="18"/>
          <w:lang w:val="mn-MN"/>
        </w:rPr>
        <w:t>аар б</w:t>
      </w:r>
      <w:r>
        <w:rPr>
          <w:rFonts w:ascii="Arial" w:hAnsi="Arial" w:cs="Arial"/>
          <w:bCs/>
          <w:sz w:val="18"/>
          <w:szCs w:val="18"/>
          <w:lang w:val="mn-MN"/>
        </w:rPr>
        <w:t>айна</w:t>
      </w:r>
      <w:r w:rsidR="00BE4C93">
        <w:rPr>
          <w:rFonts w:ascii="Arial" w:hAnsi="Arial" w:cs="Arial"/>
          <w:bCs/>
          <w:sz w:val="18"/>
          <w:szCs w:val="18"/>
        </w:rPr>
        <w:t xml:space="preserve">. </w:t>
      </w:r>
    </w:p>
    <w:p w14:paraId="58F324E3" w14:textId="4E43BAA6" w:rsidR="008751B5" w:rsidRPr="00477DE9" w:rsidRDefault="00046FF6">
      <w:pPr>
        <w:pStyle w:val="ListParagraph"/>
        <w:numPr>
          <w:ilvl w:val="0"/>
          <w:numId w:val="16"/>
        </w:numPr>
        <w:spacing w:before="60" w:after="60" w:line="264" w:lineRule="auto"/>
        <w:ind w:left="450" w:hanging="270"/>
        <w:jc w:val="both"/>
        <w:rPr>
          <w:rFonts w:ascii="Arial" w:hAnsi="Arial" w:cs="Arial"/>
          <w:bCs/>
          <w:sz w:val="18"/>
          <w:szCs w:val="18"/>
        </w:rPr>
      </w:pPr>
      <w:r w:rsidRPr="00477DE9">
        <w:rPr>
          <w:rFonts w:ascii="Arial" w:hAnsi="Arial" w:cs="Arial"/>
          <w:b/>
          <w:bCs/>
          <w:sz w:val="18"/>
          <w:szCs w:val="18"/>
          <w:lang w:val="mn-MN"/>
        </w:rPr>
        <w:t xml:space="preserve">Өсөлтөд чиглэсэн эдийн засгийн бодлогуудыг эдийн засгийн тогтвортой байдалд чиглэсэн болгон өөрчлөх шаардлагатай байна. </w:t>
      </w:r>
      <w:r w:rsidRPr="00477DE9">
        <w:rPr>
          <w:rFonts w:ascii="Arial" w:hAnsi="Arial" w:cs="Arial"/>
          <w:bCs/>
          <w:sz w:val="18"/>
          <w:szCs w:val="18"/>
          <w:lang w:val="mn-MN"/>
        </w:rPr>
        <w:t>Макро эдийн засгийн удирдлагын тэргүүлэх чиглэлүүд нь дараах зүйлд үндэслэх шаардлагатай</w:t>
      </w:r>
      <w:r w:rsidRPr="00477DE9">
        <w:rPr>
          <w:rFonts w:ascii="Arial" w:hAnsi="Arial" w:cs="Arial"/>
          <w:bCs/>
          <w:sz w:val="18"/>
          <w:szCs w:val="18"/>
        </w:rPr>
        <w:t xml:space="preserve">: (i) </w:t>
      </w:r>
      <w:r w:rsidRPr="00477DE9">
        <w:rPr>
          <w:rFonts w:ascii="Arial" w:hAnsi="Arial" w:cs="Arial"/>
          <w:bCs/>
          <w:sz w:val="18"/>
          <w:szCs w:val="18"/>
          <w:lang w:val="mn-MN"/>
        </w:rPr>
        <w:t>дотоод хүчин зүйлээс үүсч байгаа төлбөрийн тэнцэлийн дарамтыг бууруулах</w:t>
      </w:r>
      <w:r w:rsidRPr="00477DE9">
        <w:rPr>
          <w:rFonts w:ascii="Arial" w:hAnsi="Arial" w:cs="Arial"/>
          <w:bCs/>
          <w:sz w:val="18"/>
          <w:szCs w:val="18"/>
        </w:rPr>
        <w:t xml:space="preserve">; (ii) </w:t>
      </w:r>
      <w:r w:rsidRPr="00477DE9">
        <w:rPr>
          <w:rFonts w:ascii="Arial" w:hAnsi="Arial" w:cs="Arial"/>
          <w:bCs/>
          <w:sz w:val="18"/>
          <w:szCs w:val="18"/>
          <w:lang w:val="mn-MN"/>
        </w:rPr>
        <w:t>тэлж байгаа бодлогуудаас үүсэх гарч болох макро эдийн засгийн болон санхүүгийн эрсдлийг шийдвэрлэх</w:t>
      </w:r>
      <w:r w:rsidRPr="00477DE9">
        <w:rPr>
          <w:rFonts w:ascii="Arial" w:hAnsi="Arial" w:cs="Arial"/>
          <w:bCs/>
          <w:sz w:val="18"/>
          <w:szCs w:val="18"/>
        </w:rPr>
        <w:t xml:space="preserve">; (iii) </w:t>
      </w:r>
      <w:r w:rsidRPr="00477DE9">
        <w:rPr>
          <w:rFonts w:ascii="Arial" w:hAnsi="Arial" w:cs="Arial"/>
          <w:bCs/>
          <w:sz w:val="18"/>
          <w:szCs w:val="18"/>
          <w:lang w:val="mn-MN"/>
        </w:rPr>
        <w:t>урт хугацаанд тогтвортой, тогтмол өсөлтийг хангах халхавч бодлогуудыг дахин сэргээх</w:t>
      </w:r>
      <w:r w:rsidR="008751B5" w:rsidRPr="00477DE9">
        <w:rPr>
          <w:rFonts w:ascii="Arial" w:hAnsi="Arial" w:cs="Arial"/>
          <w:bCs/>
          <w:sz w:val="18"/>
          <w:szCs w:val="18"/>
        </w:rPr>
        <w:t xml:space="preserve">.  </w:t>
      </w:r>
      <w:r w:rsidR="00367CE1" w:rsidRPr="00477DE9">
        <w:rPr>
          <w:rFonts w:ascii="Arial" w:hAnsi="Arial" w:cs="Arial"/>
          <w:b/>
          <w:bCs/>
          <w:sz w:val="18"/>
          <w:szCs w:val="18"/>
          <w:lang w:val="mn-MN"/>
        </w:rPr>
        <w:t xml:space="preserve">Төсвийн бодлогыг цаашид үргэлжлүүлэн чангалж, төсвийн орон зайг дахин бүрдүүлж эхлэх хэрэгтэй. </w:t>
      </w:r>
      <w:r w:rsidRPr="00477DE9">
        <w:rPr>
          <w:rFonts w:ascii="Arial" w:hAnsi="Arial" w:cs="Arial"/>
          <w:bCs/>
          <w:sz w:val="18"/>
          <w:szCs w:val="18"/>
          <w:lang w:val="mn-MN"/>
        </w:rPr>
        <w:t>Зардлаа танах талаар саяхан мэдэгдсэн нь мэдэгдэхүйц амжилт</w:t>
      </w:r>
      <w:r w:rsidRPr="00477DE9">
        <w:rPr>
          <w:rFonts w:ascii="Arial" w:hAnsi="Arial" w:cs="Arial"/>
          <w:bCs/>
          <w:sz w:val="18"/>
          <w:szCs w:val="18"/>
        </w:rPr>
        <w:t xml:space="preserve">; </w:t>
      </w:r>
      <w:r w:rsidRPr="00477DE9">
        <w:rPr>
          <w:rFonts w:ascii="Arial" w:hAnsi="Arial" w:cs="Arial"/>
          <w:bCs/>
          <w:sz w:val="18"/>
          <w:szCs w:val="18"/>
          <w:lang w:val="mn-MN"/>
        </w:rPr>
        <w:t>гэвч ихээхэн хэмжээний төсвөөс гадуурхи зарлага нь төсвий</w:t>
      </w:r>
      <w:r w:rsidR="00E40923" w:rsidRPr="00477DE9">
        <w:rPr>
          <w:rFonts w:ascii="Arial" w:hAnsi="Arial" w:cs="Arial"/>
          <w:bCs/>
          <w:sz w:val="18"/>
          <w:szCs w:val="18"/>
          <w:lang w:val="mn-MN"/>
        </w:rPr>
        <w:t>г</w:t>
      </w:r>
      <w:r w:rsidRPr="00477DE9">
        <w:rPr>
          <w:rFonts w:ascii="Arial" w:hAnsi="Arial" w:cs="Arial"/>
          <w:bCs/>
          <w:sz w:val="18"/>
          <w:szCs w:val="18"/>
          <w:lang w:val="mn-MN"/>
        </w:rPr>
        <w:t xml:space="preserve"> </w:t>
      </w:r>
      <w:r w:rsidR="00E40923" w:rsidRPr="00477DE9">
        <w:rPr>
          <w:rFonts w:ascii="Arial" w:hAnsi="Arial" w:cs="Arial"/>
          <w:bCs/>
          <w:sz w:val="18"/>
          <w:szCs w:val="18"/>
          <w:lang w:val="mn-MN"/>
        </w:rPr>
        <w:t xml:space="preserve">сайжруулах </w:t>
      </w:r>
      <w:r w:rsidRPr="00477DE9">
        <w:rPr>
          <w:rFonts w:ascii="Arial" w:hAnsi="Arial" w:cs="Arial"/>
          <w:bCs/>
          <w:sz w:val="18"/>
          <w:szCs w:val="18"/>
          <w:lang w:val="mn-MN"/>
        </w:rPr>
        <w:t>төлөвлөгөөгөөр удирдагдахгүй хэвээрээ үлдэж байна. Төсөв нь орлогын бодитой таамаглал, үндэслэл сайтай зарцуулалтын төлөвлөгөөнүүд дээр үндэслэн ТТБТХуулийн дүрмүүдийг чандлан сахих ёстой. Нэн тэргүүнд төсвөөс гадуурхи зардлыг төсвийн нэг хэсэг гэдгийг хүлээн зөвшөөрөх ёстой. Дунд хугацааны төсвий</w:t>
      </w:r>
      <w:r w:rsidR="001D3B37" w:rsidRPr="00477DE9">
        <w:rPr>
          <w:rFonts w:ascii="Arial" w:hAnsi="Arial" w:cs="Arial"/>
          <w:bCs/>
          <w:sz w:val="18"/>
          <w:szCs w:val="18"/>
          <w:lang w:val="mn-MN"/>
        </w:rPr>
        <w:t>г</w:t>
      </w:r>
      <w:r w:rsidRPr="00477DE9">
        <w:rPr>
          <w:rFonts w:ascii="Arial" w:hAnsi="Arial" w:cs="Arial"/>
          <w:bCs/>
          <w:sz w:val="18"/>
          <w:szCs w:val="18"/>
          <w:lang w:val="mn-MN"/>
        </w:rPr>
        <w:t xml:space="preserve"> </w:t>
      </w:r>
      <w:r w:rsidR="001D3B37" w:rsidRPr="00477DE9">
        <w:rPr>
          <w:rFonts w:ascii="Arial" w:hAnsi="Arial" w:cs="Arial"/>
          <w:bCs/>
          <w:sz w:val="18"/>
          <w:szCs w:val="18"/>
          <w:lang w:val="mn-MN"/>
        </w:rPr>
        <w:t xml:space="preserve">сайжруулах </w:t>
      </w:r>
      <w:r w:rsidRPr="00477DE9">
        <w:rPr>
          <w:rFonts w:ascii="Arial" w:hAnsi="Arial" w:cs="Arial"/>
          <w:bCs/>
          <w:sz w:val="18"/>
          <w:szCs w:val="18"/>
          <w:lang w:val="mn-MN"/>
        </w:rPr>
        <w:t>стратеги нь төсвөөс гадуурхи зарцуулалтыг оролцуулаад нэгдсэн төсвийн алдагдлыг аажмаар бууруулж, тухайн жилд ТТБТХуулийн 2 хувийн хязгаарт барих зөв хөшүүрэг болж өгнө. Урт хугацаандаа төсвийн бодлого нь хамгаалалтын зорилго бүхий бодлогын халхавчуудыг бүрдүүлж эхлэх хэрэгтэй юм. Одоогоор боловсруулж байга</w:t>
      </w:r>
      <w:r w:rsidR="001D3B37" w:rsidRPr="00477DE9">
        <w:rPr>
          <w:rFonts w:ascii="Arial" w:hAnsi="Arial" w:cs="Arial"/>
          <w:bCs/>
          <w:sz w:val="18"/>
          <w:szCs w:val="18"/>
          <w:lang w:val="mn-MN"/>
        </w:rPr>
        <w:t>а</w:t>
      </w:r>
      <w:r w:rsidRPr="00477DE9">
        <w:rPr>
          <w:rFonts w:ascii="Arial" w:hAnsi="Arial" w:cs="Arial"/>
          <w:bCs/>
          <w:sz w:val="18"/>
          <w:szCs w:val="18"/>
          <w:lang w:val="mn-MN"/>
        </w:rPr>
        <w:t xml:space="preserve"> баялагийн сангийн хууль эрх зүй нь институцийн сайн суурийг бүрдүүлнэ</w:t>
      </w:r>
      <w:r w:rsidR="008751B5" w:rsidRPr="00477DE9">
        <w:rPr>
          <w:rFonts w:ascii="Arial" w:hAnsi="Arial" w:cs="Arial"/>
          <w:bCs/>
          <w:sz w:val="18"/>
          <w:szCs w:val="18"/>
        </w:rPr>
        <w:t>.</w:t>
      </w:r>
    </w:p>
    <w:p w14:paraId="02DB00EB" w14:textId="77777777" w:rsidR="00C34ED2" w:rsidRPr="00534847" w:rsidRDefault="00C34ED2" w:rsidP="00660167">
      <w:pPr>
        <w:pStyle w:val="ListParagraph"/>
        <w:spacing w:before="60" w:after="60" w:line="264" w:lineRule="auto"/>
        <w:ind w:left="450" w:hanging="270"/>
        <w:rPr>
          <w:rFonts w:ascii="Arial" w:hAnsi="Arial" w:cs="Arial"/>
          <w:bCs/>
          <w:sz w:val="6"/>
          <w:szCs w:val="18"/>
        </w:rPr>
      </w:pPr>
    </w:p>
    <w:p w14:paraId="7798E996" w14:textId="0AC21724" w:rsidR="00B10678" w:rsidRDefault="00046FF6" w:rsidP="00660167">
      <w:pPr>
        <w:pStyle w:val="ListParagraph"/>
        <w:numPr>
          <w:ilvl w:val="0"/>
          <w:numId w:val="16"/>
        </w:numPr>
        <w:spacing w:before="60" w:after="60" w:line="264" w:lineRule="auto"/>
        <w:ind w:left="450" w:hanging="270"/>
        <w:jc w:val="both"/>
        <w:rPr>
          <w:rFonts w:ascii="Arial" w:hAnsi="Arial" w:cs="Arial"/>
          <w:bCs/>
          <w:sz w:val="18"/>
          <w:szCs w:val="18"/>
        </w:rPr>
      </w:pPr>
      <w:r>
        <w:rPr>
          <w:rFonts w:ascii="Arial" w:hAnsi="Arial" w:cs="Arial"/>
          <w:b/>
          <w:bCs/>
          <w:sz w:val="18"/>
          <w:szCs w:val="18"/>
          <w:lang w:val="mn-MN"/>
        </w:rPr>
        <w:t>Төсвийн бодлого “сайн зарцуулахад”</w:t>
      </w:r>
      <w:r w:rsidR="001D3B37">
        <w:rPr>
          <w:rFonts w:ascii="Arial" w:hAnsi="Arial" w:cs="Arial"/>
          <w:b/>
          <w:bCs/>
          <w:sz w:val="18"/>
          <w:szCs w:val="18"/>
          <w:lang w:val="mn-MN"/>
        </w:rPr>
        <w:t xml:space="preserve"> </w:t>
      </w:r>
      <w:r>
        <w:rPr>
          <w:rFonts w:ascii="Arial" w:hAnsi="Arial" w:cs="Arial"/>
          <w:b/>
          <w:bCs/>
          <w:sz w:val="18"/>
          <w:szCs w:val="18"/>
          <w:lang w:val="mn-MN"/>
        </w:rPr>
        <w:t>чиглэгдэх ёстой</w:t>
      </w:r>
      <w:r w:rsidRPr="00C34ED2">
        <w:rPr>
          <w:rFonts w:ascii="Arial" w:hAnsi="Arial" w:cs="Arial"/>
          <w:b/>
          <w:bCs/>
          <w:sz w:val="18"/>
          <w:szCs w:val="18"/>
        </w:rPr>
        <w:t>.</w:t>
      </w:r>
      <w:r w:rsidRPr="00C34ED2">
        <w:rPr>
          <w:rFonts w:ascii="Arial" w:hAnsi="Arial" w:cs="Arial"/>
          <w:bCs/>
          <w:sz w:val="18"/>
          <w:szCs w:val="18"/>
        </w:rPr>
        <w:t xml:space="preserve"> </w:t>
      </w:r>
      <w:r>
        <w:rPr>
          <w:rFonts w:ascii="Arial" w:hAnsi="Arial" w:cs="Arial"/>
          <w:bCs/>
          <w:sz w:val="18"/>
          <w:szCs w:val="18"/>
          <w:lang w:val="mn-MN"/>
        </w:rPr>
        <w:t>Дэд бүтцийн салбарын зарлагын хэрэгцээг өсгөхдөө Засгийн газрын төлөвлөлт, хэрэгжүүлэх хүчин чадал болон тухайн эдийн засгийнхаа шингээх чадвартай уялдуулах хэрэгтэй. Үндэсний хөгжлийн стратегид тогтвортой төсвийн замд оруулах дунд хугацааны оновчтой улсын хөрөнгө оруулалтын төлөвлөгөө чухал байна</w:t>
      </w:r>
      <w:r w:rsidR="00C34ED2">
        <w:rPr>
          <w:rFonts w:ascii="Arial" w:hAnsi="Arial" w:cs="Arial"/>
          <w:bCs/>
          <w:sz w:val="18"/>
          <w:szCs w:val="18"/>
        </w:rPr>
        <w:t>.</w:t>
      </w:r>
      <w:r w:rsidR="00A1633E">
        <w:rPr>
          <w:rFonts w:ascii="Arial" w:hAnsi="Arial" w:cs="Arial"/>
          <w:bCs/>
          <w:sz w:val="18"/>
          <w:szCs w:val="18"/>
        </w:rPr>
        <w:t xml:space="preserve"> </w:t>
      </w:r>
      <w:r w:rsidR="00367CE1">
        <w:rPr>
          <w:rFonts w:ascii="Arial" w:hAnsi="Arial" w:cs="Arial"/>
          <w:bCs/>
          <w:sz w:val="18"/>
          <w:szCs w:val="18"/>
          <w:lang w:val="mn-MN"/>
        </w:rPr>
        <w:t xml:space="preserve">Монгол улс нь хөгжлийн эхэн үе шатандаа байгаа энэ үед бүх зүйл нь чухал санагдах боловч тэргүүлэх чиглэлээр нь ангилах нь төсвийн хязгаарлагдмал нөөц бололцоотой үед урт хугацааны хөгжлийн амжилттай эх суурь чухал үүрэгтэй. </w:t>
      </w:r>
    </w:p>
    <w:p w14:paraId="59AE6A47" w14:textId="77777777" w:rsidR="00B10678" w:rsidRPr="00B10678" w:rsidRDefault="00B10678" w:rsidP="00660167">
      <w:pPr>
        <w:pStyle w:val="ListParagraph"/>
        <w:spacing w:line="264" w:lineRule="auto"/>
        <w:rPr>
          <w:rFonts w:ascii="Arial" w:hAnsi="Arial" w:cs="Arial"/>
          <w:b/>
          <w:bCs/>
          <w:sz w:val="8"/>
          <w:szCs w:val="18"/>
        </w:rPr>
      </w:pPr>
    </w:p>
    <w:p w14:paraId="532C15AA" w14:textId="58FF1720" w:rsidR="00477EFB" w:rsidRPr="00B10678" w:rsidRDefault="00046FF6" w:rsidP="00660167">
      <w:pPr>
        <w:pStyle w:val="ListParagraph"/>
        <w:numPr>
          <w:ilvl w:val="0"/>
          <w:numId w:val="16"/>
        </w:numPr>
        <w:spacing w:before="60" w:after="60" w:line="264" w:lineRule="auto"/>
        <w:ind w:left="450" w:hanging="270"/>
        <w:jc w:val="both"/>
        <w:rPr>
          <w:rFonts w:ascii="Arial" w:hAnsi="Arial" w:cs="Arial"/>
          <w:bCs/>
          <w:sz w:val="18"/>
          <w:szCs w:val="18"/>
        </w:rPr>
      </w:pPr>
      <w:r>
        <w:rPr>
          <w:rFonts w:ascii="Arial" w:hAnsi="Arial" w:cs="Arial"/>
          <w:b/>
          <w:bCs/>
          <w:sz w:val="18"/>
          <w:szCs w:val="18"/>
          <w:lang w:val="mn-MN"/>
        </w:rPr>
        <w:t xml:space="preserve">Мөнгөний бодлого нь эдийн засгийн болон санхүүгийн тогтвортой байдлыг бэхжүүлэхэд чиглэгдэх ёстой. </w:t>
      </w:r>
      <w:r>
        <w:rPr>
          <w:rFonts w:ascii="Arial" w:hAnsi="Arial" w:cs="Arial"/>
          <w:bCs/>
          <w:sz w:val="18"/>
          <w:szCs w:val="18"/>
          <w:lang w:val="mn-MN"/>
        </w:rPr>
        <w:t xml:space="preserve">Сүүлийн саруудад бий болсон зээлийн хурдацтай өсөлт нь мөнгөний бодлого боловсруулагчид удирдлагуудад мөнгөний бодлогыг сулруулснаар эдийн засгийн чухал үзүүлэлтүүд, тухайлбал төлбөрийн тэнцэл болон инфляцид хэрхэн нөлөөлж байгааг дахин үнэлэх, зээлийн хурдацтай </w:t>
      </w:r>
      <w:r w:rsidR="001D3B37">
        <w:rPr>
          <w:rFonts w:ascii="Arial" w:hAnsi="Arial" w:cs="Arial"/>
          <w:bCs/>
          <w:sz w:val="18"/>
          <w:szCs w:val="18"/>
          <w:lang w:val="mn-MN"/>
        </w:rPr>
        <w:t>өсөлт нь сүүлийн саруудад буурч байгаа хандлага ажиглагдаж байгаа боловч голлох з</w:t>
      </w:r>
      <w:r>
        <w:rPr>
          <w:rFonts w:ascii="Arial" w:hAnsi="Arial" w:cs="Arial"/>
          <w:bCs/>
          <w:sz w:val="18"/>
          <w:szCs w:val="18"/>
          <w:lang w:val="mn-MN"/>
        </w:rPr>
        <w:t xml:space="preserve">ээлийн </w:t>
      </w:r>
      <w:r>
        <w:rPr>
          <w:rFonts w:ascii="Arial" w:hAnsi="Arial" w:cs="Arial"/>
          <w:bCs/>
          <w:sz w:val="18"/>
          <w:szCs w:val="18"/>
          <w:lang w:val="mn-MN"/>
        </w:rPr>
        <w:lastRenderedPageBreak/>
        <w:t>хөтөлбөрүүд үргэлжилж байгаа тохиолдолд мөнгөний бодлогы</w:t>
      </w:r>
      <w:r w:rsidR="001D3B37">
        <w:rPr>
          <w:rFonts w:ascii="Arial" w:hAnsi="Arial" w:cs="Arial"/>
          <w:bCs/>
          <w:sz w:val="18"/>
          <w:szCs w:val="18"/>
          <w:lang w:val="mn-MN"/>
        </w:rPr>
        <w:t>н</w:t>
      </w:r>
      <w:r>
        <w:rPr>
          <w:rFonts w:ascii="Arial" w:hAnsi="Arial" w:cs="Arial"/>
          <w:bCs/>
          <w:sz w:val="18"/>
          <w:szCs w:val="18"/>
          <w:lang w:val="mn-MN"/>
        </w:rPr>
        <w:t xml:space="preserve"> сулр</w:t>
      </w:r>
      <w:r w:rsidR="001D3B37">
        <w:rPr>
          <w:rFonts w:ascii="Arial" w:hAnsi="Arial" w:cs="Arial"/>
          <w:bCs/>
          <w:sz w:val="18"/>
          <w:szCs w:val="18"/>
          <w:lang w:val="mn-MN"/>
        </w:rPr>
        <w:t>алт хэвээрээ</w:t>
      </w:r>
      <w:r>
        <w:rPr>
          <w:rFonts w:ascii="Arial" w:hAnsi="Arial" w:cs="Arial"/>
          <w:bCs/>
          <w:sz w:val="18"/>
          <w:szCs w:val="18"/>
          <w:lang w:val="mn-MN"/>
        </w:rPr>
        <w:t xml:space="preserve"> байна. Нийгмийн чанартай, зорилготой бодлогын зээлийн хөтөлбөрүүдийг хэрэгжүүлэх шаардлагатай бол, тэд хэрвээ үнэхээр шаардлагатай бол төсвөөр дамжин хэрэгжих ёстой</w:t>
      </w:r>
      <w:r w:rsidR="008751B5" w:rsidRPr="00B10678">
        <w:rPr>
          <w:rFonts w:ascii="Arial" w:hAnsi="Arial" w:cs="Arial"/>
          <w:bCs/>
          <w:sz w:val="18"/>
          <w:szCs w:val="18"/>
        </w:rPr>
        <w:t xml:space="preserve">. </w:t>
      </w:r>
    </w:p>
    <w:p w14:paraId="5D4807A1" w14:textId="77777777" w:rsidR="00477EFB" w:rsidRPr="00477EFB" w:rsidRDefault="00477EFB" w:rsidP="00660167">
      <w:pPr>
        <w:pStyle w:val="ListParagraph"/>
        <w:spacing w:before="60" w:after="60" w:line="264" w:lineRule="auto"/>
        <w:rPr>
          <w:rFonts w:ascii="Arial" w:hAnsi="Arial" w:cs="Arial"/>
          <w:b/>
          <w:bCs/>
          <w:sz w:val="8"/>
          <w:szCs w:val="18"/>
        </w:rPr>
      </w:pPr>
    </w:p>
    <w:p w14:paraId="7EC38E43" w14:textId="75039801" w:rsidR="00D1149A" w:rsidRDefault="00046FF6" w:rsidP="00660167">
      <w:pPr>
        <w:pStyle w:val="ListParagraph"/>
        <w:numPr>
          <w:ilvl w:val="0"/>
          <w:numId w:val="16"/>
        </w:numPr>
        <w:spacing w:before="60" w:after="60" w:line="264" w:lineRule="auto"/>
        <w:ind w:left="450" w:hanging="270"/>
        <w:jc w:val="both"/>
        <w:rPr>
          <w:rFonts w:ascii="Arial" w:hAnsi="Arial" w:cs="Arial"/>
          <w:bCs/>
          <w:sz w:val="18"/>
          <w:szCs w:val="18"/>
        </w:rPr>
      </w:pPr>
      <w:r>
        <w:rPr>
          <w:rFonts w:ascii="Arial" w:hAnsi="Arial" w:cs="Arial"/>
          <w:b/>
          <w:bCs/>
          <w:sz w:val="18"/>
          <w:szCs w:val="18"/>
          <w:lang w:val="mn-MN"/>
        </w:rPr>
        <w:t>Банкны тогтолцооны хяналт шалгалтыг сайжруулах хэрэгтэй.</w:t>
      </w:r>
      <w:r>
        <w:rPr>
          <w:rFonts w:ascii="Arial" w:hAnsi="Arial" w:cs="Arial"/>
          <w:bCs/>
          <w:sz w:val="18"/>
          <w:szCs w:val="18"/>
        </w:rPr>
        <w:t xml:space="preserve"> </w:t>
      </w:r>
      <w:r>
        <w:rPr>
          <w:rFonts w:ascii="Arial" w:hAnsi="Arial" w:cs="Arial"/>
          <w:bCs/>
          <w:sz w:val="18"/>
          <w:szCs w:val="18"/>
          <w:lang w:val="mn-MN"/>
        </w:rPr>
        <w:t>Энэ жилийн эхээр хөрөнгийн хүрэлцээтэй байдлыг сайжруулах, Хадгаламжийн Даатгалын Корпорацийг байгуулсан нь сайн эхлэлийг тавьсан. Санхүүгийн салбарын эрсдлүүдээс зээлийн хурда</w:t>
      </w:r>
      <w:r w:rsidR="001D3B37">
        <w:rPr>
          <w:rFonts w:ascii="Arial" w:hAnsi="Arial" w:cs="Arial"/>
          <w:bCs/>
          <w:sz w:val="18"/>
          <w:szCs w:val="18"/>
          <w:lang w:val="mn-MN"/>
        </w:rPr>
        <w:t>ц</w:t>
      </w:r>
      <w:r>
        <w:rPr>
          <w:rFonts w:ascii="Arial" w:hAnsi="Arial" w:cs="Arial"/>
          <w:bCs/>
          <w:sz w:val="18"/>
          <w:szCs w:val="18"/>
          <w:lang w:val="mn-MN"/>
        </w:rPr>
        <w:t>тай өсөлт</w:t>
      </w:r>
      <w:r w:rsidR="001D3B37">
        <w:rPr>
          <w:rFonts w:ascii="Arial" w:hAnsi="Arial" w:cs="Arial"/>
          <w:bCs/>
          <w:sz w:val="18"/>
          <w:szCs w:val="18"/>
          <w:lang w:val="mn-MN"/>
        </w:rPr>
        <w:t>өөс</w:t>
      </w:r>
      <w:r>
        <w:rPr>
          <w:rFonts w:ascii="Arial" w:hAnsi="Arial" w:cs="Arial"/>
          <w:bCs/>
          <w:sz w:val="18"/>
          <w:szCs w:val="18"/>
          <w:lang w:val="mn-MN"/>
        </w:rPr>
        <w:t xml:space="preserve"> сэргийлэхийн тулд зохицуулалтын болон хяналт шалгалтын хүрээг илүү хүчтэй болгох, ялангуяа системийн хувьд чухал банкуу</w:t>
      </w:r>
      <w:r w:rsidR="001D3B37">
        <w:rPr>
          <w:rFonts w:ascii="Arial" w:hAnsi="Arial" w:cs="Arial"/>
          <w:bCs/>
          <w:sz w:val="18"/>
          <w:szCs w:val="18"/>
          <w:lang w:val="mn-MN"/>
        </w:rPr>
        <w:t>д</w:t>
      </w:r>
      <w:r>
        <w:rPr>
          <w:rFonts w:ascii="Arial" w:hAnsi="Arial" w:cs="Arial"/>
          <w:bCs/>
          <w:sz w:val="18"/>
          <w:szCs w:val="18"/>
          <w:lang w:val="mn-MN"/>
        </w:rPr>
        <w:t xml:space="preserve">ын хөрөнгийн хүрэлцээтэй байдлын үзүүлэлт, зээл гаргах явцыг сайжруулах, дотоод хяналтыг дээшлүүлэх нь чухал байна. Одоогийн зээлийн өсөлт хурдацтай байгаа энэ үед барилгын болон орон сууцны салбаруудад илүү өндөржүүлсэн хяналт шалгалт хэрэгтэй. Бодлогын зээлүүдэд оновчтой зохицуулалтыг зөөлрүүлсэнийг зогсоох шаардлагатай бөгөөд энэ </w:t>
      </w:r>
      <w:r w:rsidR="001D3B37">
        <w:rPr>
          <w:rFonts w:ascii="Arial" w:hAnsi="Arial" w:cs="Arial"/>
          <w:bCs/>
          <w:sz w:val="18"/>
          <w:szCs w:val="18"/>
          <w:lang w:val="mn-MN"/>
        </w:rPr>
        <w:t>з</w:t>
      </w:r>
      <w:r>
        <w:rPr>
          <w:rFonts w:ascii="Arial" w:hAnsi="Arial" w:cs="Arial"/>
          <w:bCs/>
          <w:sz w:val="18"/>
          <w:szCs w:val="18"/>
          <w:lang w:val="mn-MN"/>
        </w:rPr>
        <w:t>ээлийн эрсдэл нь банкны тогтолцоонд муугаар нөлөөлөх талтай</w:t>
      </w:r>
      <w:r w:rsidR="008751B5" w:rsidRPr="00477EFB">
        <w:rPr>
          <w:rFonts w:ascii="Arial" w:hAnsi="Arial" w:cs="Arial"/>
          <w:bCs/>
          <w:sz w:val="18"/>
          <w:szCs w:val="18"/>
        </w:rPr>
        <w:t xml:space="preserve">. </w:t>
      </w:r>
    </w:p>
    <w:p w14:paraId="772CF101" w14:textId="77777777" w:rsidR="0061063F" w:rsidRPr="00660167" w:rsidRDefault="0061063F" w:rsidP="00660167">
      <w:pPr>
        <w:pStyle w:val="ListParagraph"/>
        <w:rPr>
          <w:rFonts w:ascii="Arial" w:hAnsi="Arial" w:cs="Arial"/>
          <w:bCs/>
          <w:sz w:val="4"/>
          <w:szCs w:val="18"/>
        </w:rPr>
      </w:pPr>
    </w:p>
    <w:p w14:paraId="21E17092" w14:textId="6DE7C82C" w:rsidR="001D3B37" w:rsidRDefault="00046FF6" w:rsidP="00660167">
      <w:pPr>
        <w:pStyle w:val="ListParagraph"/>
        <w:numPr>
          <w:ilvl w:val="0"/>
          <w:numId w:val="16"/>
        </w:numPr>
        <w:spacing w:before="60" w:after="60" w:line="264" w:lineRule="auto"/>
        <w:ind w:left="450" w:hanging="270"/>
        <w:jc w:val="both"/>
        <w:rPr>
          <w:rFonts w:ascii="Arial" w:hAnsi="Arial" w:cs="Arial"/>
          <w:bCs/>
          <w:sz w:val="18"/>
          <w:szCs w:val="18"/>
        </w:rPr>
      </w:pPr>
      <w:r>
        <w:rPr>
          <w:rFonts w:ascii="Arial" w:hAnsi="Arial" w:cs="Arial"/>
          <w:b/>
          <w:bCs/>
          <w:sz w:val="18"/>
          <w:szCs w:val="18"/>
          <w:lang w:val="mn-MN"/>
        </w:rPr>
        <w:t>Хөрөнгө оруулалтын орчинг үргэлжлүүлэн сайжруулах</w:t>
      </w:r>
      <w:r w:rsidRPr="008751B5">
        <w:rPr>
          <w:rFonts w:ascii="Arial" w:hAnsi="Arial" w:cs="Arial"/>
          <w:b/>
          <w:bCs/>
          <w:sz w:val="18"/>
          <w:szCs w:val="18"/>
        </w:rPr>
        <w:t>.</w:t>
      </w:r>
      <w:r w:rsidRPr="008751B5">
        <w:rPr>
          <w:rFonts w:ascii="Arial" w:hAnsi="Arial" w:cs="Arial"/>
          <w:bCs/>
          <w:sz w:val="18"/>
          <w:szCs w:val="18"/>
        </w:rPr>
        <w:t xml:space="preserve"> </w:t>
      </w:r>
      <w:r>
        <w:rPr>
          <w:rFonts w:ascii="Arial" w:hAnsi="Arial" w:cs="Arial"/>
          <w:bCs/>
          <w:sz w:val="18"/>
          <w:szCs w:val="18"/>
          <w:lang w:val="mn-MN"/>
        </w:rPr>
        <w:t xml:space="preserve">Саяхан баталсан Хөрөнгө оруулалтын тухай хууль нь гадаадын болон дотоодын хөрөнгө оруулагчдад бизнесийн илүү таатай орчинг бүрдүүлэх замаар хөрөнгө оруулагчдын итгэлийг нэмэгдүүлэхэд тусална. Хөрөнгө оруулалттай холбоотой зохицуулалт, </w:t>
      </w:r>
      <w:r w:rsidR="001D3B37">
        <w:rPr>
          <w:rFonts w:ascii="Arial" w:hAnsi="Arial" w:cs="Arial"/>
          <w:bCs/>
          <w:sz w:val="18"/>
          <w:szCs w:val="18"/>
          <w:lang w:val="mn-MN"/>
        </w:rPr>
        <w:t xml:space="preserve">бодлогын </w:t>
      </w:r>
      <w:r>
        <w:rPr>
          <w:rFonts w:ascii="Arial" w:hAnsi="Arial" w:cs="Arial"/>
          <w:bCs/>
          <w:sz w:val="18"/>
          <w:szCs w:val="18"/>
          <w:lang w:val="mn-MN"/>
        </w:rPr>
        <w:t>уялд</w:t>
      </w:r>
      <w:r w:rsidR="001D3B37">
        <w:rPr>
          <w:rFonts w:ascii="Arial" w:hAnsi="Arial" w:cs="Arial"/>
          <w:bCs/>
          <w:sz w:val="18"/>
          <w:szCs w:val="18"/>
          <w:lang w:val="mn-MN"/>
        </w:rPr>
        <w:t>аатай х</w:t>
      </w:r>
      <w:r>
        <w:rPr>
          <w:rFonts w:ascii="Arial" w:hAnsi="Arial" w:cs="Arial"/>
          <w:bCs/>
          <w:sz w:val="18"/>
          <w:szCs w:val="18"/>
          <w:lang w:val="mn-MN"/>
        </w:rPr>
        <w:t>эрэгжилтий</w:t>
      </w:r>
      <w:r w:rsidR="001D3B37">
        <w:rPr>
          <w:rFonts w:ascii="Arial" w:hAnsi="Arial" w:cs="Arial"/>
          <w:bCs/>
          <w:sz w:val="18"/>
          <w:szCs w:val="18"/>
          <w:lang w:val="mn-MN"/>
        </w:rPr>
        <w:t>г</w:t>
      </w:r>
      <w:r>
        <w:rPr>
          <w:rFonts w:ascii="Arial" w:hAnsi="Arial" w:cs="Arial"/>
          <w:bCs/>
          <w:sz w:val="18"/>
          <w:szCs w:val="18"/>
          <w:lang w:val="mn-MN"/>
        </w:rPr>
        <w:t xml:space="preserve"> </w:t>
      </w:r>
      <w:r w:rsidR="001D3B37">
        <w:rPr>
          <w:rFonts w:ascii="Arial" w:hAnsi="Arial" w:cs="Arial"/>
          <w:bCs/>
          <w:sz w:val="18"/>
          <w:szCs w:val="18"/>
          <w:lang w:val="mn-MN"/>
        </w:rPr>
        <w:t xml:space="preserve">хийснээр </w:t>
      </w:r>
      <w:r>
        <w:rPr>
          <w:rFonts w:ascii="Arial" w:hAnsi="Arial" w:cs="Arial"/>
          <w:bCs/>
          <w:sz w:val="18"/>
          <w:szCs w:val="18"/>
          <w:lang w:val="mn-MN"/>
        </w:rPr>
        <w:t xml:space="preserve">энэхүү эерэг эхлэлийг улам </w:t>
      </w:r>
      <w:r w:rsidR="001D3B37">
        <w:rPr>
          <w:rFonts w:ascii="Arial" w:hAnsi="Arial" w:cs="Arial"/>
          <w:bCs/>
          <w:sz w:val="18"/>
          <w:szCs w:val="18"/>
          <w:lang w:val="mn-MN"/>
        </w:rPr>
        <w:t>сайжруулна</w:t>
      </w:r>
      <w:r w:rsidR="00BE4C93" w:rsidRPr="008751B5">
        <w:rPr>
          <w:rFonts w:ascii="Arial" w:hAnsi="Arial" w:cs="Arial"/>
          <w:bCs/>
          <w:sz w:val="18"/>
          <w:szCs w:val="18"/>
        </w:rPr>
        <w:t>.</w:t>
      </w:r>
    </w:p>
    <w:p w14:paraId="53AD5EB6" w14:textId="77777777" w:rsidR="001D3B37" w:rsidRDefault="001D3B37">
      <w:pPr>
        <w:rPr>
          <w:rFonts w:ascii="Arial" w:hAnsi="Arial" w:cs="Arial"/>
          <w:bCs/>
          <w:sz w:val="18"/>
          <w:szCs w:val="18"/>
        </w:rPr>
      </w:pPr>
      <w:r>
        <w:rPr>
          <w:rFonts w:ascii="Arial" w:hAnsi="Arial" w:cs="Arial"/>
          <w:bCs/>
          <w:sz w:val="18"/>
          <w:szCs w:val="18"/>
        </w:rPr>
        <w:br w:type="page"/>
      </w:r>
    </w:p>
    <w:tbl>
      <w:tblPr>
        <w:tblW w:w="0" w:type="auto"/>
        <w:shd w:val="clear" w:color="auto" w:fill="984806" w:themeFill="accent6" w:themeFillShade="80"/>
        <w:tblLook w:val="04A0" w:firstRow="1" w:lastRow="0" w:firstColumn="1" w:lastColumn="0" w:noHBand="0" w:noVBand="1"/>
      </w:tblPr>
      <w:tblGrid>
        <w:gridCol w:w="9516"/>
      </w:tblGrid>
      <w:tr w:rsidR="00D1149A" w:rsidRPr="005708D6" w14:paraId="6540D284" w14:textId="77777777" w:rsidTr="00660167">
        <w:trPr>
          <w:trHeight w:val="1187"/>
        </w:trPr>
        <w:tc>
          <w:tcPr>
            <w:tcW w:w="9516" w:type="dxa"/>
            <w:shd w:val="clear" w:color="auto" w:fill="984806" w:themeFill="accent6" w:themeFillShade="80"/>
            <w:vAlign w:val="center"/>
          </w:tcPr>
          <w:p w14:paraId="2CF93B07" w14:textId="6EDF98D6" w:rsidR="000F6650" w:rsidRDefault="00B071DD" w:rsidP="00660167">
            <w:pPr>
              <w:rPr>
                <w:rFonts w:ascii="Arial" w:hAnsi="Arial" w:cs="Arial"/>
                <w:color w:val="F9FAFD" w:themeColor="accent1" w:themeTint="08"/>
                <w:spacing w:val="10"/>
                <w:sz w:val="32"/>
                <w14:shadow w14:blurRad="50901" w14:dist="38493" w14:dir="13500000" w14:sx="0" w14:sy="0" w14:kx="0" w14:ky="0" w14:algn="none">
                  <w14:srgbClr w14:val="000000">
                    <w14:alpha w14:val="40000"/>
                  </w14:srgbClr>
                </w14:shadow>
                <w14:textOutline w14:w="6743" w14:cap="flat" w14:cmpd="sng" w14:algn="ctr">
                  <w14:solidFill>
                    <w14:schemeClr w14:val="accent1">
                      <w14:alpha w14:val="93500"/>
                      <w14:shade w14:val="2500"/>
                    </w14:schemeClr>
                  </w14:solidFill>
                  <w14:prstDash w14:val="solid"/>
                  <w14:round/>
                </w14:textOutline>
                <w14:textFill>
                  <w14:solidFill>
                    <w14:schemeClr w14:val="accent1">
                      <w14:alpha w14:val="5000"/>
                      <w14:lumMod w14:val="3000"/>
                      <w14:lumOff w14:val="97000"/>
                    </w14:schemeClr>
                  </w14:solidFill>
                </w14:textFill>
              </w:rPr>
            </w:pPr>
            <w:r>
              <w:rPr>
                <w:rFonts w:ascii="Arial" w:hAnsi="Arial" w:cs="Arial"/>
                <w:bCs/>
                <w:sz w:val="18"/>
                <w:szCs w:val="18"/>
              </w:rPr>
              <w:lastRenderedPageBreak/>
              <w:br w:type="page"/>
            </w:r>
            <w:r w:rsidR="00D1149A" w:rsidRPr="003B6A10">
              <w:rPr>
                <w:rFonts w:ascii="Arial" w:hAnsi="Arial" w:cs="Arial"/>
                <w:color w:val="F9FAFD" w:themeColor="accent1" w:themeTint="08"/>
                <w:spacing w:val="10"/>
                <w:sz w:val="32"/>
                <w14:shadow w14:blurRad="50901" w14:dist="38493" w14:dir="13500000" w14:sx="0" w14:sy="0" w14:kx="0" w14:ky="0" w14:algn="none">
                  <w14:srgbClr w14:val="000000">
                    <w14:alpha w14:val="40000"/>
                  </w14:srgbClr>
                </w14:shadow>
                <w14:textOutline w14:w="6743" w14:cap="flat" w14:cmpd="sng" w14:algn="ctr">
                  <w14:solidFill>
                    <w14:schemeClr w14:val="accent1">
                      <w14:alpha w14:val="93500"/>
                      <w14:shade w14:val="2500"/>
                    </w14:schemeClr>
                  </w14:solidFill>
                  <w14:prstDash w14:val="solid"/>
                  <w14:round/>
                </w14:textOutline>
                <w14:textFill>
                  <w14:solidFill>
                    <w14:schemeClr w14:val="accent1">
                      <w14:alpha w14:val="5000"/>
                      <w14:lumMod w14:val="3000"/>
                      <w14:lumOff w14:val="97000"/>
                    </w14:schemeClr>
                  </w14:solidFill>
                </w14:textFill>
              </w:rPr>
              <w:t xml:space="preserve"> </w:t>
            </w:r>
          </w:p>
          <w:p w14:paraId="5816E272" w14:textId="4F86202B" w:rsidR="000F6650" w:rsidRPr="00660167" w:rsidRDefault="00046FF6" w:rsidP="00660167">
            <w:pPr>
              <w:pStyle w:val="Heading2"/>
              <w:spacing w:before="0"/>
              <w:ind w:left="990" w:right="1110" w:hanging="990"/>
              <w:rPr>
                <w:rFonts w:ascii="Arial" w:hAnsi="Arial" w:cs="Arial"/>
                <w:color w:val="EEECE1" w:themeColor="background2"/>
                <w:sz w:val="32"/>
                <w:lang w:val="mn-MN"/>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bookmarkStart w:id="2" w:name="_Toc370981660"/>
            <w:bookmarkStart w:id="3" w:name="_Toc371338271"/>
            <w:r>
              <w:rPr>
                <w:rFonts w:ascii="Arial" w:hAnsi="Arial" w:cs="Arial"/>
                <w:color w:val="EEECE1" w:themeColor="background2"/>
                <w:sz w:val="32"/>
                <w:lang w:val="mn-MN"/>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Бүлэг</w:t>
            </w:r>
            <w:r w:rsidR="000F6650" w:rsidRPr="003B6A10">
              <w:rPr>
                <w:rFonts w:ascii="Arial" w:hAnsi="Arial" w:cs="Arial"/>
                <w:color w:val="EEECE1" w:themeColor="background2"/>
                <w:sz w:val="32"/>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I. </w:t>
            </w:r>
            <w:bookmarkStart w:id="4" w:name="_Toc370981661"/>
            <w:bookmarkEnd w:id="2"/>
            <w:r w:rsidRPr="00660167">
              <w:rPr>
                <w:rFonts w:ascii="Arial" w:hAnsi="Arial" w:cs="Arial"/>
                <w:color w:val="EEECE1" w:themeColor="background2"/>
                <w:sz w:val="32"/>
                <w:lang w:val="mn-MN"/>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Дэлхийн болон бүс нутгийн эдийн засгийн хөгжил, хэтийн  төлөв</w:t>
            </w:r>
            <w:r w:rsidR="000F6650" w:rsidRPr="00660167">
              <w:rPr>
                <w:sz w:val="32"/>
                <w:lang w:val="mn-MN"/>
              </w:rPr>
              <w:footnoteReference w:id="1"/>
            </w:r>
            <w:bookmarkEnd w:id="3"/>
            <w:bookmarkEnd w:id="4"/>
            <w:r w:rsidR="000F6650" w:rsidRPr="00660167">
              <w:rPr>
                <w:rFonts w:ascii="Arial" w:hAnsi="Arial" w:cs="Arial"/>
                <w:color w:val="EEECE1" w:themeColor="background2"/>
                <w:sz w:val="32"/>
                <w:lang w:val="mn-MN"/>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p>
          <w:p w14:paraId="3D9DAE9F" w14:textId="428F1E28" w:rsidR="00D1149A" w:rsidRPr="005708D6" w:rsidRDefault="00D1149A" w:rsidP="00660167">
            <w:pPr>
              <w:pStyle w:val="Heading2"/>
              <w:spacing w:before="0"/>
              <w:ind w:left="1440" w:hanging="1440"/>
              <w:rPr>
                <w:rFonts w:ascii="Arial" w:hAnsi="Arial" w:cs="Arial"/>
                <w:i/>
                <w:color w:val="EEECE1" w:themeColor="background2"/>
                <w:sz w:val="32"/>
                <w:szCs w:val="22"/>
                <w:lang w:eastAsia="ko-KR"/>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3B6A10">
              <w:rPr>
                <w:rFonts w:ascii="Arial" w:hAnsi="Arial" w:cs="Arial"/>
                <w:color w:val="F9FAFD" w:themeColor="accent1" w:themeTint="08"/>
                <w:spacing w:val="10"/>
                <w:sz w:val="32"/>
                <w14:shadow w14:blurRad="50901" w14:dist="38493" w14:dir="13500000" w14:sx="0" w14:sy="0" w14:kx="0" w14:ky="0" w14:algn="none">
                  <w14:srgbClr w14:val="000000">
                    <w14:alpha w14:val="40000"/>
                  </w14:srgbClr>
                </w14:shadow>
                <w14:textOutline w14:w="6743" w14:cap="flat" w14:cmpd="sng" w14:algn="ctr">
                  <w14:solidFill>
                    <w14:schemeClr w14:val="accent1">
                      <w14:alpha w14:val="93500"/>
                      <w14:shade w14:val="2500"/>
                    </w14:schemeClr>
                  </w14:solidFill>
                  <w14:prstDash w14:val="solid"/>
                  <w14:round/>
                </w14:textOutline>
                <w14:textFill>
                  <w14:solidFill>
                    <w14:schemeClr w14:val="accent1">
                      <w14:alpha w14:val="5000"/>
                      <w14:lumMod w14:val="3000"/>
                      <w14:lumOff w14:val="97000"/>
                    </w14:schemeClr>
                  </w14:solidFill>
                </w14:textFill>
              </w:rPr>
              <w:t xml:space="preserve"> </w:t>
            </w:r>
            <w:r w:rsidR="001502FE">
              <w:rPr>
                <w:rFonts w:ascii="Arial" w:hAnsi="Arial" w:cs="Arial"/>
                <w:color w:val="EEECE1" w:themeColor="background2"/>
                <w:sz w:val="32"/>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3B6A10">
              <w:rPr>
                <w:rFonts w:ascii="Arial" w:hAnsi="Arial" w:cs="Arial"/>
                <w:color w:val="EEECE1" w:themeColor="background2"/>
                <w:sz w:val="32"/>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p>
        </w:tc>
      </w:tr>
    </w:tbl>
    <w:p w14:paraId="652676A5" w14:textId="0463CB05" w:rsidR="00046FF6" w:rsidRPr="006B2970" w:rsidRDefault="00046FF6" w:rsidP="00046FF6">
      <w:pPr>
        <w:pStyle w:val="Heading2"/>
        <w:pBdr>
          <w:bottom w:val="single" w:sz="4" w:space="1" w:color="auto"/>
        </w:pBdr>
        <w:rPr>
          <w:rFonts w:asciiTheme="minorHAnsi" w:hAnsiTheme="minorHAnsi" w:cstheme="minorHAnsi"/>
          <w:color w:val="002060"/>
          <w:sz w:val="24"/>
          <w:lang w:eastAsia="ko-KR"/>
        </w:rPr>
      </w:pPr>
      <w:bookmarkStart w:id="5" w:name="_Toc370917964"/>
      <w:bookmarkStart w:id="6" w:name="_Toc371338272"/>
      <w:bookmarkStart w:id="7" w:name="_Toc370981662"/>
      <w:r>
        <w:rPr>
          <w:rFonts w:asciiTheme="minorHAnsi" w:hAnsiTheme="minorHAnsi" w:cstheme="minorHAnsi"/>
          <w:color w:val="002060"/>
          <w:sz w:val="24"/>
          <w:lang w:val="mn-MN" w:eastAsia="ko-KR"/>
        </w:rPr>
        <w:t>Сүүлийн саруудад томоохон хөгжсөн орнууд</w:t>
      </w:r>
      <w:r w:rsidR="00347E61">
        <w:rPr>
          <w:rFonts w:asciiTheme="minorHAnsi" w:hAnsiTheme="minorHAnsi" w:cstheme="minorHAnsi"/>
          <w:color w:val="002060"/>
          <w:sz w:val="24"/>
          <w:lang w:val="mn-MN" w:eastAsia="ko-KR"/>
        </w:rPr>
        <w:t>ад</w:t>
      </w:r>
      <w:r>
        <w:rPr>
          <w:rFonts w:asciiTheme="minorHAnsi" w:hAnsiTheme="minorHAnsi" w:cstheme="minorHAnsi"/>
          <w:color w:val="002060"/>
          <w:sz w:val="24"/>
          <w:lang w:val="mn-MN" w:eastAsia="ko-KR"/>
        </w:rPr>
        <w:t xml:space="preserve"> сэргэлт </w:t>
      </w:r>
      <w:r w:rsidR="00347E61">
        <w:rPr>
          <w:rFonts w:asciiTheme="minorHAnsi" w:hAnsiTheme="minorHAnsi" w:cstheme="minorHAnsi"/>
          <w:color w:val="002060"/>
          <w:sz w:val="24"/>
          <w:lang w:val="mn-MN" w:eastAsia="ko-KR"/>
        </w:rPr>
        <w:t>гарч</w:t>
      </w:r>
      <w:r>
        <w:rPr>
          <w:rFonts w:asciiTheme="minorHAnsi" w:hAnsiTheme="minorHAnsi" w:cstheme="minorHAnsi"/>
          <w:color w:val="002060"/>
          <w:sz w:val="24"/>
          <w:lang w:val="mn-MN" w:eastAsia="ko-KR"/>
        </w:rPr>
        <w:t xml:space="preserve"> эхэллээ</w:t>
      </w:r>
      <w:bookmarkEnd w:id="5"/>
      <w:bookmarkEnd w:id="6"/>
    </w:p>
    <w:bookmarkEnd w:id="7"/>
    <w:p w14:paraId="62388F61" w14:textId="77777777" w:rsidR="00D1149A" w:rsidRDefault="00D1149A" w:rsidP="00D1149A">
      <w:pPr>
        <w:pStyle w:val="NoSpacing"/>
        <w:rPr>
          <w:lang w:eastAsia="ko-KR"/>
        </w:rPr>
      </w:pPr>
    </w:p>
    <w:p w14:paraId="2EE15C4C" w14:textId="214E6446" w:rsidR="00D1149A" w:rsidRPr="00492FC3" w:rsidRDefault="00046FF6" w:rsidP="00D1149A">
      <w:pPr>
        <w:autoSpaceDE w:val="0"/>
        <w:autoSpaceDN w:val="0"/>
        <w:adjustRightInd w:val="0"/>
        <w:spacing w:after="0"/>
        <w:jc w:val="both"/>
        <w:rPr>
          <w:rFonts w:ascii="Arial" w:hAnsi="Arial" w:cs="Arial"/>
          <w:sz w:val="20"/>
          <w:szCs w:val="20"/>
        </w:rPr>
      </w:pPr>
      <w:r>
        <w:rPr>
          <w:rFonts w:ascii="Arial" w:hAnsi="Arial" w:cs="Arial"/>
          <w:b/>
          <w:sz w:val="20"/>
          <w:szCs w:val="20"/>
          <w:lang w:val="mn-MN"/>
        </w:rPr>
        <w:t xml:space="preserve">Голлох хөгжсөн эдийн засгуудад сэргэлт бий болж эхэлснээр, дэлхийн эдийн засгийн өсөлтийн хэтийн төлөв илүү нааштай болж байна. </w:t>
      </w:r>
      <w:r>
        <w:rPr>
          <w:rFonts w:ascii="Arial" w:hAnsi="Arial" w:cs="Arial"/>
          <w:sz w:val="20"/>
          <w:szCs w:val="20"/>
          <w:lang w:val="mn-MN"/>
        </w:rPr>
        <w:t xml:space="preserve">2010 оны дунд үеэс хойш анх удаа Евро бүс нутаг, Япон, АНУ нь </w:t>
      </w:r>
      <w:r w:rsidRPr="005708D6">
        <w:rPr>
          <w:rFonts w:ascii="Arial" w:hAnsi="Arial" w:cs="Arial"/>
          <w:sz w:val="20"/>
          <w:szCs w:val="20"/>
        </w:rPr>
        <w:t>(</w:t>
      </w:r>
      <w:r>
        <w:rPr>
          <w:rFonts w:ascii="Arial" w:hAnsi="Arial" w:cs="Arial"/>
          <w:sz w:val="20"/>
          <w:szCs w:val="20"/>
          <w:lang w:val="mn-MN"/>
        </w:rPr>
        <w:t xml:space="preserve">улирлын нөлөөг арилгасан </w:t>
      </w:r>
      <w:r w:rsidR="001D3B37">
        <w:rPr>
          <w:rFonts w:ascii="Arial" w:hAnsi="Arial" w:cs="Arial"/>
          <w:sz w:val="20"/>
          <w:szCs w:val="20"/>
          <w:lang w:val="mn-MN"/>
        </w:rPr>
        <w:t xml:space="preserve">хэмжээг </w:t>
      </w:r>
      <w:r>
        <w:rPr>
          <w:rFonts w:ascii="Arial" w:hAnsi="Arial" w:cs="Arial"/>
          <w:sz w:val="20"/>
          <w:szCs w:val="20"/>
          <w:lang w:val="mn-MN"/>
        </w:rPr>
        <w:t>өмнөх улиралтай нь харьцуулбал</w:t>
      </w:r>
      <w:r w:rsidRPr="005708D6">
        <w:rPr>
          <w:rFonts w:ascii="Arial" w:hAnsi="Arial" w:cs="Arial"/>
          <w:sz w:val="20"/>
          <w:szCs w:val="20"/>
        </w:rPr>
        <w:t xml:space="preserve">) </w:t>
      </w:r>
      <w:r>
        <w:rPr>
          <w:rFonts w:ascii="Arial" w:hAnsi="Arial" w:cs="Arial"/>
          <w:sz w:val="20"/>
          <w:szCs w:val="20"/>
          <w:lang w:val="mn-MN"/>
        </w:rPr>
        <w:t xml:space="preserve">2013 оны хоёр дугаар улиралд эерэг өсөлттэй гарлаа. </w:t>
      </w:r>
      <w:proofErr w:type="gramStart"/>
      <w:r>
        <w:rPr>
          <w:rFonts w:ascii="Arial" w:hAnsi="Arial" w:cs="Arial"/>
          <w:sz w:val="20"/>
          <w:szCs w:val="20"/>
        </w:rPr>
        <w:t>(</w:t>
      </w:r>
      <w:r>
        <w:rPr>
          <w:rFonts w:ascii="Arial" w:hAnsi="Arial" w:cs="Arial"/>
          <w:sz w:val="20"/>
          <w:szCs w:val="20"/>
          <w:lang w:val="mn-MN"/>
        </w:rPr>
        <w:t>Зураг</w:t>
      </w:r>
      <w:r>
        <w:rPr>
          <w:rFonts w:ascii="Arial" w:hAnsi="Arial" w:cs="Arial"/>
          <w:sz w:val="20"/>
          <w:szCs w:val="20"/>
        </w:rPr>
        <w:t xml:space="preserve"> 1)</w:t>
      </w:r>
      <w:r w:rsidRPr="005708D6">
        <w:rPr>
          <w:rFonts w:ascii="Arial" w:hAnsi="Arial" w:cs="Arial"/>
          <w:sz w:val="20"/>
          <w:szCs w:val="20"/>
        </w:rPr>
        <w:t>.</w:t>
      </w:r>
      <w:proofErr w:type="gramEnd"/>
      <w:r w:rsidRPr="005708D6">
        <w:rPr>
          <w:rFonts w:ascii="Arial" w:hAnsi="Arial" w:cs="Arial"/>
          <w:sz w:val="20"/>
          <w:szCs w:val="20"/>
        </w:rPr>
        <w:t xml:space="preserve"> </w:t>
      </w:r>
      <w:r>
        <w:rPr>
          <w:rFonts w:ascii="Arial" w:hAnsi="Arial" w:cs="Arial"/>
          <w:sz w:val="20"/>
          <w:szCs w:val="20"/>
          <w:lang w:val="mn-MN"/>
        </w:rPr>
        <w:t>18 сарын турш үргэлжилсэн эдийн засгийн уналтын дараа Евро бүс нутаг нь 2013 оны 7 дугаар сараас хямралаас гарч эхэлсэн бөгөөд Япон улсын засгийн газраас илүү тэлсэн мөнгөний болон төсвийн бодлогуудын хэрэгжүүлэх шийдвэр гарсны үр дүнд гуравдугаар улиралд эдийн засгийн өсөлт нь хүлээгдэж байснаас өндөр өссөн байна. АНУ-ын эдийн засаг 2012 оны хоёрдугаар хагаст буурч байсан бол 2013 оны 2 дугаар улиралд эргээд өсөх хандлагатай байна</w:t>
      </w:r>
      <w:r w:rsidR="00D1149A" w:rsidRPr="00492FC3">
        <w:rPr>
          <w:rFonts w:ascii="Arial" w:hAnsi="Arial" w:cs="Arial"/>
          <w:sz w:val="20"/>
          <w:szCs w:val="20"/>
        </w:rPr>
        <w:t xml:space="preserve">. </w:t>
      </w:r>
    </w:p>
    <w:p w14:paraId="169EA435" w14:textId="77777777" w:rsidR="00D1149A" w:rsidRPr="00492FC3" w:rsidRDefault="00D1149A" w:rsidP="00D1149A">
      <w:pPr>
        <w:autoSpaceDE w:val="0"/>
        <w:autoSpaceDN w:val="0"/>
        <w:adjustRightInd w:val="0"/>
        <w:spacing w:after="0"/>
        <w:jc w:val="both"/>
        <w:rPr>
          <w:rFonts w:ascii="Arial" w:hAnsi="Arial" w:cs="Arial"/>
          <w:b/>
          <w:sz w:val="20"/>
          <w:szCs w:val="20"/>
        </w:rPr>
      </w:pPr>
    </w:p>
    <w:p w14:paraId="5F0E3B80" w14:textId="613E180D" w:rsidR="00D1149A" w:rsidRPr="00492FC3" w:rsidRDefault="00046FF6" w:rsidP="00D1149A">
      <w:pPr>
        <w:autoSpaceDE w:val="0"/>
        <w:autoSpaceDN w:val="0"/>
        <w:adjustRightInd w:val="0"/>
        <w:spacing w:after="0"/>
        <w:jc w:val="both"/>
        <w:rPr>
          <w:rFonts w:ascii="Arial" w:hAnsi="Arial" w:cs="Arial"/>
          <w:sz w:val="20"/>
          <w:szCs w:val="20"/>
        </w:rPr>
      </w:pPr>
      <w:r>
        <w:rPr>
          <w:rFonts w:ascii="Arial" w:hAnsi="Arial" w:cs="Arial"/>
          <w:b/>
          <w:sz w:val="20"/>
          <w:szCs w:val="20"/>
          <w:lang w:val="mn-MN"/>
        </w:rPr>
        <w:t>Өсөлтийн байдал зарим томоохон хөгжиж буй орнуудад ч мөн эрчимжиж байна.</w:t>
      </w:r>
      <w:r w:rsidRPr="005708D6">
        <w:rPr>
          <w:rFonts w:ascii="Arial" w:hAnsi="Arial" w:cs="Arial"/>
          <w:sz w:val="20"/>
          <w:szCs w:val="20"/>
        </w:rPr>
        <w:t xml:space="preserve"> </w:t>
      </w:r>
      <w:r>
        <w:rPr>
          <w:rFonts w:ascii="Arial" w:hAnsi="Arial" w:cs="Arial"/>
          <w:sz w:val="20"/>
          <w:szCs w:val="20"/>
        </w:rPr>
        <w:t>(</w:t>
      </w:r>
      <w:r>
        <w:rPr>
          <w:rFonts w:ascii="Arial" w:hAnsi="Arial" w:cs="Arial"/>
          <w:sz w:val="20"/>
          <w:szCs w:val="20"/>
          <w:lang w:val="mn-MN"/>
        </w:rPr>
        <w:t>Зураг</w:t>
      </w:r>
      <w:r>
        <w:rPr>
          <w:rFonts w:ascii="Arial" w:hAnsi="Arial" w:cs="Arial"/>
          <w:sz w:val="20"/>
          <w:szCs w:val="20"/>
        </w:rPr>
        <w:t xml:space="preserve"> 2) </w:t>
      </w:r>
      <w:r>
        <w:rPr>
          <w:rFonts w:ascii="Arial" w:hAnsi="Arial" w:cs="Arial"/>
          <w:sz w:val="20"/>
          <w:szCs w:val="20"/>
          <w:lang w:val="mn-MN"/>
        </w:rPr>
        <w:t>БНХАУ-ын улирлын өсөлт нь өсөн хоёрдугаар улиралд 7.5 хувьд хүрсэн бөгөөд энэ нь нэгдүгээр улиралд 6.3 хувь байснаа 3 дугаар улиралд 7.8 хувь болсон, мөн сүүлийн үеийн аж үйлдвэрийн салбарын үйлдвэрлэл, худалдааны тоо мэдээнээс харахад 2013 оны 3 дугаар улиралд нийт үйлдвэрлэл улам нэмэгдэхээр байна. Үүнтэй зэрэгцээд зарим хөгжиж буй гол орнуудад өсөлт хурдассан байна</w:t>
      </w:r>
      <w:r w:rsidRPr="005708D6">
        <w:rPr>
          <w:rFonts w:ascii="Arial" w:hAnsi="Arial" w:cs="Arial"/>
          <w:sz w:val="20"/>
          <w:szCs w:val="20"/>
        </w:rPr>
        <w:t xml:space="preserve"> (6 </w:t>
      </w:r>
      <w:r>
        <w:rPr>
          <w:rFonts w:ascii="Arial" w:hAnsi="Arial" w:cs="Arial"/>
          <w:sz w:val="20"/>
          <w:szCs w:val="20"/>
          <w:lang w:val="mn-MN"/>
        </w:rPr>
        <w:t>хувийн жилд шилжүүлсэн өсөлт</w:t>
      </w:r>
      <w:r w:rsidRPr="005708D6">
        <w:rPr>
          <w:rFonts w:ascii="Arial" w:hAnsi="Arial" w:cs="Arial"/>
          <w:sz w:val="20"/>
          <w:szCs w:val="20"/>
        </w:rPr>
        <w:t xml:space="preserve">), </w:t>
      </w:r>
      <w:r>
        <w:rPr>
          <w:rFonts w:ascii="Arial" w:hAnsi="Arial" w:cs="Arial"/>
          <w:sz w:val="20"/>
          <w:szCs w:val="20"/>
          <w:lang w:val="mn-MN"/>
        </w:rPr>
        <w:t>Өмнөд Африк</w:t>
      </w:r>
      <w:r w:rsidRPr="005708D6">
        <w:rPr>
          <w:rFonts w:ascii="Arial" w:hAnsi="Arial" w:cs="Arial"/>
          <w:sz w:val="20"/>
          <w:szCs w:val="20"/>
        </w:rPr>
        <w:t xml:space="preserve"> (3 </w:t>
      </w:r>
      <w:r>
        <w:rPr>
          <w:rFonts w:ascii="Arial" w:hAnsi="Arial" w:cs="Arial"/>
          <w:sz w:val="20"/>
          <w:szCs w:val="20"/>
          <w:lang w:val="mn-MN"/>
        </w:rPr>
        <w:t>хувь</w:t>
      </w:r>
      <w:r w:rsidRPr="005708D6">
        <w:rPr>
          <w:rFonts w:ascii="Arial" w:hAnsi="Arial" w:cs="Arial"/>
          <w:sz w:val="20"/>
          <w:szCs w:val="20"/>
        </w:rPr>
        <w:t xml:space="preserve">), </w:t>
      </w:r>
      <w:r>
        <w:rPr>
          <w:rFonts w:ascii="Arial" w:hAnsi="Arial" w:cs="Arial"/>
          <w:sz w:val="20"/>
          <w:szCs w:val="20"/>
          <w:lang w:val="mn-MN"/>
        </w:rPr>
        <w:t>мөн Турк</w:t>
      </w:r>
      <w:r w:rsidRPr="005708D6">
        <w:rPr>
          <w:rFonts w:ascii="Arial" w:hAnsi="Arial" w:cs="Arial"/>
          <w:sz w:val="20"/>
          <w:szCs w:val="20"/>
        </w:rPr>
        <w:t xml:space="preserve"> (8 </w:t>
      </w:r>
      <w:r>
        <w:rPr>
          <w:rFonts w:ascii="Arial" w:hAnsi="Arial" w:cs="Arial"/>
          <w:sz w:val="20"/>
          <w:szCs w:val="20"/>
          <w:lang w:val="mn-MN"/>
        </w:rPr>
        <w:t>хувь</w:t>
      </w:r>
      <w:r w:rsidRPr="005708D6">
        <w:rPr>
          <w:rFonts w:ascii="Arial" w:hAnsi="Arial" w:cs="Arial"/>
          <w:sz w:val="20"/>
          <w:szCs w:val="20"/>
        </w:rPr>
        <w:t xml:space="preserve">). </w:t>
      </w:r>
      <w:r>
        <w:rPr>
          <w:rFonts w:ascii="Arial" w:hAnsi="Arial" w:cs="Arial"/>
          <w:sz w:val="20"/>
          <w:szCs w:val="20"/>
          <w:lang w:val="mn-MN"/>
        </w:rPr>
        <w:t xml:space="preserve">Гэвч бүх томоохон хөгжиж буй орнуудад өсөлт сайжраагүй л байна. </w:t>
      </w:r>
      <w:r w:rsidRPr="005708D6">
        <w:rPr>
          <w:rFonts w:ascii="Arial" w:hAnsi="Arial" w:cs="Arial"/>
          <w:sz w:val="20"/>
          <w:szCs w:val="20"/>
        </w:rPr>
        <w:t>(</w:t>
      </w:r>
      <w:proofErr w:type="gramStart"/>
      <w:r>
        <w:rPr>
          <w:rFonts w:ascii="Arial" w:hAnsi="Arial" w:cs="Arial"/>
          <w:sz w:val="20"/>
          <w:szCs w:val="20"/>
          <w:lang w:val="mn-MN"/>
        </w:rPr>
        <w:t>жишээлбэл</w:t>
      </w:r>
      <w:proofErr w:type="gramEnd"/>
      <w:r>
        <w:rPr>
          <w:rFonts w:ascii="Arial" w:hAnsi="Arial" w:cs="Arial"/>
          <w:sz w:val="20"/>
          <w:szCs w:val="20"/>
          <w:lang w:val="mn-MN"/>
        </w:rPr>
        <w:t>, Энэтхэг, ОХУ</w:t>
      </w:r>
      <w:r w:rsidRPr="005708D6">
        <w:rPr>
          <w:rFonts w:ascii="Arial" w:hAnsi="Arial" w:cs="Arial"/>
          <w:sz w:val="20"/>
          <w:szCs w:val="20"/>
        </w:rPr>
        <w:t>)</w:t>
      </w:r>
      <w:r w:rsidR="00D1149A" w:rsidRPr="00492FC3">
        <w:rPr>
          <w:rFonts w:ascii="Arial" w:hAnsi="Arial" w:cs="Arial"/>
          <w:sz w:val="20"/>
          <w:szCs w:val="20"/>
        </w:rPr>
        <w:t>.</w:t>
      </w:r>
    </w:p>
    <w:tbl>
      <w:tblPr>
        <w:tblpPr w:leftFromText="180" w:rightFromText="180" w:vertAnchor="text" w:horzAnchor="margin" w:tblpY="204"/>
        <w:tblW w:w="0" w:type="auto"/>
        <w:tblLook w:val="04A0" w:firstRow="1" w:lastRow="0" w:firstColumn="1" w:lastColumn="0" w:noHBand="0" w:noVBand="1"/>
      </w:tblPr>
      <w:tblGrid>
        <w:gridCol w:w="4408"/>
        <w:gridCol w:w="272"/>
        <w:gridCol w:w="4788"/>
      </w:tblGrid>
      <w:tr w:rsidR="00131E38" w:rsidRPr="000A2BAB" w14:paraId="481803E9" w14:textId="77777777" w:rsidTr="00131E38">
        <w:tc>
          <w:tcPr>
            <w:tcW w:w="4408" w:type="dxa"/>
            <w:tcBorders>
              <w:bottom w:val="single" w:sz="4" w:space="0" w:color="984806" w:themeColor="accent6" w:themeShade="80"/>
            </w:tcBorders>
          </w:tcPr>
          <w:p w14:paraId="79A1AC5E" w14:textId="77777777" w:rsidR="00131E38" w:rsidRPr="000A2BAB" w:rsidRDefault="00131E38" w:rsidP="00131E38">
            <w:pPr>
              <w:pStyle w:val="Caption"/>
              <w:keepNext/>
              <w:spacing w:after="0"/>
              <w:jc w:val="both"/>
              <w:rPr>
                <w:color w:val="auto"/>
              </w:rPr>
            </w:pPr>
            <w:r>
              <w:rPr>
                <w:color w:val="auto"/>
                <w:sz w:val="16"/>
                <w:lang w:val="mn-MN"/>
              </w:rPr>
              <w:t>Зураг</w:t>
            </w:r>
            <w:r w:rsidRPr="000A2BAB">
              <w:rPr>
                <w:color w:val="auto"/>
                <w:sz w:val="16"/>
              </w:rPr>
              <w:t xml:space="preserve"> </w:t>
            </w:r>
            <w:r>
              <w:rPr>
                <w:color w:val="auto"/>
                <w:sz w:val="16"/>
              </w:rPr>
              <w:fldChar w:fldCharType="begin"/>
            </w:r>
            <w:r>
              <w:rPr>
                <w:color w:val="auto"/>
                <w:sz w:val="16"/>
              </w:rPr>
              <w:instrText xml:space="preserve"> SEQ Figure \* ARABIC </w:instrText>
            </w:r>
            <w:r>
              <w:rPr>
                <w:color w:val="auto"/>
                <w:sz w:val="16"/>
              </w:rPr>
              <w:fldChar w:fldCharType="separate"/>
            </w:r>
            <w:r>
              <w:rPr>
                <w:noProof/>
                <w:color w:val="auto"/>
                <w:sz w:val="16"/>
              </w:rPr>
              <w:t>1</w:t>
            </w:r>
            <w:r>
              <w:rPr>
                <w:color w:val="auto"/>
                <w:sz w:val="16"/>
              </w:rPr>
              <w:fldChar w:fldCharType="end"/>
            </w:r>
            <w:r w:rsidRPr="000A2BAB">
              <w:rPr>
                <w:color w:val="auto"/>
                <w:sz w:val="16"/>
              </w:rPr>
              <w:t xml:space="preserve">. </w:t>
            </w:r>
            <w:r>
              <w:rPr>
                <w:lang w:val="mn-MN"/>
              </w:rPr>
              <w:t>Голлох хөгжсөн орнуудад сэргэлт бий болж эхэллээ</w:t>
            </w:r>
            <w:r w:rsidRPr="005745F8">
              <w:t xml:space="preserve"> …</w:t>
            </w:r>
          </w:p>
        </w:tc>
        <w:tc>
          <w:tcPr>
            <w:tcW w:w="272" w:type="dxa"/>
          </w:tcPr>
          <w:p w14:paraId="4A5E94C0" w14:textId="77777777" w:rsidR="00131E38" w:rsidRPr="00266CCE" w:rsidRDefault="00131E38" w:rsidP="00131E38">
            <w:pPr>
              <w:pStyle w:val="Caption"/>
              <w:spacing w:after="0"/>
              <w:jc w:val="center"/>
              <w:rPr>
                <w:color w:val="auto"/>
                <w:sz w:val="2"/>
              </w:rPr>
            </w:pPr>
          </w:p>
        </w:tc>
        <w:tc>
          <w:tcPr>
            <w:tcW w:w="4788" w:type="dxa"/>
            <w:tcBorders>
              <w:bottom w:val="single" w:sz="4" w:space="0" w:color="984806" w:themeColor="accent6" w:themeShade="80"/>
            </w:tcBorders>
          </w:tcPr>
          <w:p w14:paraId="297D544E" w14:textId="77777777" w:rsidR="00131E38" w:rsidRPr="000A2BAB" w:rsidRDefault="00131E38" w:rsidP="00131E38">
            <w:pPr>
              <w:pStyle w:val="Caption"/>
              <w:keepNext/>
              <w:spacing w:after="0"/>
              <w:jc w:val="both"/>
            </w:pPr>
            <w:r>
              <w:rPr>
                <w:color w:val="auto"/>
                <w:sz w:val="16"/>
                <w:lang w:val="mn-MN"/>
              </w:rPr>
              <w:t>Зураг</w:t>
            </w:r>
            <w:r w:rsidRPr="000A2BAB">
              <w:rPr>
                <w:color w:val="auto"/>
                <w:sz w:val="16"/>
              </w:rPr>
              <w:t xml:space="preserve"> </w:t>
            </w:r>
            <w:r>
              <w:rPr>
                <w:b w:val="0"/>
                <w:bCs w:val="0"/>
                <w:sz w:val="16"/>
              </w:rPr>
              <w:fldChar w:fldCharType="begin"/>
            </w:r>
            <w:r>
              <w:rPr>
                <w:color w:val="auto"/>
                <w:sz w:val="16"/>
              </w:rPr>
              <w:instrText xml:space="preserve"> SEQ Figure \* ARABIC </w:instrText>
            </w:r>
            <w:r>
              <w:rPr>
                <w:b w:val="0"/>
                <w:bCs w:val="0"/>
                <w:sz w:val="16"/>
              </w:rPr>
              <w:fldChar w:fldCharType="separate"/>
            </w:r>
            <w:r>
              <w:rPr>
                <w:noProof/>
                <w:color w:val="auto"/>
                <w:sz w:val="16"/>
              </w:rPr>
              <w:t>2</w:t>
            </w:r>
            <w:r>
              <w:rPr>
                <w:b w:val="0"/>
                <w:bCs w:val="0"/>
                <w:sz w:val="16"/>
              </w:rPr>
              <w:fldChar w:fldCharType="end"/>
            </w:r>
            <w:r w:rsidRPr="000A2BAB">
              <w:rPr>
                <w:color w:val="auto"/>
                <w:sz w:val="16"/>
              </w:rPr>
              <w:t xml:space="preserve">. … </w:t>
            </w:r>
            <w:r>
              <w:rPr>
                <w:lang w:val="mn-MN"/>
              </w:rPr>
              <w:t>хөгжиж буй орнуудад ч мөн адил</w:t>
            </w:r>
          </w:p>
        </w:tc>
      </w:tr>
      <w:tr w:rsidR="00131E38" w:rsidRPr="000A2BAB" w14:paraId="1CF7257B" w14:textId="77777777" w:rsidTr="00131E38">
        <w:tc>
          <w:tcPr>
            <w:tcW w:w="4408" w:type="dxa"/>
            <w:tcBorders>
              <w:top w:val="single" w:sz="4" w:space="0" w:color="984806" w:themeColor="accent6" w:themeShade="80"/>
            </w:tcBorders>
          </w:tcPr>
          <w:p w14:paraId="5C5AD7BC" w14:textId="77777777" w:rsidR="00131E38" w:rsidRPr="008679B9" w:rsidRDefault="00131E38" w:rsidP="00131E38">
            <w:pPr>
              <w:pStyle w:val="NoSpacing"/>
              <w:jc w:val="both"/>
            </w:pPr>
            <w:r>
              <w:rPr>
                <w:sz w:val="16"/>
                <w:lang w:val="mn-MN"/>
              </w:rPr>
              <w:t xml:space="preserve">ДНБ өсөлт, </w:t>
            </w:r>
            <w:r w:rsidRPr="00786D41">
              <w:rPr>
                <w:sz w:val="16"/>
              </w:rPr>
              <w:t xml:space="preserve">%, </w:t>
            </w:r>
            <w:r>
              <w:rPr>
                <w:sz w:val="16"/>
                <w:lang w:val="mn-MN"/>
              </w:rPr>
              <w:t xml:space="preserve">өмнөх улиралтай харьцуулсан, улирлын нөлөөг тооцсон </w:t>
            </w:r>
          </w:p>
          <w:p w14:paraId="24133C30" w14:textId="77777777" w:rsidR="00131E38" w:rsidRPr="000A2BAB" w:rsidRDefault="00131E38" w:rsidP="00131E38">
            <w:pPr>
              <w:pStyle w:val="NoSpacing"/>
              <w:jc w:val="both"/>
            </w:pPr>
            <w:r w:rsidRPr="000A2BAB">
              <w:rPr>
                <w:noProof/>
              </w:rPr>
              <w:drawing>
                <wp:inline distT="0" distB="0" distL="0" distR="0" wp14:anchorId="49D6A263" wp14:editId="4A209E69">
                  <wp:extent cx="2657475" cy="1562100"/>
                  <wp:effectExtent l="0" t="0" r="0" b="0"/>
                  <wp:docPr id="332" name="Chart 3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c>
        <w:tc>
          <w:tcPr>
            <w:tcW w:w="272" w:type="dxa"/>
          </w:tcPr>
          <w:p w14:paraId="10F8BEB4" w14:textId="77777777" w:rsidR="00131E38" w:rsidRPr="00266CCE" w:rsidRDefault="00131E38" w:rsidP="00131E38">
            <w:pPr>
              <w:pStyle w:val="NoSpacing"/>
              <w:jc w:val="both"/>
              <w:rPr>
                <w:noProof/>
                <w:sz w:val="2"/>
                <w:lang w:eastAsia="ko-KR"/>
              </w:rPr>
            </w:pPr>
          </w:p>
        </w:tc>
        <w:tc>
          <w:tcPr>
            <w:tcW w:w="4788" w:type="dxa"/>
            <w:tcBorders>
              <w:top w:val="single" w:sz="4" w:space="0" w:color="984806" w:themeColor="accent6" w:themeShade="80"/>
            </w:tcBorders>
          </w:tcPr>
          <w:p w14:paraId="31B8BAE3" w14:textId="77777777" w:rsidR="00131E38" w:rsidRPr="008679B9" w:rsidRDefault="00131E38" w:rsidP="00131E38">
            <w:pPr>
              <w:pStyle w:val="NoSpacing"/>
              <w:jc w:val="both"/>
            </w:pPr>
            <w:r>
              <w:rPr>
                <w:sz w:val="16"/>
                <w:szCs w:val="18"/>
                <w:lang w:val="mn-MN"/>
              </w:rPr>
              <w:t xml:space="preserve">ДНБ өсөлт, </w:t>
            </w:r>
            <w:r w:rsidRPr="008679B9">
              <w:rPr>
                <w:sz w:val="16"/>
                <w:szCs w:val="18"/>
              </w:rPr>
              <w:t xml:space="preserve">%, </w:t>
            </w:r>
            <w:r>
              <w:rPr>
                <w:sz w:val="16"/>
                <w:szCs w:val="18"/>
                <w:lang w:val="mn-MN"/>
              </w:rPr>
              <w:t xml:space="preserve">өмнөх улиралтай харьцуулсан, улирлын нөлөөг тооцсон </w:t>
            </w:r>
          </w:p>
          <w:p w14:paraId="16E6527C" w14:textId="77777777" w:rsidR="00131E38" w:rsidRPr="000A2BAB" w:rsidRDefault="00131E38" w:rsidP="00131E38">
            <w:pPr>
              <w:pStyle w:val="NoSpacing"/>
              <w:jc w:val="both"/>
            </w:pPr>
            <w:r w:rsidRPr="000A2BAB">
              <w:rPr>
                <w:noProof/>
              </w:rPr>
              <w:drawing>
                <wp:inline distT="0" distB="0" distL="0" distR="0" wp14:anchorId="6069F1F1" wp14:editId="5B73958C">
                  <wp:extent cx="2831124" cy="1494692"/>
                  <wp:effectExtent l="0" t="0" r="7620" b="0"/>
                  <wp:docPr id="333" name="Chart 3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c>
      </w:tr>
      <w:tr w:rsidR="00131E38" w:rsidRPr="000A2BAB" w14:paraId="5F333073" w14:textId="77777777" w:rsidTr="00131E38">
        <w:tc>
          <w:tcPr>
            <w:tcW w:w="4408" w:type="dxa"/>
          </w:tcPr>
          <w:p w14:paraId="5065AFA2" w14:textId="77777777" w:rsidR="00131E38" w:rsidRPr="000A2BAB" w:rsidRDefault="00131E38" w:rsidP="00131E38">
            <w:pPr>
              <w:pStyle w:val="NoSpacing"/>
              <w:jc w:val="both"/>
              <w:rPr>
                <w:sz w:val="14"/>
                <w:szCs w:val="18"/>
              </w:rPr>
            </w:pPr>
            <w:r>
              <w:rPr>
                <w:i/>
                <w:sz w:val="14"/>
                <w:szCs w:val="18"/>
                <w:lang w:val="mn-MN"/>
              </w:rPr>
              <w:t>Эх үүсвэр</w:t>
            </w:r>
            <w:r w:rsidRPr="000A2BAB">
              <w:rPr>
                <w:i/>
                <w:sz w:val="14"/>
                <w:szCs w:val="18"/>
              </w:rPr>
              <w:t>:</w:t>
            </w:r>
            <w:r w:rsidRPr="000A2BAB">
              <w:rPr>
                <w:sz w:val="14"/>
                <w:szCs w:val="18"/>
              </w:rPr>
              <w:t xml:space="preserve"> Thomson Datastream.</w:t>
            </w:r>
          </w:p>
        </w:tc>
        <w:tc>
          <w:tcPr>
            <w:tcW w:w="272" w:type="dxa"/>
          </w:tcPr>
          <w:p w14:paraId="680FAC6C" w14:textId="77777777" w:rsidR="00131E38" w:rsidRPr="00266CCE" w:rsidRDefault="00131E38" w:rsidP="00131E38">
            <w:pPr>
              <w:pStyle w:val="NoSpacing"/>
              <w:jc w:val="both"/>
              <w:rPr>
                <w:i/>
                <w:sz w:val="2"/>
                <w:szCs w:val="18"/>
              </w:rPr>
            </w:pPr>
          </w:p>
        </w:tc>
        <w:tc>
          <w:tcPr>
            <w:tcW w:w="4788" w:type="dxa"/>
          </w:tcPr>
          <w:p w14:paraId="3C568B85" w14:textId="77777777" w:rsidR="00131E38" w:rsidRPr="000A2BAB" w:rsidRDefault="00131E38" w:rsidP="00131E38">
            <w:pPr>
              <w:pStyle w:val="NoSpacing"/>
              <w:jc w:val="both"/>
              <w:rPr>
                <w:sz w:val="14"/>
              </w:rPr>
            </w:pPr>
            <w:r>
              <w:rPr>
                <w:i/>
                <w:sz w:val="14"/>
                <w:szCs w:val="18"/>
                <w:lang w:val="mn-MN"/>
              </w:rPr>
              <w:t>Эх үүсвэр</w:t>
            </w:r>
            <w:r w:rsidRPr="000A2BAB">
              <w:rPr>
                <w:i/>
                <w:sz w:val="14"/>
                <w:szCs w:val="18"/>
              </w:rPr>
              <w:t>:</w:t>
            </w:r>
            <w:r w:rsidRPr="000A2BAB">
              <w:rPr>
                <w:sz w:val="14"/>
                <w:szCs w:val="18"/>
              </w:rPr>
              <w:t xml:space="preserve"> Thomson Datastream </w:t>
            </w:r>
            <w:r>
              <w:rPr>
                <w:sz w:val="14"/>
                <w:szCs w:val="18"/>
                <w:lang w:val="mn-MN"/>
              </w:rPr>
              <w:t>болон ДБ-ны мэргэжилтнүүдийн тооцоо</w:t>
            </w:r>
            <w:r w:rsidRPr="000A2BAB">
              <w:rPr>
                <w:sz w:val="14"/>
                <w:szCs w:val="18"/>
              </w:rPr>
              <w:t>.</w:t>
            </w:r>
          </w:p>
        </w:tc>
      </w:tr>
    </w:tbl>
    <w:p w14:paraId="400D8AD2" w14:textId="77777777" w:rsidR="00D1149A" w:rsidRPr="00492FC3" w:rsidRDefault="00D1149A" w:rsidP="00D1149A">
      <w:pPr>
        <w:autoSpaceDE w:val="0"/>
        <w:autoSpaceDN w:val="0"/>
        <w:adjustRightInd w:val="0"/>
        <w:spacing w:after="0"/>
        <w:jc w:val="both"/>
        <w:rPr>
          <w:rFonts w:ascii="Arial" w:hAnsi="Arial" w:cs="Arial"/>
          <w:sz w:val="20"/>
          <w:szCs w:val="20"/>
        </w:rPr>
      </w:pPr>
    </w:p>
    <w:p w14:paraId="629374A7" w14:textId="7305D27C" w:rsidR="00D1149A" w:rsidRPr="00660167" w:rsidRDefault="00046FF6" w:rsidP="00D1149A">
      <w:pPr>
        <w:autoSpaceDE w:val="0"/>
        <w:autoSpaceDN w:val="0"/>
        <w:adjustRightInd w:val="0"/>
        <w:spacing w:after="0"/>
        <w:jc w:val="both"/>
        <w:rPr>
          <w:rFonts w:ascii="Arial" w:hAnsi="Arial" w:cs="Arial"/>
          <w:sz w:val="18"/>
          <w:szCs w:val="18"/>
        </w:rPr>
      </w:pPr>
      <w:r>
        <w:rPr>
          <w:rFonts w:ascii="Arial" w:hAnsi="Arial" w:cs="Arial"/>
          <w:b/>
          <w:sz w:val="20"/>
          <w:szCs w:val="20"/>
          <w:lang w:val="mn-MN"/>
        </w:rPr>
        <w:t>Дэлхийн эдийн засаг энэ оны тооцоолж байсантай зэрэгцэж очихоор байна</w:t>
      </w:r>
      <w:r w:rsidRPr="00FD5388">
        <w:rPr>
          <w:rFonts w:ascii="Arial" w:hAnsi="Arial" w:cs="Arial"/>
          <w:b/>
          <w:sz w:val="20"/>
          <w:szCs w:val="20"/>
        </w:rPr>
        <w:t xml:space="preserve">—2.4 </w:t>
      </w:r>
      <w:r>
        <w:rPr>
          <w:rFonts w:ascii="Arial" w:hAnsi="Arial" w:cs="Arial"/>
          <w:b/>
          <w:sz w:val="20"/>
          <w:szCs w:val="20"/>
          <w:lang w:val="mn-MN"/>
        </w:rPr>
        <w:t>хувь</w:t>
      </w:r>
      <w:r w:rsidRPr="00FD5388">
        <w:rPr>
          <w:rFonts w:ascii="Arial" w:hAnsi="Arial" w:cs="Arial"/>
          <w:b/>
          <w:sz w:val="20"/>
          <w:szCs w:val="20"/>
        </w:rPr>
        <w:t xml:space="preserve">, </w:t>
      </w:r>
      <w:r>
        <w:rPr>
          <w:rFonts w:ascii="Arial" w:hAnsi="Arial" w:cs="Arial"/>
          <w:b/>
          <w:sz w:val="20"/>
          <w:szCs w:val="20"/>
          <w:lang w:val="mn-MN"/>
        </w:rPr>
        <w:t xml:space="preserve"> энэ нь өмнөх жилийн 2.5 хувиас бага зэрэг доогуур</w:t>
      </w:r>
      <w:r w:rsidRPr="00FD5388">
        <w:rPr>
          <w:rFonts w:ascii="Arial" w:hAnsi="Arial" w:cs="Arial"/>
          <w:b/>
          <w:sz w:val="20"/>
          <w:szCs w:val="20"/>
        </w:rPr>
        <w:t>.</w:t>
      </w:r>
      <w:r>
        <w:rPr>
          <w:rFonts w:ascii="Arial" w:hAnsi="Arial" w:cs="Arial"/>
          <w:sz w:val="20"/>
          <w:szCs w:val="20"/>
        </w:rPr>
        <w:t xml:space="preserve"> </w:t>
      </w:r>
      <w:r>
        <w:rPr>
          <w:rFonts w:ascii="Arial" w:hAnsi="Arial" w:cs="Arial"/>
          <w:sz w:val="20"/>
          <w:szCs w:val="20"/>
          <w:lang w:val="mn-MN"/>
        </w:rPr>
        <w:t xml:space="preserve">Хоёрдугаар улиралд хөгжсөн орнуудад өсөлт хурдассан нь жилийн туршид үргэлжилэхээр байна. Өндөр орлоготой орнуудад улирлын өсөлт аажмаар эрчимжиж байгаагаас бүтэн жилийн өсөлт 2014 онд 2.1 хувь, 2015 онд 2.3 хувьд хүрэхээр </w:t>
      </w:r>
      <w:r>
        <w:rPr>
          <w:rFonts w:ascii="Arial" w:hAnsi="Arial" w:cs="Arial"/>
          <w:sz w:val="20"/>
          <w:szCs w:val="20"/>
          <w:lang w:val="mn-MN"/>
        </w:rPr>
        <w:lastRenderedPageBreak/>
        <w:t>байна. Харин хөгжиж буй орнуудад өсөлт энэ жилийн 4.8 хувиас сайжран 2014 онд 5.3 хувьд 2015 онд 5.6 хувьд хүрэхээр байна. Дэлхийн эдийн засгийн өсөлт 2014 онд 3.1 хувь харин 2015 онд 3.4 хувь байна. Гэвч 2014 болон 2015 оны дэлхийн эдийн засгийн өсөлтийн таамаглал нь 2006 олон 2007 оны хямралаас өмнөх өсөлтийн хувь 4.0 хувиас доогуур үлдэхээр байна</w:t>
      </w:r>
      <w:r w:rsidR="00D1149A" w:rsidRPr="00492FC3">
        <w:rPr>
          <w:rFonts w:ascii="Arial" w:hAnsi="Arial" w:cs="Arial"/>
          <w:sz w:val="20"/>
          <w:szCs w:val="20"/>
        </w:rPr>
        <w:t>.</w:t>
      </w:r>
      <w:r w:rsidR="00D1149A" w:rsidRPr="00660167">
        <w:rPr>
          <w:rFonts w:ascii="Arial" w:hAnsi="Arial" w:cs="Arial"/>
          <w:sz w:val="18"/>
          <w:szCs w:val="18"/>
        </w:rPr>
        <w:t xml:space="preserve"> </w:t>
      </w:r>
    </w:p>
    <w:p w14:paraId="4DEF06C1" w14:textId="77777777" w:rsidR="00D1149A" w:rsidRDefault="00D1149A" w:rsidP="00D1149A">
      <w:pPr>
        <w:autoSpaceDE w:val="0"/>
        <w:autoSpaceDN w:val="0"/>
        <w:adjustRightInd w:val="0"/>
        <w:spacing w:after="0"/>
        <w:jc w:val="both"/>
        <w:rPr>
          <w:rFonts w:ascii="Arial" w:hAnsi="Arial" w:cs="Arial"/>
          <w:sz w:val="20"/>
          <w:szCs w:val="20"/>
        </w:rPr>
      </w:pPr>
    </w:p>
    <w:p w14:paraId="1D5645E1" w14:textId="5769A785" w:rsidR="00D1149A" w:rsidRPr="006B2970" w:rsidRDefault="00AE2D47" w:rsidP="00D1149A">
      <w:pPr>
        <w:pStyle w:val="Heading2"/>
        <w:pBdr>
          <w:bottom w:val="single" w:sz="4" w:space="1" w:color="auto"/>
        </w:pBdr>
        <w:rPr>
          <w:rFonts w:asciiTheme="minorHAnsi" w:hAnsiTheme="minorHAnsi" w:cstheme="minorHAnsi"/>
          <w:color w:val="002060"/>
          <w:sz w:val="24"/>
          <w:lang w:eastAsia="ko-KR"/>
        </w:rPr>
      </w:pPr>
      <w:bookmarkStart w:id="8" w:name="_Toc370981663"/>
      <w:bookmarkStart w:id="9" w:name="_Toc371338273"/>
      <w:r>
        <w:rPr>
          <w:rFonts w:asciiTheme="minorHAnsi" w:hAnsiTheme="minorHAnsi" w:cstheme="minorHAnsi"/>
          <w:color w:val="002060"/>
          <w:sz w:val="24"/>
          <w:lang w:val="mn-MN" w:eastAsia="ko-KR"/>
        </w:rPr>
        <w:t>Өсөлтийн эрч нэмэгдэж байгаа ч тус бүс нутаг дахь хөгжиж буй орнуудад эдийн засгийн өсөлт 2013 онд зөөлрөх хандлагатай байна</w:t>
      </w:r>
      <w:bookmarkEnd w:id="8"/>
      <w:bookmarkEnd w:id="9"/>
    </w:p>
    <w:p w14:paraId="11C395EB" w14:textId="77777777" w:rsidR="00D1149A" w:rsidRPr="00630B23" w:rsidRDefault="00D1149A" w:rsidP="00D1149A">
      <w:pPr>
        <w:pStyle w:val="NoSpacing"/>
        <w:rPr>
          <w:sz w:val="12"/>
          <w:lang w:eastAsia="ko-KR"/>
        </w:rPr>
      </w:pPr>
    </w:p>
    <w:p w14:paraId="175B0F4C" w14:textId="0B4C8E35" w:rsidR="00D1149A" w:rsidRPr="00492FC3" w:rsidRDefault="00AE2D47" w:rsidP="00D1149A">
      <w:pPr>
        <w:autoSpaceDE w:val="0"/>
        <w:autoSpaceDN w:val="0"/>
        <w:adjustRightInd w:val="0"/>
        <w:spacing w:after="0"/>
        <w:jc w:val="both"/>
        <w:rPr>
          <w:rFonts w:ascii="Arial" w:hAnsi="Arial" w:cs="Arial"/>
          <w:sz w:val="20"/>
          <w:szCs w:val="20"/>
        </w:rPr>
      </w:pPr>
      <w:r>
        <w:rPr>
          <w:rFonts w:ascii="Arial" w:hAnsi="Arial" w:cs="Arial"/>
          <w:b/>
          <w:sz w:val="20"/>
          <w:szCs w:val="20"/>
          <w:lang w:val="mn-MN"/>
        </w:rPr>
        <w:t xml:space="preserve">Зүүн Ази, Номхон далайн орнуудын ихэнх улсуудад хоёр болон гуравдугаар улиралуудад эдийн засаг өсөлт хурдасч байгаа боловч өмнөх онтой харьцуулсан өөрчлөлт нь буурах хандлага үргэлжилж байна. </w:t>
      </w:r>
      <w:r w:rsidR="00010806" w:rsidRPr="00492FC3">
        <w:rPr>
          <w:rFonts w:ascii="Arial" w:hAnsi="Arial" w:cs="Arial"/>
          <w:sz w:val="20"/>
          <w:szCs w:val="20"/>
        </w:rPr>
        <w:t>(</w:t>
      </w:r>
      <w:r>
        <w:rPr>
          <w:rFonts w:ascii="Arial" w:hAnsi="Arial" w:cs="Arial"/>
          <w:sz w:val="20"/>
          <w:szCs w:val="20"/>
          <w:lang w:val="mn-MN"/>
        </w:rPr>
        <w:t>Зураг</w:t>
      </w:r>
      <w:r w:rsidRPr="00492FC3">
        <w:rPr>
          <w:rFonts w:ascii="Arial" w:hAnsi="Arial" w:cs="Arial"/>
          <w:sz w:val="20"/>
          <w:szCs w:val="20"/>
        </w:rPr>
        <w:t xml:space="preserve"> </w:t>
      </w:r>
      <w:r w:rsidR="00010806" w:rsidRPr="00492FC3">
        <w:rPr>
          <w:rFonts w:ascii="Arial" w:hAnsi="Arial" w:cs="Arial"/>
          <w:sz w:val="20"/>
          <w:szCs w:val="20"/>
        </w:rPr>
        <w:t>3)</w:t>
      </w:r>
      <w:r>
        <w:rPr>
          <w:rFonts w:ascii="Arial" w:hAnsi="Arial" w:cs="Arial"/>
          <w:sz w:val="20"/>
          <w:szCs w:val="20"/>
          <w:lang w:val="mn-MN"/>
        </w:rPr>
        <w:t xml:space="preserve"> </w:t>
      </w:r>
      <w:r w:rsidR="00C2338A">
        <w:rPr>
          <w:rFonts w:ascii="Arial" w:hAnsi="Arial" w:cs="Arial"/>
          <w:sz w:val="20"/>
          <w:szCs w:val="20"/>
          <w:lang w:val="mn-MN"/>
        </w:rPr>
        <w:t>Хятад улсын эдийн засгийн өсөлт нь тус улсын эдийн засаг нь зээлийг дэмжсэн, хөрөнгө оруулалтад чиглэсэн эдийн засгаас илүү тогтвортой хэрэглэгч- болон үйлчилгээнд чиглэгдсэн өсөлтөд шилжиж байгаатай уялдаж буурах хандлагатай байна. Дэлхийн түүхий эдийн үнүүд буурч байгаа нь экспортын орлогыг багасгаж, Индоне</w:t>
      </w:r>
      <w:r w:rsidR="003E2396">
        <w:rPr>
          <w:rFonts w:ascii="Arial" w:hAnsi="Arial" w:cs="Arial"/>
          <w:sz w:val="20"/>
          <w:szCs w:val="20"/>
          <w:lang w:val="mn-MN"/>
        </w:rPr>
        <w:t>з</w:t>
      </w:r>
      <w:r w:rsidR="00C2338A">
        <w:rPr>
          <w:rFonts w:ascii="Arial" w:hAnsi="Arial" w:cs="Arial"/>
          <w:sz w:val="20"/>
          <w:szCs w:val="20"/>
          <w:lang w:val="mn-MN"/>
        </w:rPr>
        <w:t xml:space="preserve">ийн эдийн засгийн капитал- түлхүү хэрэглэх салбаруудад хийгдэх хувийн хөрөнгө оруулалтыг бууруулж, нийт өсөлтийг доош татаж байна. Тайланд улсын өсөлт нь 2013 оны хоёрдугаар улиралд огцом хурдацтайгаар буурсан нь үерийн дараах дахин сэргээлтийн ажил дуусах шатандаа орж, зарим нэг урамшуулалтын арга хэмжээнүүдийг хэрэгжүүлэхээ зогсоосонтой холбоотой байна. Малайз улсын эдийн засаг нь хоёрдугаар улиралд хүлээгдэж байснаас багаар тэлсэн бөгөөд экспортын өсөлт буурч байгаа нь өсөлтийг нь доошлуулж байна. </w:t>
      </w:r>
    </w:p>
    <w:p w14:paraId="1B668F8F" w14:textId="77777777" w:rsidR="00D1149A" w:rsidRPr="00630B23" w:rsidRDefault="00D1149A" w:rsidP="00D1149A">
      <w:pPr>
        <w:autoSpaceDE w:val="0"/>
        <w:autoSpaceDN w:val="0"/>
        <w:adjustRightInd w:val="0"/>
        <w:spacing w:after="0"/>
        <w:jc w:val="both"/>
        <w:rPr>
          <w:rFonts w:ascii="Arial" w:hAnsi="Arial" w:cs="Arial"/>
          <w:b/>
          <w:sz w:val="16"/>
          <w:szCs w:val="20"/>
        </w:rPr>
      </w:pPr>
    </w:p>
    <w:p w14:paraId="73C7682A" w14:textId="3937D495" w:rsidR="00D1149A" w:rsidRPr="00492FC3" w:rsidRDefault="003E2396">
      <w:pPr>
        <w:autoSpaceDE w:val="0"/>
        <w:autoSpaceDN w:val="0"/>
        <w:adjustRightInd w:val="0"/>
        <w:spacing w:after="0"/>
        <w:jc w:val="both"/>
        <w:rPr>
          <w:rFonts w:ascii="Arial" w:hAnsi="Arial" w:cs="Arial"/>
          <w:sz w:val="20"/>
          <w:szCs w:val="20"/>
        </w:rPr>
      </w:pPr>
      <w:r>
        <w:rPr>
          <w:rFonts w:ascii="Arial" w:hAnsi="Arial" w:cs="Arial"/>
          <w:b/>
          <w:sz w:val="20"/>
          <w:szCs w:val="20"/>
          <w:lang w:val="mn-MN"/>
        </w:rPr>
        <w:t xml:space="preserve">Дэлхийн санхүүгийн хямралын дараах </w:t>
      </w:r>
      <w:r w:rsidR="00C2338A">
        <w:rPr>
          <w:rFonts w:ascii="Arial" w:hAnsi="Arial" w:cs="Arial"/>
          <w:b/>
          <w:sz w:val="20"/>
          <w:szCs w:val="20"/>
          <w:lang w:val="mn-MN"/>
        </w:rPr>
        <w:t xml:space="preserve">ЗАНДБүс нутгийн орнууд дахь өсөлтийн гол хөдөлгөгч хүчин зүйл нь дотоодын эрэлт байсан нь буурч байна. </w:t>
      </w:r>
      <w:r w:rsidR="00C2338A">
        <w:rPr>
          <w:rFonts w:ascii="Arial" w:hAnsi="Arial" w:cs="Arial"/>
          <w:sz w:val="20"/>
          <w:szCs w:val="20"/>
          <w:lang w:val="mn-MN"/>
        </w:rPr>
        <w:t>Томоохон хэмжээний урамшуулалтын хөтөлбөрүүдээр хувийн хэрэглээ болон хөрөнгө оруулалтыг дэмжиж байсан нь 2009 оноос хойш хөгжиж буй Зүүн Азийн өсөлтий</w:t>
      </w:r>
      <w:r>
        <w:rPr>
          <w:rFonts w:ascii="Arial" w:hAnsi="Arial" w:cs="Arial"/>
          <w:sz w:val="20"/>
          <w:szCs w:val="20"/>
          <w:lang w:val="mn-MN"/>
        </w:rPr>
        <w:t>н</w:t>
      </w:r>
      <w:r w:rsidR="00C2338A">
        <w:rPr>
          <w:rFonts w:ascii="Arial" w:hAnsi="Arial" w:cs="Arial"/>
          <w:sz w:val="20"/>
          <w:szCs w:val="20"/>
          <w:lang w:val="mn-MN"/>
        </w:rPr>
        <w:t xml:space="preserve"> 90 гаран хувийг бүрдүүлж байлаа. Гэвч урамшуулалын хөтөлбөрүүд дэс дараатайгаар зогсож, дотоодын эрэлт суларч байна. Хятад улс цаашдаа өөрийн эдийн засгийг </w:t>
      </w:r>
      <w:r w:rsidR="00632BCF">
        <w:rPr>
          <w:rFonts w:ascii="Arial" w:hAnsi="Arial" w:cs="Arial"/>
          <w:sz w:val="20"/>
          <w:szCs w:val="20"/>
          <w:lang w:val="mn-MN"/>
        </w:rPr>
        <w:t>зээлийн өсөлт болон хөрөнгө оруулалтыг бууруулах замаар дахин тэнцвэржүүлэлт хийх арга замыг хайж байгаа ч түүний хурд нь нийт өсөлтөөсөө хамаарна. 2012 оны дунд үеэс Индоне</w:t>
      </w:r>
      <w:r>
        <w:rPr>
          <w:rFonts w:ascii="Arial" w:hAnsi="Arial" w:cs="Arial"/>
          <w:sz w:val="20"/>
          <w:szCs w:val="20"/>
          <w:lang w:val="mn-MN"/>
        </w:rPr>
        <w:t>з</w:t>
      </w:r>
      <w:r w:rsidR="00632BCF">
        <w:rPr>
          <w:rFonts w:ascii="Arial" w:hAnsi="Arial" w:cs="Arial"/>
          <w:sz w:val="20"/>
          <w:szCs w:val="20"/>
          <w:lang w:val="mn-MN"/>
        </w:rPr>
        <w:t xml:space="preserve">ийн эдийн засаг нь дэлхийн түүхий эдийн үнийн бууралт болон хувийн хөрөнгө оруулалт буурсан нөлөөнд автаж байна. Хувийн салбарын </w:t>
      </w:r>
      <w:r w:rsidR="00C855BA">
        <w:rPr>
          <w:rFonts w:ascii="Arial" w:hAnsi="Arial" w:cs="Arial"/>
          <w:sz w:val="20"/>
          <w:szCs w:val="20"/>
          <w:lang w:val="mn-MN"/>
        </w:rPr>
        <w:t xml:space="preserve">өр өндөр байгаа нь Малайз болон Тайланд улсад өөрсдийн эдийн засгаа дэмжих чадавхийг бууруулж байна. </w:t>
      </w:r>
    </w:p>
    <w:tbl>
      <w:tblPr>
        <w:tblW w:w="0" w:type="auto"/>
        <w:tblBorders>
          <w:bottom w:val="single" w:sz="4" w:space="0" w:color="984806" w:themeColor="accent6" w:themeShade="80"/>
        </w:tblBorders>
        <w:tblLook w:val="04A0" w:firstRow="1" w:lastRow="0" w:firstColumn="1" w:lastColumn="0" w:noHBand="0" w:noVBand="1"/>
      </w:tblPr>
      <w:tblGrid>
        <w:gridCol w:w="9576"/>
      </w:tblGrid>
      <w:tr w:rsidR="00D1149A" w:rsidRPr="00EA762A" w14:paraId="1ED1E76A" w14:textId="77777777" w:rsidTr="00D1149A">
        <w:tc>
          <w:tcPr>
            <w:tcW w:w="9576" w:type="dxa"/>
            <w:tcBorders>
              <w:bottom w:val="single" w:sz="4" w:space="0" w:color="984806" w:themeColor="accent6" w:themeShade="80"/>
            </w:tcBorders>
          </w:tcPr>
          <w:p w14:paraId="0D974DEE" w14:textId="77777777" w:rsidR="003E2396" w:rsidRDefault="003E2396" w:rsidP="00630B23">
            <w:pPr>
              <w:pStyle w:val="Caption"/>
              <w:spacing w:after="0"/>
              <w:rPr>
                <w:color w:val="auto"/>
                <w:sz w:val="16"/>
                <w:szCs w:val="16"/>
                <w:lang w:val="mn-MN"/>
              </w:rPr>
            </w:pPr>
            <w:bookmarkStart w:id="10" w:name="_Ref367783011"/>
          </w:p>
          <w:p w14:paraId="02374EAD" w14:textId="56F03B4C" w:rsidR="00D1149A" w:rsidRPr="00660167" w:rsidRDefault="00C855BA" w:rsidP="00630B23">
            <w:pPr>
              <w:pStyle w:val="Caption"/>
              <w:spacing w:after="0"/>
              <w:rPr>
                <w:b w:val="0"/>
                <w:color w:val="auto"/>
                <w:sz w:val="16"/>
                <w:szCs w:val="16"/>
              </w:rPr>
            </w:pPr>
            <w:bookmarkStart w:id="11" w:name="_Toc371338613"/>
            <w:r>
              <w:rPr>
                <w:color w:val="auto"/>
                <w:sz w:val="16"/>
                <w:szCs w:val="16"/>
                <w:lang w:val="mn-MN"/>
              </w:rPr>
              <w:t>Зураг</w:t>
            </w:r>
            <w:r w:rsidRPr="00660167">
              <w:rPr>
                <w:color w:val="auto"/>
                <w:sz w:val="16"/>
                <w:szCs w:val="16"/>
              </w:rPr>
              <w:t xml:space="preserve"> </w:t>
            </w:r>
            <w:r w:rsidR="002E38E0">
              <w:rPr>
                <w:color w:val="auto"/>
                <w:sz w:val="16"/>
                <w:szCs w:val="16"/>
              </w:rPr>
              <w:fldChar w:fldCharType="begin"/>
            </w:r>
            <w:r w:rsidR="002E38E0">
              <w:rPr>
                <w:color w:val="auto"/>
                <w:sz w:val="16"/>
                <w:szCs w:val="16"/>
              </w:rPr>
              <w:instrText xml:space="preserve"> SEQ Figure \* ARABIC </w:instrText>
            </w:r>
            <w:r w:rsidR="002E38E0">
              <w:rPr>
                <w:color w:val="auto"/>
                <w:sz w:val="16"/>
                <w:szCs w:val="16"/>
              </w:rPr>
              <w:fldChar w:fldCharType="separate"/>
            </w:r>
            <w:r w:rsidR="002E38E0">
              <w:rPr>
                <w:noProof/>
                <w:color w:val="auto"/>
                <w:sz w:val="16"/>
                <w:szCs w:val="16"/>
              </w:rPr>
              <w:t>3</w:t>
            </w:r>
            <w:r w:rsidR="002E38E0">
              <w:rPr>
                <w:color w:val="auto"/>
                <w:sz w:val="16"/>
                <w:szCs w:val="16"/>
              </w:rPr>
              <w:fldChar w:fldCharType="end"/>
            </w:r>
            <w:bookmarkEnd w:id="10"/>
            <w:r w:rsidR="00D1149A" w:rsidRPr="00660167">
              <w:rPr>
                <w:color w:val="auto"/>
                <w:sz w:val="16"/>
                <w:szCs w:val="16"/>
              </w:rPr>
              <w:t xml:space="preserve">. </w:t>
            </w:r>
            <w:r>
              <w:rPr>
                <w:color w:val="auto"/>
                <w:sz w:val="16"/>
                <w:szCs w:val="16"/>
                <w:lang w:val="mn-MN"/>
              </w:rPr>
              <w:t>Тухайн бүс нутагт гол хөгжиж буй орнуудын өсөлт буурч байна</w:t>
            </w:r>
            <w:bookmarkEnd w:id="11"/>
            <w:r w:rsidR="00D1149A" w:rsidRPr="00660167">
              <w:rPr>
                <w:color w:val="auto"/>
                <w:sz w:val="16"/>
                <w:szCs w:val="16"/>
              </w:rPr>
              <w:t xml:space="preserve"> </w:t>
            </w:r>
          </w:p>
        </w:tc>
      </w:tr>
      <w:tr w:rsidR="00D1149A" w:rsidRPr="00EA762A" w14:paraId="5641033E" w14:textId="77777777" w:rsidTr="00D1149A">
        <w:tc>
          <w:tcPr>
            <w:tcW w:w="9576" w:type="dxa"/>
            <w:tcBorders>
              <w:top w:val="single" w:sz="4" w:space="0" w:color="984806" w:themeColor="accent6" w:themeShade="80"/>
              <w:bottom w:val="single" w:sz="4" w:space="0" w:color="984806" w:themeColor="accent6" w:themeShade="80"/>
            </w:tcBorders>
          </w:tcPr>
          <w:p w14:paraId="75A7998F" w14:textId="591FB032" w:rsidR="00D1149A" w:rsidRPr="00660167" w:rsidRDefault="00490FE9" w:rsidP="00D1149A">
            <w:pPr>
              <w:pStyle w:val="NoSpacing"/>
              <w:rPr>
                <w:color w:val="000000" w:themeColor="text1"/>
                <w:sz w:val="18"/>
                <w:szCs w:val="18"/>
                <w:lang w:val="mn-MN"/>
              </w:rPr>
            </w:pPr>
            <w:r>
              <w:rPr>
                <w:sz w:val="18"/>
                <w:szCs w:val="18"/>
                <w:lang w:val="mn-MN"/>
              </w:rPr>
              <w:t xml:space="preserve">ДНБ өсөлт, хувиар, өмнөх жилтэй харьцуулсан, өсөлтөд нөлөөлөх хүчин зүйлс, пунктийн хувиар </w:t>
            </w:r>
          </w:p>
          <w:p w14:paraId="39BB01CE" w14:textId="77777777" w:rsidR="00D1149A" w:rsidRPr="009A6F5F" w:rsidRDefault="00D1149A" w:rsidP="00D1149A">
            <w:pPr>
              <w:pStyle w:val="NoSpacing"/>
              <w:jc w:val="both"/>
              <w:rPr>
                <w:color w:val="000000" w:themeColor="text1"/>
                <w:sz w:val="18"/>
                <w:szCs w:val="18"/>
              </w:rPr>
            </w:pPr>
            <w:r w:rsidRPr="009A6F5F">
              <w:rPr>
                <w:noProof/>
                <w:sz w:val="18"/>
                <w:szCs w:val="18"/>
              </w:rPr>
              <w:drawing>
                <wp:inline distT="0" distB="0" distL="0" distR="0" wp14:anchorId="53962683" wp14:editId="42505F3C">
                  <wp:extent cx="5705475" cy="1476375"/>
                  <wp:effectExtent l="0" t="0" r="28575" b="0"/>
                  <wp:docPr id="54"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c>
      </w:tr>
      <w:tr w:rsidR="00D1149A" w:rsidRPr="00EA762A" w14:paraId="3158899B" w14:textId="77777777" w:rsidTr="00D1149A">
        <w:trPr>
          <w:trHeight w:val="162"/>
        </w:trPr>
        <w:tc>
          <w:tcPr>
            <w:tcW w:w="9576" w:type="dxa"/>
            <w:tcBorders>
              <w:top w:val="single" w:sz="4" w:space="0" w:color="984806" w:themeColor="accent6" w:themeShade="80"/>
              <w:bottom w:val="nil"/>
            </w:tcBorders>
          </w:tcPr>
          <w:p w14:paraId="17263F56" w14:textId="249188B4" w:rsidR="00D1149A" w:rsidRPr="002C31AD" w:rsidRDefault="00C855BA">
            <w:pPr>
              <w:pStyle w:val="NoSpacing"/>
              <w:jc w:val="both"/>
              <w:rPr>
                <w:color w:val="000000" w:themeColor="text1"/>
                <w:sz w:val="16"/>
              </w:rPr>
            </w:pPr>
            <w:r>
              <w:rPr>
                <w:rFonts w:cstheme="minorHAnsi"/>
                <w:i/>
                <w:color w:val="000000" w:themeColor="text1"/>
                <w:sz w:val="16"/>
                <w:szCs w:val="18"/>
                <w:lang w:val="mn-MN"/>
              </w:rPr>
              <w:t>Эх үүсвэр</w:t>
            </w:r>
            <w:r w:rsidR="00D1149A" w:rsidRPr="002C31AD">
              <w:rPr>
                <w:rFonts w:cstheme="minorHAnsi"/>
                <w:i/>
                <w:color w:val="000000" w:themeColor="text1"/>
                <w:sz w:val="16"/>
                <w:szCs w:val="18"/>
              </w:rPr>
              <w:t>:</w:t>
            </w:r>
            <w:r w:rsidR="00D1149A" w:rsidRPr="002C31AD">
              <w:rPr>
                <w:rFonts w:cstheme="minorHAnsi"/>
                <w:color w:val="000000" w:themeColor="text1"/>
                <w:sz w:val="16"/>
                <w:szCs w:val="18"/>
              </w:rPr>
              <w:t xml:space="preserve"> Haver Analytics </w:t>
            </w:r>
            <w:r>
              <w:rPr>
                <w:rFonts w:cstheme="minorHAnsi"/>
                <w:color w:val="000000" w:themeColor="text1"/>
                <w:sz w:val="16"/>
                <w:szCs w:val="18"/>
                <w:lang w:val="mn-MN"/>
              </w:rPr>
              <w:t>Болон ДБ-ны мэргэжилтнүүдийн тооцоо</w:t>
            </w:r>
            <w:r w:rsidR="00D1149A" w:rsidRPr="002C31AD">
              <w:rPr>
                <w:rFonts w:cstheme="minorHAnsi"/>
                <w:color w:val="000000" w:themeColor="text1"/>
                <w:sz w:val="16"/>
                <w:szCs w:val="18"/>
              </w:rPr>
              <w:t>.</w:t>
            </w:r>
          </w:p>
        </w:tc>
      </w:tr>
    </w:tbl>
    <w:p w14:paraId="20C0A72A" w14:textId="3D51F3C2" w:rsidR="00D1149A" w:rsidRPr="00492FC3" w:rsidRDefault="00490FE9">
      <w:pPr>
        <w:autoSpaceDE w:val="0"/>
        <w:autoSpaceDN w:val="0"/>
        <w:adjustRightInd w:val="0"/>
        <w:spacing w:after="0"/>
        <w:jc w:val="both"/>
        <w:rPr>
          <w:rFonts w:ascii="Arial" w:hAnsi="Arial" w:cs="Arial"/>
          <w:sz w:val="20"/>
          <w:szCs w:val="20"/>
        </w:rPr>
      </w:pPr>
      <w:r>
        <w:rPr>
          <w:rFonts w:ascii="Arial" w:hAnsi="Arial" w:cs="Arial"/>
          <w:b/>
          <w:sz w:val="20"/>
          <w:szCs w:val="20"/>
          <w:lang w:val="mn-MN"/>
        </w:rPr>
        <w:t xml:space="preserve">АНУ-ын Холбооны нөөцийн шийдвэрээр тоо хэмжээний зөөлрүүлэлт </w:t>
      </w:r>
      <w:r>
        <w:rPr>
          <w:rFonts w:ascii="Arial" w:hAnsi="Arial" w:cs="Arial"/>
          <w:b/>
          <w:sz w:val="20"/>
          <w:szCs w:val="20"/>
        </w:rPr>
        <w:t>(</w:t>
      </w:r>
      <w:r>
        <w:rPr>
          <w:rFonts w:ascii="Arial" w:hAnsi="Arial" w:cs="Arial"/>
          <w:b/>
          <w:sz w:val="20"/>
          <w:szCs w:val="20"/>
          <w:lang w:val="mn-MN"/>
        </w:rPr>
        <w:t>ТХЗ</w:t>
      </w:r>
      <w:r>
        <w:rPr>
          <w:rFonts w:ascii="Arial" w:hAnsi="Arial" w:cs="Arial"/>
          <w:b/>
          <w:sz w:val="20"/>
          <w:szCs w:val="20"/>
        </w:rPr>
        <w:t>)</w:t>
      </w:r>
      <w:r>
        <w:rPr>
          <w:rFonts w:ascii="Arial" w:hAnsi="Arial" w:cs="Arial"/>
          <w:b/>
          <w:sz w:val="20"/>
          <w:szCs w:val="20"/>
          <w:lang w:val="mn-MN"/>
        </w:rPr>
        <w:t xml:space="preserve"> </w:t>
      </w:r>
      <w:r w:rsidR="003E2396">
        <w:rPr>
          <w:rFonts w:ascii="Arial" w:hAnsi="Arial" w:cs="Arial"/>
          <w:b/>
          <w:sz w:val="20"/>
          <w:szCs w:val="20"/>
          <w:lang w:val="mn-MN"/>
        </w:rPr>
        <w:t xml:space="preserve">хийхээ </w:t>
      </w:r>
      <w:r>
        <w:rPr>
          <w:rFonts w:ascii="Arial" w:hAnsi="Arial" w:cs="Arial"/>
          <w:b/>
          <w:sz w:val="20"/>
          <w:szCs w:val="20"/>
          <w:lang w:val="mn-MN"/>
        </w:rPr>
        <w:t xml:space="preserve">хойшлуулсан нь шинээр үүсч буй зах зээлүүдэд </w:t>
      </w:r>
      <w:r w:rsidR="003E2396">
        <w:rPr>
          <w:rFonts w:ascii="Arial" w:hAnsi="Arial" w:cs="Arial"/>
          <w:b/>
          <w:sz w:val="20"/>
          <w:szCs w:val="20"/>
          <w:lang w:val="mn-MN"/>
        </w:rPr>
        <w:t xml:space="preserve">орох </w:t>
      </w:r>
      <w:r>
        <w:rPr>
          <w:rFonts w:ascii="Arial" w:hAnsi="Arial" w:cs="Arial"/>
          <w:b/>
          <w:sz w:val="20"/>
          <w:szCs w:val="20"/>
          <w:lang w:val="mn-MN"/>
        </w:rPr>
        <w:t xml:space="preserve">капиталын урсгалыг сэргээж удирдлагуудад ирээдүйд үүсэх хэлбэлзлээс эрсдлээ бууруулах арга хэмжээ авах хоёр дахь боломжийг олгож байна. </w:t>
      </w:r>
      <w:r>
        <w:rPr>
          <w:rFonts w:ascii="Arial" w:hAnsi="Arial" w:cs="Arial"/>
          <w:sz w:val="20"/>
          <w:szCs w:val="20"/>
          <w:lang w:val="mn-MN"/>
        </w:rPr>
        <w:t xml:space="preserve">Тоо хэмжээний сулруулалтыг байхгүй болгох гэснээс үүдэж үнэт цаасны зах зээлд борлуулалт явагдаж, мөнгөн тэмдэгтүүдийн ханш сулран, дотоодын бондын өгөөж огцом </w:t>
      </w:r>
      <w:r>
        <w:rPr>
          <w:rFonts w:ascii="Arial" w:hAnsi="Arial" w:cs="Arial"/>
          <w:sz w:val="20"/>
          <w:szCs w:val="20"/>
          <w:lang w:val="mn-MN"/>
        </w:rPr>
        <w:lastRenderedPageBreak/>
        <w:t>өсөхөд хүргэсэн билээ. Үүнд Индонез улс хамгийн ихээр өртсөн бөгөөд түүний дараа Тайланд, Филиппин, Малайз зэрэг улсууд өртсөн. Тус бүс нутгийн улсуудад харьцангуй их хэмжээний хөрөнгий</w:t>
      </w:r>
      <w:r w:rsidR="003E2396">
        <w:rPr>
          <w:rFonts w:ascii="Arial" w:hAnsi="Arial" w:cs="Arial"/>
          <w:sz w:val="20"/>
          <w:szCs w:val="20"/>
          <w:lang w:val="mn-MN"/>
        </w:rPr>
        <w:t>н</w:t>
      </w:r>
      <w:r>
        <w:rPr>
          <w:rFonts w:ascii="Arial" w:hAnsi="Arial" w:cs="Arial"/>
          <w:sz w:val="20"/>
          <w:szCs w:val="20"/>
          <w:lang w:val="mn-MN"/>
        </w:rPr>
        <w:t xml:space="preserve"> тата</w:t>
      </w:r>
      <w:r w:rsidR="003E2396">
        <w:rPr>
          <w:rFonts w:ascii="Arial" w:hAnsi="Arial" w:cs="Arial"/>
          <w:sz w:val="20"/>
          <w:szCs w:val="20"/>
          <w:lang w:val="mn-MN"/>
        </w:rPr>
        <w:t>лт</w:t>
      </w:r>
      <w:r>
        <w:rPr>
          <w:rFonts w:ascii="Arial" w:hAnsi="Arial" w:cs="Arial"/>
          <w:sz w:val="20"/>
          <w:szCs w:val="20"/>
          <w:lang w:val="mn-MN"/>
        </w:rPr>
        <w:t xml:space="preserve"> яв</w:t>
      </w:r>
      <w:r w:rsidR="003E2396">
        <w:rPr>
          <w:rFonts w:ascii="Arial" w:hAnsi="Arial" w:cs="Arial"/>
          <w:sz w:val="20"/>
          <w:szCs w:val="20"/>
          <w:lang w:val="mn-MN"/>
        </w:rPr>
        <w:t xml:space="preserve">агдсан </w:t>
      </w:r>
      <w:r>
        <w:rPr>
          <w:rFonts w:ascii="Arial" w:hAnsi="Arial" w:cs="Arial"/>
          <w:sz w:val="20"/>
          <w:szCs w:val="20"/>
          <w:lang w:val="mn-MN"/>
        </w:rPr>
        <w:t>бөгөөд эдгээр нь тэдгээрийн санхүүгийн зах зээлд гадаадын өндөр оролцоотой хэсэг байсан нь эдгээр улсуудыг хэлбэлзэлд өртөх эрсдлийг улам нэмэгдүүллээ. Холбооны шийдвэрийн ТХЗ-ийн хийхээ хойш</w:t>
      </w:r>
      <w:r w:rsidR="003E2396">
        <w:rPr>
          <w:rFonts w:ascii="Arial" w:hAnsi="Arial" w:cs="Arial"/>
          <w:sz w:val="20"/>
          <w:szCs w:val="20"/>
          <w:lang w:val="mn-MN"/>
        </w:rPr>
        <w:t>л</w:t>
      </w:r>
      <w:r>
        <w:rPr>
          <w:rFonts w:ascii="Arial" w:hAnsi="Arial" w:cs="Arial"/>
          <w:sz w:val="20"/>
          <w:szCs w:val="20"/>
          <w:lang w:val="mn-MN"/>
        </w:rPr>
        <w:t>уулахаар шийдсний дараагаар санхүүгийн зах зээлүүдийн тогтворжиж</w:t>
      </w:r>
      <w:r w:rsidR="00D1149A" w:rsidRPr="00492FC3">
        <w:rPr>
          <w:rFonts w:ascii="Arial" w:hAnsi="Arial" w:cs="Arial"/>
          <w:sz w:val="20"/>
          <w:szCs w:val="20"/>
        </w:rPr>
        <w:t xml:space="preserve">— </w:t>
      </w:r>
      <w:r>
        <w:rPr>
          <w:rFonts w:ascii="Arial" w:hAnsi="Arial" w:cs="Arial"/>
          <w:sz w:val="20"/>
          <w:szCs w:val="20"/>
          <w:lang w:val="mn-MN"/>
        </w:rPr>
        <w:t xml:space="preserve">ЗАНДБүс нутгуудад хамгийн хэрэгцээтэй байсан цаашдаа бүр бууруулах шийдвэрт хүрэхэд илүү сайн бэлтгэлтэй байх хоёр дахь боломжийг олголоо. </w:t>
      </w:r>
      <w:r w:rsidR="000A41C4">
        <w:rPr>
          <w:rFonts w:ascii="Arial" w:hAnsi="Arial" w:cs="Arial"/>
          <w:sz w:val="20"/>
          <w:szCs w:val="20"/>
          <w:lang w:val="mn-MN"/>
        </w:rPr>
        <w:t xml:space="preserve">Зөөлрүүлэлтийг байхгүй болгохоос үүдэх эрсдлүүдийг багасгах арга замуудад богино хугацааны болон гадаад валютаар илэрхийлэгдэх өрөөс хэтэрхий хамаарлаа багасгах, хэрвээ өсөлт боломжит түвшнээс бага байгаа тохиолдолд арай сул валютын ханшийг сонгох, мөн дэлхийн хөрвөх чадварт өөрчлөлт ороход бодлогын халхавчуудыг бий болгох явдал орно. </w:t>
      </w:r>
    </w:p>
    <w:p w14:paraId="19D9C72F" w14:textId="77777777" w:rsidR="00D1149A" w:rsidRPr="00492FC3" w:rsidRDefault="00D1149A" w:rsidP="00660167">
      <w:pPr>
        <w:autoSpaceDE w:val="0"/>
        <w:autoSpaceDN w:val="0"/>
        <w:adjustRightInd w:val="0"/>
        <w:spacing w:after="0"/>
        <w:jc w:val="both"/>
        <w:rPr>
          <w:rFonts w:ascii="Arial" w:hAnsi="Arial" w:cs="Arial"/>
          <w:b/>
          <w:sz w:val="20"/>
          <w:szCs w:val="20"/>
        </w:rPr>
      </w:pPr>
    </w:p>
    <w:p w14:paraId="52BB1025" w14:textId="218E24F7" w:rsidR="00D1149A" w:rsidRDefault="000A41C4" w:rsidP="00660167">
      <w:pPr>
        <w:autoSpaceDE w:val="0"/>
        <w:autoSpaceDN w:val="0"/>
        <w:adjustRightInd w:val="0"/>
        <w:spacing w:after="0"/>
        <w:jc w:val="both"/>
        <w:rPr>
          <w:rFonts w:ascii="Arial" w:hAnsi="Arial" w:cs="Arial"/>
          <w:sz w:val="20"/>
          <w:szCs w:val="20"/>
          <w:lang w:val="mn-MN"/>
        </w:rPr>
      </w:pPr>
      <w:r>
        <w:rPr>
          <w:rFonts w:ascii="Arial" w:hAnsi="Arial" w:cs="Arial"/>
          <w:b/>
          <w:sz w:val="20"/>
          <w:szCs w:val="20"/>
          <w:lang w:val="mn-MN"/>
        </w:rPr>
        <w:t>Дэлхийн түүхий эдийн зах зээл суларсан нь тухайн бүс нутгийн нөөц экспортлог</w:t>
      </w:r>
      <w:r w:rsidR="003E2396">
        <w:rPr>
          <w:rFonts w:ascii="Arial" w:hAnsi="Arial" w:cs="Arial"/>
          <w:b/>
          <w:sz w:val="20"/>
          <w:szCs w:val="20"/>
          <w:lang w:val="mn-MN"/>
        </w:rPr>
        <w:t xml:space="preserve">ч </w:t>
      </w:r>
      <w:r>
        <w:rPr>
          <w:rFonts w:ascii="Arial" w:hAnsi="Arial" w:cs="Arial"/>
          <w:b/>
          <w:sz w:val="20"/>
          <w:szCs w:val="20"/>
          <w:lang w:val="mn-MN"/>
        </w:rPr>
        <w:t xml:space="preserve">орнуудад </w:t>
      </w:r>
      <w:r w:rsidR="003E2396">
        <w:rPr>
          <w:rFonts w:ascii="Arial" w:hAnsi="Arial" w:cs="Arial"/>
          <w:b/>
          <w:sz w:val="20"/>
          <w:szCs w:val="20"/>
          <w:lang w:val="mn-MN"/>
        </w:rPr>
        <w:t>х</w:t>
      </w:r>
      <w:r>
        <w:rPr>
          <w:rFonts w:ascii="Arial" w:hAnsi="Arial" w:cs="Arial"/>
          <w:b/>
          <w:sz w:val="20"/>
          <w:szCs w:val="20"/>
          <w:lang w:val="mn-MN"/>
        </w:rPr>
        <w:t xml:space="preserve">үндрэл үүсгэж байна. </w:t>
      </w:r>
      <w:r>
        <w:rPr>
          <w:rFonts w:ascii="Arial" w:hAnsi="Arial" w:cs="Arial"/>
          <w:sz w:val="20"/>
          <w:szCs w:val="20"/>
          <w:lang w:val="mn-MN"/>
        </w:rPr>
        <w:t>Метал болон эрдэс бүтээгдэхүүний үнүүд хамгийн их буурсан</w:t>
      </w:r>
      <w:r w:rsidR="00D1149A" w:rsidRPr="00492FC3">
        <w:rPr>
          <w:rFonts w:ascii="Arial" w:hAnsi="Arial" w:cs="Arial"/>
          <w:sz w:val="20"/>
          <w:szCs w:val="20"/>
        </w:rPr>
        <w:t>—</w:t>
      </w:r>
      <w:r>
        <w:rPr>
          <w:rFonts w:ascii="Arial" w:hAnsi="Arial" w:cs="Arial"/>
          <w:sz w:val="20"/>
          <w:szCs w:val="20"/>
          <w:lang w:val="mn-MN"/>
        </w:rPr>
        <w:t xml:space="preserve">2011 оны 2 дугаар сард хямралын дараах үеэс энэ оны 7 дугаар сар хүртэл </w:t>
      </w:r>
      <w:r w:rsidR="00D1149A" w:rsidRPr="00492FC3">
        <w:rPr>
          <w:rFonts w:ascii="Arial" w:hAnsi="Arial" w:cs="Arial"/>
          <w:sz w:val="20"/>
          <w:szCs w:val="20"/>
        </w:rPr>
        <w:t xml:space="preserve">46 </w:t>
      </w:r>
      <w:r>
        <w:rPr>
          <w:rFonts w:ascii="Arial" w:hAnsi="Arial" w:cs="Arial"/>
          <w:sz w:val="20"/>
          <w:szCs w:val="20"/>
          <w:lang w:val="mn-MN"/>
        </w:rPr>
        <w:t>хувиар буурсан</w:t>
      </w:r>
      <w:r w:rsidR="00D1149A" w:rsidRPr="00492FC3">
        <w:rPr>
          <w:rFonts w:ascii="Arial" w:hAnsi="Arial" w:cs="Arial"/>
          <w:sz w:val="20"/>
          <w:szCs w:val="20"/>
        </w:rPr>
        <w:t xml:space="preserve"> (</w:t>
      </w:r>
      <w:r>
        <w:rPr>
          <w:rFonts w:ascii="Arial" w:hAnsi="Arial" w:cs="Arial"/>
          <w:sz w:val="20"/>
          <w:szCs w:val="20"/>
          <w:lang w:val="mn-MN"/>
        </w:rPr>
        <w:t>Зураг</w:t>
      </w:r>
      <w:r w:rsidRPr="00492FC3">
        <w:rPr>
          <w:rFonts w:ascii="Arial" w:hAnsi="Arial" w:cs="Arial"/>
          <w:sz w:val="20"/>
          <w:szCs w:val="20"/>
        </w:rPr>
        <w:t xml:space="preserve"> </w:t>
      </w:r>
      <w:r w:rsidR="00D1149A" w:rsidRPr="00492FC3">
        <w:rPr>
          <w:rFonts w:ascii="Arial" w:hAnsi="Arial" w:cs="Arial"/>
          <w:sz w:val="20"/>
          <w:szCs w:val="20"/>
        </w:rPr>
        <w:t xml:space="preserve">4). </w:t>
      </w:r>
      <w:r>
        <w:rPr>
          <w:rFonts w:ascii="Arial" w:hAnsi="Arial" w:cs="Arial"/>
          <w:sz w:val="20"/>
          <w:szCs w:val="20"/>
          <w:lang w:val="mn-MN"/>
        </w:rPr>
        <w:t xml:space="preserve">Тухайн бүс нутагт нөөц экспортлогч орнууд эрдэс бүтээгдэхүүний зах зээл сул байгаагаас нэлээд </w:t>
      </w:r>
      <w:r w:rsidR="003E2396">
        <w:rPr>
          <w:rFonts w:ascii="Arial" w:hAnsi="Arial" w:cs="Arial"/>
          <w:sz w:val="20"/>
          <w:szCs w:val="20"/>
          <w:lang w:val="mn-MN"/>
        </w:rPr>
        <w:t xml:space="preserve">түүнд </w:t>
      </w:r>
      <w:r>
        <w:rPr>
          <w:rFonts w:ascii="Arial" w:hAnsi="Arial" w:cs="Arial"/>
          <w:sz w:val="20"/>
          <w:szCs w:val="20"/>
          <w:lang w:val="mn-MN"/>
        </w:rPr>
        <w:t xml:space="preserve">хүчтэй өртөж байгаа бөгөөд ялангуяа Индонез, Монгол улс орж байна. </w:t>
      </w:r>
      <w:r w:rsidRPr="00630B23">
        <w:rPr>
          <w:rFonts w:ascii="Arial" w:hAnsi="Arial" w:cs="Arial"/>
          <w:sz w:val="20"/>
          <w:szCs w:val="20"/>
          <w:lang w:val="mn-MN"/>
        </w:rPr>
        <w:t>Индонез улсын</w:t>
      </w:r>
      <w:r w:rsidR="001D13DB" w:rsidRPr="00492FC3">
        <w:rPr>
          <w:rStyle w:val="FootnoteReference"/>
          <w:rFonts w:ascii="Arial" w:hAnsi="Arial" w:cs="Arial"/>
          <w:sz w:val="20"/>
          <w:szCs w:val="20"/>
        </w:rPr>
        <w:footnoteReference w:id="2"/>
      </w:r>
      <w:r>
        <w:rPr>
          <w:rFonts w:ascii="Arial" w:hAnsi="Arial" w:cs="Arial"/>
          <w:sz w:val="20"/>
          <w:szCs w:val="20"/>
          <w:lang w:val="mn-MN"/>
        </w:rPr>
        <w:t xml:space="preserve"> худалдааны нөхцөл 2012 дунд үеэс хүчтэй огцом муудсан. Малайз болон Вьетнам улс</w:t>
      </w:r>
      <w:r w:rsidR="00D1149A" w:rsidRPr="00492FC3">
        <w:rPr>
          <w:rStyle w:val="FootnoteReference"/>
          <w:rFonts w:ascii="Arial" w:hAnsi="Arial" w:cs="Arial"/>
          <w:sz w:val="20"/>
          <w:szCs w:val="20"/>
        </w:rPr>
        <w:footnoteReference w:id="3"/>
      </w:r>
      <w:r>
        <w:rPr>
          <w:rFonts w:ascii="Arial" w:hAnsi="Arial" w:cs="Arial"/>
          <w:sz w:val="20"/>
          <w:szCs w:val="20"/>
          <w:lang w:val="mn-MN"/>
        </w:rPr>
        <w:t xml:space="preserve"> нь </w:t>
      </w:r>
      <w:r w:rsidR="00312641">
        <w:rPr>
          <w:rFonts w:ascii="Arial" w:hAnsi="Arial" w:cs="Arial"/>
          <w:sz w:val="20"/>
          <w:szCs w:val="20"/>
          <w:lang w:val="mn-MN"/>
        </w:rPr>
        <w:t>шатахууны</w:t>
      </w:r>
      <w:r>
        <w:rPr>
          <w:rFonts w:ascii="Arial" w:hAnsi="Arial" w:cs="Arial"/>
          <w:sz w:val="20"/>
          <w:szCs w:val="20"/>
          <w:lang w:val="mn-MN"/>
        </w:rPr>
        <w:t xml:space="preserve"> экспортоос ихээхэн хамааралтай бөгөөд мөн л түүхий эдийн сул зах зээлд хүчтэй өртөж байна. Зүүн Азийн нүүрс, газрын тос, байгалийн хийн экспортууд 2012 оны дунд үеэс бууралттай байсан бөгөөд үүнд Монгол улс болон БНЛаос</w:t>
      </w:r>
      <w:r w:rsidR="00D1149A" w:rsidRPr="00492FC3">
        <w:rPr>
          <w:rStyle w:val="FootnoteReference"/>
          <w:rFonts w:ascii="Arial" w:hAnsi="Arial" w:cs="Arial"/>
          <w:sz w:val="20"/>
          <w:szCs w:val="20"/>
        </w:rPr>
        <w:footnoteReference w:id="4"/>
      </w:r>
      <w:r>
        <w:rPr>
          <w:rFonts w:ascii="Arial" w:hAnsi="Arial" w:cs="Arial"/>
          <w:sz w:val="20"/>
          <w:szCs w:val="20"/>
          <w:lang w:val="mn-MN"/>
        </w:rPr>
        <w:t xml:space="preserve"> улсуудад хүчтэй нөлөөллөө</w:t>
      </w:r>
      <w:r w:rsidR="00D1149A" w:rsidRPr="00492FC3">
        <w:rPr>
          <w:rFonts w:ascii="Arial" w:hAnsi="Arial" w:cs="Arial"/>
          <w:sz w:val="20"/>
          <w:szCs w:val="20"/>
        </w:rPr>
        <w:t xml:space="preserve">. </w:t>
      </w:r>
      <w:r>
        <w:rPr>
          <w:rFonts w:ascii="Arial" w:hAnsi="Arial" w:cs="Arial"/>
          <w:sz w:val="20"/>
          <w:szCs w:val="20"/>
          <w:lang w:val="mn-MN"/>
        </w:rPr>
        <w:t>Тухайн бүс нутагт бусад түүхий эд экспортлогч орнуудтай харьцуулбал, Монгол улсын урсгал дансны алдагдал</w:t>
      </w:r>
      <w:r w:rsidR="001D13DB" w:rsidRPr="00492FC3">
        <w:rPr>
          <w:rFonts w:ascii="Arial" w:hAnsi="Arial" w:cs="Arial"/>
          <w:sz w:val="20"/>
          <w:szCs w:val="20"/>
        </w:rPr>
        <w:t xml:space="preserve"> (</w:t>
      </w:r>
      <w:r>
        <w:rPr>
          <w:rFonts w:ascii="Arial" w:hAnsi="Arial" w:cs="Arial"/>
          <w:sz w:val="20"/>
          <w:szCs w:val="20"/>
          <w:lang w:val="mn-MN"/>
        </w:rPr>
        <w:t>ДНБ-ий 30 гаран хувь</w:t>
      </w:r>
      <w:r w:rsidR="001D13DB" w:rsidRPr="00492FC3">
        <w:rPr>
          <w:rFonts w:ascii="Arial" w:hAnsi="Arial" w:cs="Arial"/>
          <w:sz w:val="20"/>
          <w:szCs w:val="20"/>
        </w:rPr>
        <w:t xml:space="preserve">) </w:t>
      </w:r>
      <w:r>
        <w:rPr>
          <w:rFonts w:ascii="Arial" w:hAnsi="Arial" w:cs="Arial"/>
          <w:sz w:val="20"/>
          <w:szCs w:val="20"/>
          <w:lang w:val="mn-MN"/>
        </w:rPr>
        <w:t>хамгийн өндөр байгаа бөгөөд түүний дараагаар Лаос улс</w:t>
      </w:r>
      <w:r w:rsidR="001D13DB" w:rsidRPr="00492FC3">
        <w:rPr>
          <w:rFonts w:ascii="Arial" w:hAnsi="Arial" w:cs="Arial"/>
          <w:sz w:val="20"/>
          <w:szCs w:val="20"/>
        </w:rPr>
        <w:t xml:space="preserve"> (</w:t>
      </w:r>
      <w:r>
        <w:rPr>
          <w:rFonts w:ascii="Arial" w:hAnsi="Arial" w:cs="Arial"/>
          <w:sz w:val="20"/>
          <w:szCs w:val="20"/>
          <w:lang w:val="mn-MN"/>
        </w:rPr>
        <w:t>ойролцоогоор</w:t>
      </w:r>
      <w:r w:rsidRPr="00492FC3">
        <w:rPr>
          <w:rFonts w:ascii="Arial" w:hAnsi="Arial" w:cs="Arial"/>
          <w:sz w:val="20"/>
          <w:szCs w:val="20"/>
        </w:rPr>
        <w:t xml:space="preserve"> </w:t>
      </w:r>
      <w:r w:rsidR="001D13DB" w:rsidRPr="00492FC3">
        <w:rPr>
          <w:rFonts w:ascii="Arial" w:hAnsi="Arial" w:cs="Arial"/>
          <w:sz w:val="20"/>
          <w:szCs w:val="20"/>
        </w:rPr>
        <w:t xml:space="preserve">20 </w:t>
      </w:r>
      <w:r>
        <w:rPr>
          <w:rFonts w:ascii="Arial" w:hAnsi="Arial" w:cs="Arial"/>
          <w:sz w:val="20"/>
          <w:szCs w:val="20"/>
          <w:lang w:val="mn-MN"/>
        </w:rPr>
        <w:t>хувь</w:t>
      </w:r>
      <w:r w:rsidR="001D13DB" w:rsidRPr="00492FC3">
        <w:rPr>
          <w:rFonts w:ascii="Arial" w:hAnsi="Arial" w:cs="Arial"/>
          <w:sz w:val="20"/>
          <w:szCs w:val="20"/>
        </w:rPr>
        <w:t>)</w:t>
      </w:r>
      <w:r w:rsidR="0075164E" w:rsidRPr="00492FC3">
        <w:rPr>
          <w:rFonts w:ascii="Arial" w:hAnsi="Arial" w:cs="Arial"/>
          <w:sz w:val="20"/>
          <w:szCs w:val="20"/>
        </w:rPr>
        <w:t>,</w:t>
      </w:r>
      <w:r>
        <w:rPr>
          <w:rFonts w:ascii="Arial" w:hAnsi="Arial" w:cs="Arial"/>
          <w:sz w:val="20"/>
          <w:szCs w:val="20"/>
          <w:lang w:val="mn-MN"/>
        </w:rPr>
        <w:t xml:space="preserve"> Папуа Шинэ Гвиней</w:t>
      </w:r>
      <w:r w:rsidR="0075164E" w:rsidRPr="00492FC3">
        <w:rPr>
          <w:rFonts w:ascii="Arial" w:hAnsi="Arial" w:cs="Arial"/>
          <w:sz w:val="20"/>
          <w:szCs w:val="20"/>
        </w:rPr>
        <w:t xml:space="preserve"> (</w:t>
      </w:r>
      <w:r>
        <w:rPr>
          <w:rFonts w:ascii="Arial" w:hAnsi="Arial" w:cs="Arial"/>
          <w:sz w:val="20"/>
          <w:szCs w:val="20"/>
          <w:lang w:val="mn-MN"/>
        </w:rPr>
        <w:t>ойролцоогоор</w:t>
      </w:r>
      <w:r w:rsidRPr="00492FC3">
        <w:rPr>
          <w:rFonts w:ascii="Arial" w:hAnsi="Arial" w:cs="Arial"/>
          <w:sz w:val="20"/>
          <w:szCs w:val="20"/>
        </w:rPr>
        <w:t xml:space="preserve"> </w:t>
      </w:r>
      <w:r w:rsidR="0075164E" w:rsidRPr="00492FC3">
        <w:rPr>
          <w:rFonts w:ascii="Arial" w:hAnsi="Arial" w:cs="Arial"/>
          <w:sz w:val="20"/>
          <w:szCs w:val="20"/>
        </w:rPr>
        <w:t xml:space="preserve">12 </w:t>
      </w:r>
      <w:r>
        <w:rPr>
          <w:rFonts w:ascii="Arial" w:hAnsi="Arial" w:cs="Arial"/>
          <w:sz w:val="20"/>
          <w:szCs w:val="20"/>
          <w:lang w:val="mn-MN"/>
        </w:rPr>
        <w:t>хувь</w:t>
      </w:r>
      <w:r w:rsidR="0075164E" w:rsidRPr="00492FC3">
        <w:rPr>
          <w:rFonts w:ascii="Arial" w:hAnsi="Arial" w:cs="Arial"/>
          <w:sz w:val="20"/>
          <w:szCs w:val="20"/>
        </w:rPr>
        <w:t>)</w:t>
      </w:r>
      <w:r w:rsidR="001D13DB" w:rsidRPr="00492FC3">
        <w:rPr>
          <w:rFonts w:ascii="Arial" w:hAnsi="Arial" w:cs="Arial"/>
          <w:sz w:val="20"/>
          <w:szCs w:val="20"/>
        </w:rPr>
        <w:t xml:space="preserve"> </w:t>
      </w:r>
      <w:r>
        <w:rPr>
          <w:rFonts w:ascii="Arial" w:hAnsi="Arial" w:cs="Arial"/>
          <w:sz w:val="20"/>
          <w:szCs w:val="20"/>
          <w:lang w:val="mn-MN"/>
        </w:rPr>
        <w:t>мөн Индонез</w:t>
      </w:r>
      <w:r w:rsidR="001D13DB" w:rsidRPr="00492FC3">
        <w:rPr>
          <w:rFonts w:ascii="Arial" w:hAnsi="Arial" w:cs="Arial"/>
          <w:sz w:val="20"/>
          <w:szCs w:val="20"/>
        </w:rPr>
        <w:t xml:space="preserve"> (3.4 </w:t>
      </w:r>
      <w:r>
        <w:rPr>
          <w:rFonts w:ascii="Arial" w:hAnsi="Arial" w:cs="Arial"/>
          <w:sz w:val="20"/>
          <w:szCs w:val="20"/>
          <w:lang w:val="mn-MN"/>
        </w:rPr>
        <w:t>хувь</w:t>
      </w:r>
      <w:r w:rsidR="001D13DB" w:rsidRPr="00492FC3">
        <w:rPr>
          <w:rFonts w:ascii="Arial" w:hAnsi="Arial" w:cs="Arial"/>
          <w:sz w:val="20"/>
          <w:szCs w:val="20"/>
        </w:rPr>
        <w:t>)</w:t>
      </w:r>
      <w:r>
        <w:rPr>
          <w:rFonts w:ascii="Arial" w:hAnsi="Arial" w:cs="Arial"/>
          <w:sz w:val="20"/>
          <w:szCs w:val="20"/>
          <w:lang w:val="mn-MN"/>
        </w:rPr>
        <w:t xml:space="preserve"> байна</w:t>
      </w:r>
      <w:r w:rsidR="0075164E" w:rsidRPr="00492FC3">
        <w:rPr>
          <w:rFonts w:ascii="Arial" w:hAnsi="Arial" w:cs="Arial"/>
          <w:sz w:val="20"/>
          <w:szCs w:val="20"/>
        </w:rPr>
        <w:t>.</w:t>
      </w:r>
    </w:p>
    <w:p w14:paraId="24C3FF0F" w14:textId="77777777" w:rsidR="00312641" w:rsidRPr="00630B23" w:rsidRDefault="00312641" w:rsidP="00660167">
      <w:pPr>
        <w:autoSpaceDE w:val="0"/>
        <w:autoSpaceDN w:val="0"/>
        <w:adjustRightInd w:val="0"/>
        <w:spacing w:after="0"/>
        <w:jc w:val="both"/>
        <w:rPr>
          <w:rFonts w:ascii="Arial" w:hAnsi="Arial" w:cs="Arial"/>
          <w:sz w:val="16"/>
          <w:szCs w:val="20"/>
          <w:lang w:val="mn-MN"/>
        </w:rPr>
      </w:pPr>
    </w:p>
    <w:tbl>
      <w:tblPr>
        <w:tblpPr w:leftFromText="180" w:rightFromText="180" w:vertAnchor="text" w:horzAnchor="margin" w:tblpXSpec="right" w:tblpY="128"/>
        <w:tblOverlap w:val="never"/>
        <w:tblW w:w="0" w:type="auto"/>
        <w:tblLook w:val="04A0" w:firstRow="1" w:lastRow="0" w:firstColumn="1" w:lastColumn="0" w:noHBand="0" w:noVBand="1"/>
      </w:tblPr>
      <w:tblGrid>
        <w:gridCol w:w="4878"/>
      </w:tblGrid>
      <w:tr w:rsidR="00D1149A" w:rsidRPr="000A2BAB" w14:paraId="2A238BF6" w14:textId="77777777" w:rsidTr="00D1149A">
        <w:tc>
          <w:tcPr>
            <w:tcW w:w="4878" w:type="dxa"/>
            <w:tcBorders>
              <w:bottom w:val="single" w:sz="4" w:space="0" w:color="984806" w:themeColor="accent6" w:themeShade="80"/>
            </w:tcBorders>
          </w:tcPr>
          <w:p w14:paraId="6D672C83" w14:textId="520F330F" w:rsidR="00D1149A" w:rsidRPr="00660167" w:rsidRDefault="00D1149A" w:rsidP="00660167">
            <w:pPr>
              <w:pStyle w:val="Caption"/>
              <w:keepNext/>
              <w:jc w:val="both"/>
              <w:rPr>
                <w:color w:val="auto"/>
                <w:sz w:val="16"/>
                <w:szCs w:val="16"/>
              </w:rPr>
            </w:pPr>
            <w:r w:rsidRPr="000A2BAB">
              <w:rPr>
                <w:color w:val="auto"/>
                <w:sz w:val="16"/>
              </w:rPr>
              <w:t xml:space="preserve"> </w:t>
            </w:r>
            <w:r w:rsidR="00492FC3">
              <w:t xml:space="preserve"> </w:t>
            </w:r>
            <w:bookmarkStart w:id="12" w:name="_Toc371338614"/>
            <w:r w:rsidR="00AC7E8D">
              <w:rPr>
                <w:sz w:val="16"/>
                <w:szCs w:val="16"/>
                <w:lang w:val="mn-MN"/>
              </w:rPr>
              <w:t>Зураг</w:t>
            </w:r>
            <w:r w:rsidR="00492FC3" w:rsidRPr="00660167">
              <w:rPr>
                <w:sz w:val="16"/>
                <w:szCs w:val="16"/>
              </w:rPr>
              <w:t xml:space="preserve"> </w:t>
            </w:r>
            <w:r w:rsidR="002E38E0">
              <w:rPr>
                <w:sz w:val="16"/>
                <w:szCs w:val="16"/>
              </w:rPr>
              <w:fldChar w:fldCharType="begin"/>
            </w:r>
            <w:r w:rsidR="002E38E0">
              <w:rPr>
                <w:sz w:val="16"/>
                <w:szCs w:val="16"/>
              </w:rPr>
              <w:instrText xml:space="preserve"> SEQ Figure \* ARABIC </w:instrText>
            </w:r>
            <w:r w:rsidR="002E38E0">
              <w:rPr>
                <w:sz w:val="16"/>
                <w:szCs w:val="16"/>
              </w:rPr>
              <w:fldChar w:fldCharType="separate"/>
            </w:r>
            <w:r w:rsidR="002E38E0">
              <w:rPr>
                <w:noProof/>
                <w:sz w:val="16"/>
                <w:szCs w:val="16"/>
              </w:rPr>
              <w:t>4</w:t>
            </w:r>
            <w:r w:rsidR="002E38E0">
              <w:rPr>
                <w:sz w:val="16"/>
                <w:szCs w:val="16"/>
              </w:rPr>
              <w:fldChar w:fldCharType="end"/>
            </w:r>
            <w:r w:rsidR="00492FC3" w:rsidRPr="00660167">
              <w:rPr>
                <w:sz w:val="16"/>
                <w:szCs w:val="16"/>
              </w:rPr>
              <w:t xml:space="preserve">. </w:t>
            </w:r>
            <w:r w:rsidR="00AC7E8D">
              <w:rPr>
                <w:sz w:val="16"/>
                <w:szCs w:val="16"/>
                <w:lang w:val="mn-MN"/>
              </w:rPr>
              <w:t>Түүхий эдийн зах зээл сул байгаа нь тухайн бүс нутгийн байгалийн нөөц экспортлогч орнуудад хүнд тусч байна</w:t>
            </w:r>
            <w:r w:rsidR="00492FC3" w:rsidRPr="00660167">
              <w:rPr>
                <w:sz w:val="16"/>
                <w:szCs w:val="16"/>
              </w:rPr>
              <w:t>.</w:t>
            </w:r>
            <w:bookmarkEnd w:id="12"/>
          </w:p>
        </w:tc>
      </w:tr>
      <w:tr w:rsidR="00D1149A" w:rsidRPr="000A2BAB" w14:paraId="6BCAC232" w14:textId="77777777" w:rsidTr="00D1149A">
        <w:tc>
          <w:tcPr>
            <w:tcW w:w="4878" w:type="dxa"/>
            <w:tcBorders>
              <w:top w:val="single" w:sz="4" w:space="0" w:color="984806" w:themeColor="accent6" w:themeShade="80"/>
            </w:tcBorders>
          </w:tcPr>
          <w:p w14:paraId="30BD2546" w14:textId="2C26968D" w:rsidR="00D1149A" w:rsidRPr="00266CCE" w:rsidRDefault="0073396E" w:rsidP="00D1149A">
            <w:pPr>
              <w:pStyle w:val="NoSpacing"/>
              <w:spacing w:after="60"/>
              <w:jc w:val="both"/>
            </w:pPr>
            <w:r>
              <w:rPr>
                <w:sz w:val="16"/>
                <w:lang w:val="mn-MN"/>
              </w:rPr>
              <w:t xml:space="preserve">Урсгал дансны тэнцэлийн ДНБ-д харьцуулсан харьцаа, </w:t>
            </w:r>
            <w:r w:rsidR="00D1149A" w:rsidRPr="00266CCE">
              <w:rPr>
                <w:sz w:val="16"/>
              </w:rPr>
              <w:t>%</w:t>
            </w:r>
          </w:p>
          <w:p w14:paraId="634BBE27" w14:textId="77777777" w:rsidR="00D1149A" w:rsidRPr="000A2BAB" w:rsidRDefault="00D1149A" w:rsidP="00D1149A">
            <w:pPr>
              <w:pStyle w:val="NoSpacing"/>
              <w:spacing w:after="60"/>
              <w:jc w:val="both"/>
            </w:pPr>
            <w:r>
              <w:rPr>
                <w:noProof/>
              </w:rPr>
              <w:drawing>
                <wp:inline distT="0" distB="0" distL="0" distR="0" wp14:anchorId="20624D00" wp14:editId="4292B9B7">
                  <wp:extent cx="2875085" cy="1573823"/>
                  <wp:effectExtent l="0" t="0" r="1905" b="762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c>
      </w:tr>
      <w:tr w:rsidR="00D1149A" w:rsidRPr="000A2BAB" w14:paraId="0ABEC194" w14:textId="77777777" w:rsidTr="00D1149A">
        <w:trPr>
          <w:trHeight w:val="80"/>
        </w:trPr>
        <w:tc>
          <w:tcPr>
            <w:tcW w:w="4878" w:type="dxa"/>
          </w:tcPr>
          <w:p w14:paraId="5C88E4CF" w14:textId="486572B0" w:rsidR="00D1149A" w:rsidRPr="004D167B" w:rsidRDefault="00D1149A" w:rsidP="008F762B">
            <w:pPr>
              <w:pStyle w:val="NoSpacing"/>
              <w:spacing w:after="60"/>
              <w:jc w:val="both"/>
              <w:rPr>
                <w:sz w:val="14"/>
                <w:szCs w:val="18"/>
              </w:rPr>
            </w:pPr>
            <w:r>
              <w:rPr>
                <w:i/>
                <w:sz w:val="14"/>
                <w:szCs w:val="18"/>
              </w:rPr>
              <w:t xml:space="preserve">   </w:t>
            </w:r>
            <w:r w:rsidR="0073396E">
              <w:rPr>
                <w:i/>
                <w:sz w:val="14"/>
                <w:szCs w:val="18"/>
                <w:lang w:val="mn-MN"/>
              </w:rPr>
              <w:t>Эх үүсвэр</w:t>
            </w:r>
            <w:r w:rsidRPr="000A2BAB">
              <w:rPr>
                <w:i/>
                <w:sz w:val="14"/>
                <w:szCs w:val="18"/>
              </w:rPr>
              <w:t>:</w:t>
            </w:r>
            <w:r w:rsidRPr="000A2BAB">
              <w:rPr>
                <w:sz w:val="14"/>
                <w:szCs w:val="18"/>
              </w:rPr>
              <w:t xml:space="preserve"> </w:t>
            </w:r>
            <w:r w:rsidR="0073396E">
              <w:rPr>
                <w:sz w:val="14"/>
                <w:szCs w:val="18"/>
                <w:lang w:val="mn-MN"/>
              </w:rPr>
              <w:t>ДБ, ОУВС тоо мэдээ</w:t>
            </w:r>
            <w:r>
              <w:rPr>
                <w:sz w:val="14"/>
                <w:szCs w:val="18"/>
              </w:rPr>
              <w:t xml:space="preserve">, </w:t>
            </w:r>
            <w:r w:rsidR="0073396E">
              <w:rPr>
                <w:sz w:val="14"/>
                <w:szCs w:val="18"/>
                <w:lang w:val="mn-MN"/>
              </w:rPr>
              <w:t>ДБ-ны мэргэжилтнүүдийн тооцоо</w:t>
            </w:r>
            <w:r w:rsidRPr="000A2BAB">
              <w:rPr>
                <w:sz w:val="14"/>
                <w:szCs w:val="18"/>
              </w:rPr>
              <w:t>.</w:t>
            </w:r>
          </w:p>
        </w:tc>
      </w:tr>
    </w:tbl>
    <w:p w14:paraId="678FC083" w14:textId="652CEF05" w:rsidR="00D1149A" w:rsidRPr="00492FC3" w:rsidRDefault="0073396E" w:rsidP="00D1149A">
      <w:pPr>
        <w:autoSpaceDE w:val="0"/>
        <w:autoSpaceDN w:val="0"/>
        <w:adjustRightInd w:val="0"/>
        <w:spacing w:after="0"/>
        <w:jc w:val="both"/>
        <w:rPr>
          <w:rFonts w:ascii="Arial" w:hAnsi="Arial" w:cs="Arial"/>
          <w:sz w:val="20"/>
          <w:szCs w:val="20"/>
        </w:rPr>
      </w:pPr>
      <w:r>
        <w:rPr>
          <w:rFonts w:ascii="Arial" w:hAnsi="Arial" w:cs="Arial"/>
          <w:b/>
          <w:sz w:val="20"/>
          <w:szCs w:val="20"/>
          <w:lang w:val="mn-MN"/>
        </w:rPr>
        <w:t>Дэлхийн эдийн засгийн өсөлт сайжирч байгаа нь хөгжиж буй Зүүн Азийн өсөлтийг 7 хувиас дээгүүр өсөлттэй байлгахаар байгаа бөгөөд энэ байдал нь түүний дэлхийн эдийн засаг</w:t>
      </w:r>
      <w:r w:rsidR="003E2396">
        <w:rPr>
          <w:rFonts w:ascii="Arial" w:hAnsi="Arial" w:cs="Arial"/>
          <w:b/>
          <w:sz w:val="20"/>
          <w:szCs w:val="20"/>
          <w:lang w:val="mn-MN"/>
        </w:rPr>
        <w:t>т</w:t>
      </w:r>
      <w:r>
        <w:rPr>
          <w:rFonts w:ascii="Arial" w:hAnsi="Arial" w:cs="Arial"/>
          <w:b/>
          <w:sz w:val="20"/>
          <w:szCs w:val="20"/>
          <w:lang w:val="mn-MN"/>
        </w:rPr>
        <w:t xml:space="preserve"> тэргүүлэх байр суурийг хадгална. </w:t>
      </w:r>
      <w:r>
        <w:rPr>
          <w:rFonts w:ascii="Arial" w:hAnsi="Arial" w:cs="Arial"/>
          <w:sz w:val="20"/>
          <w:szCs w:val="20"/>
          <w:lang w:val="mn-MN"/>
        </w:rPr>
        <w:t xml:space="preserve">Дэлхийн банк хөгжиж буй Зүүн Азийн өсөлтийн таамалалаа бууруулж энэ жилд </w:t>
      </w:r>
      <w:r w:rsidR="00D1149A" w:rsidRPr="00492FC3">
        <w:rPr>
          <w:rFonts w:ascii="Arial" w:hAnsi="Arial" w:cs="Arial"/>
          <w:sz w:val="20"/>
          <w:szCs w:val="20"/>
        </w:rPr>
        <w:t>7.1</w:t>
      </w:r>
      <w:r>
        <w:rPr>
          <w:rFonts w:ascii="Arial" w:hAnsi="Arial" w:cs="Arial"/>
          <w:sz w:val="20"/>
          <w:szCs w:val="20"/>
          <w:lang w:val="mn-MN"/>
        </w:rPr>
        <w:t xml:space="preserve"> хувь, 2014 онд 7.3 хувь гэж шинэчиллээ</w:t>
      </w:r>
      <w:r w:rsidR="00D1149A" w:rsidRPr="00492FC3">
        <w:rPr>
          <w:rFonts w:ascii="Arial" w:hAnsi="Arial" w:cs="Arial"/>
          <w:sz w:val="20"/>
          <w:szCs w:val="20"/>
        </w:rPr>
        <w:t>. (</w:t>
      </w:r>
      <w:r>
        <w:rPr>
          <w:rFonts w:ascii="Arial" w:hAnsi="Arial" w:cs="Arial"/>
          <w:sz w:val="20"/>
          <w:szCs w:val="20"/>
          <w:lang w:val="mn-MN"/>
        </w:rPr>
        <w:t>Хүснэгт</w:t>
      </w:r>
      <w:r w:rsidRPr="00492FC3">
        <w:rPr>
          <w:rFonts w:ascii="Arial" w:hAnsi="Arial" w:cs="Arial"/>
          <w:sz w:val="20"/>
          <w:szCs w:val="20"/>
        </w:rPr>
        <w:t xml:space="preserve"> </w:t>
      </w:r>
      <w:r w:rsidR="00D1149A" w:rsidRPr="00492FC3">
        <w:rPr>
          <w:rFonts w:ascii="Arial" w:hAnsi="Arial" w:cs="Arial"/>
          <w:sz w:val="20"/>
          <w:szCs w:val="20"/>
        </w:rPr>
        <w:t xml:space="preserve">1) </w:t>
      </w:r>
      <w:r>
        <w:rPr>
          <w:rFonts w:ascii="Arial" w:hAnsi="Arial" w:cs="Arial"/>
          <w:sz w:val="20"/>
          <w:szCs w:val="20"/>
          <w:lang w:val="mn-MN"/>
        </w:rPr>
        <w:t>Хятад улсын өсөлт нь 2013 онд тавьсан албан ёсны тоон зорилт</w:t>
      </w:r>
      <w:r w:rsidR="003E2396">
        <w:rPr>
          <w:rFonts w:ascii="Arial" w:hAnsi="Arial" w:cs="Arial"/>
          <w:sz w:val="20"/>
          <w:szCs w:val="20"/>
          <w:lang w:val="mn-MN"/>
        </w:rPr>
        <w:t>д</w:t>
      </w:r>
      <w:r>
        <w:rPr>
          <w:rFonts w:ascii="Arial" w:hAnsi="Arial" w:cs="Arial"/>
          <w:sz w:val="20"/>
          <w:szCs w:val="20"/>
          <w:lang w:val="mn-MN"/>
        </w:rPr>
        <w:t xml:space="preserve">оо хүрэхээр байна. Дунд хугацаанд Хятад улсын өсөлт нь </w:t>
      </w:r>
      <w:r w:rsidR="00D1149A" w:rsidRPr="00492FC3">
        <w:rPr>
          <w:rFonts w:ascii="Arial" w:hAnsi="Arial" w:cs="Arial"/>
          <w:sz w:val="20"/>
          <w:szCs w:val="20"/>
        </w:rPr>
        <w:t xml:space="preserve">7.5 </w:t>
      </w:r>
      <w:r>
        <w:rPr>
          <w:rFonts w:ascii="Arial" w:hAnsi="Arial" w:cs="Arial"/>
          <w:sz w:val="20"/>
          <w:szCs w:val="20"/>
          <w:lang w:val="mn-MN"/>
        </w:rPr>
        <w:t>болон</w:t>
      </w:r>
      <w:r w:rsidR="00D1149A" w:rsidRPr="00492FC3">
        <w:rPr>
          <w:rFonts w:ascii="Arial" w:hAnsi="Arial" w:cs="Arial"/>
          <w:sz w:val="20"/>
          <w:szCs w:val="20"/>
        </w:rPr>
        <w:t xml:space="preserve"> 7.7 </w:t>
      </w:r>
      <w:r>
        <w:rPr>
          <w:rFonts w:ascii="Arial" w:hAnsi="Arial" w:cs="Arial"/>
          <w:sz w:val="20"/>
          <w:szCs w:val="20"/>
          <w:lang w:val="mn-MN"/>
        </w:rPr>
        <w:t xml:space="preserve">хувийн хооронд байхаар байгаа бөгөөд удирдлагууд бүтээмж, шинэчлэлд илүү анхаарлаа хандуулан, хөрөнгө оруулалтад чиглэгдсэн эдийн засгаас хэрэглээнд суурилсан эдийн засаг болгохоор чиглүүлж байна. Хэдийгээр 2013 онд өсөлтөд бага зэрэг бууралт гарсан ч Зүүн Ази, Номхон Далайн Бүс нутаг </w:t>
      </w:r>
      <w:r>
        <w:rPr>
          <w:rFonts w:ascii="Arial" w:hAnsi="Arial" w:cs="Arial"/>
          <w:sz w:val="20"/>
          <w:szCs w:val="20"/>
        </w:rPr>
        <w:t>(</w:t>
      </w:r>
      <w:r>
        <w:rPr>
          <w:rFonts w:ascii="Arial" w:hAnsi="Arial" w:cs="Arial"/>
          <w:sz w:val="20"/>
          <w:szCs w:val="20"/>
          <w:lang w:val="mn-MN"/>
        </w:rPr>
        <w:t>ЗАНДБН</w:t>
      </w:r>
      <w:r>
        <w:rPr>
          <w:rFonts w:ascii="Arial" w:hAnsi="Arial" w:cs="Arial"/>
          <w:sz w:val="20"/>
          <w:szCs w:val="20"/>
        </w:rPr>
        <w:t xml:space="preserve">) </w:t>
      </w:r>
      <w:r>
        <w:rPr>
          <w:rFonts w:ascii="Arial" w:hAnsi="Arial" w:cs="Arial"/>
          <w:sz w:val="20"/>
          <w:szCs w:val="20"/>
          <w:lang w:val="mn-MN"/>
        </w:rPr>
        <w:t>нь дэлхийн эдийн зас</w:t>
      </w:r>
      <w:r w:rsidR="003E2396">
        <w:rPr>
          <w:rFonts w:ascii="Arial" w:hAnsi="Arial" w:cs="Arial"/>
          <w:sz w:val="20"/>
          <w:szCs w:val="20"/>
          <w:lang w:val="mn-MN"/>
        </w:rPr>
        <w:t>гийн</w:t>
      </w:r>
      <w:r>
        <w:rPr>
          <w:rFonts w:ascii="Arial" w:hAnsi="Arial" w:cs="Arial"/>
          <w:sz w:val="20"/>
          <w:szCs w:val="20"/>
          <w:lang w:val="mn-MN"/>
        </w:rPr>
        <w:t xml:space="preserve"> тавны хоёр хувь, дэлхийн худалдааны гуравны нэгийг үйлдвэрлэж, энэ нь дэлхийн аль ч бус нутгаас өндөр байх болно. </w:t>
      </w:r>
    </w:p>
    <w:p w14:paraId="10D95223" w14:textId="77777777" w:rsidR="00D1149A" w:rsidRPr="00266CCE" w:rsidRDefault="00D1149A" w:rsidP="00D1149A">
      <w:pPr>
        <w:autoSpaceDE w:val="0"/>
        <w:autoSpaceDN w:val="0"/>
        <w:adjustRightInd w:val="0"/>
        <w:spacing w:after="0"/>
        <w:jc w:val="both"/>
        <w:rPr>
          <w:rFonts w:ascii="Arial" w:hAnsi="Arial" w:cs="Arial"/>
          <w:sz w:val="14"/>
          <w:szCs w:val="20"/>
        </w:rPr>
      </w:pPr>
      <w:r>
        <w:rPr>
          <w:rFonts w:ascii="Arial" w:hAnsi="Arial" w:cs="Arial"/>
          <w:sz w:val="20"/>
          <w:szCs w:val="20"/>
        </w:rPr>
        <w:t xml:space="preserve"> </w:t>
      </w:r>
    </w:p>
    <w:p w14:paraId="6C165319" w14:textId="155B01BC" w:rsidR="00717B1D" w:rsidRPr="00660167" w:rsidRDefault="00D1149A" w:rsidP="00660167">
      <w:pPr>
        <w:pStyle w:val="Caption"/>
        <w:keepNext/>
        <w:rPr>
          <w:rFonts w:ascii="Arial" w:hAnsi="Arial" w:cs="Arial"/>
          <w:lang w:val="mn-MN"/>
        </w:rPr>
      </w:pPr>
      <w:r w:rsidRPr="003D038D">
        <w:rPr>
          <w:rFonts w:ascii="Arial" w:hAnsi="Arial" w:cs="Arial"/>
          <w:szCs w:val="20"/>
        </w:rPr>
        <w:lastRenderedPageBreak/>
        <w:t xml:space="preserve"> </w:t>
      </w:r>
      <w:bookmarkStart w:id="13" w:name="_Toc371338971"/>
      <w:r w:rsidR="0073396E">
        <w:rPr>
          <w:rFonts w:ascii="Arial" w:hAnsi="Arial" w:cs="Arial"/>
          <w:lang w:val="mn-MN"/>
        </w:rPr>
        <w:t>Хүснэгт</w:t>
      </w:r>
      <w:r w:rsidR="00717B1D" w:rsidRPr="00660167">
        <w:rPr>
          <w:rFonts w:ascii="Arial" w:hAnsi="Arial" w:cs="Arial"/>
        </w:rPr>
        <w:t xml:space="preserve"> </w:t>
      </w:r>
      <w:r w:rsidR="00717B1D" w:rsidRPr="00660167">
        <w:rPr>
          <w:rFonts w:ascii="Arial" w:hAnsi="Arial" w:cs="Arial"/>
        </w:rPr>
        <w:fldChar w:fldCharType="begin"/>
      </w:r>
      <w:r w:rsidR="00717B1D" w:rsidRPr="00660167">
        <w:rPr>
          <w:rFonts w:ascii="Arial" w:hAnsi="Arial" w:cs="Arial"/>
        </w:rPr>
        <w:instrText xml:space="preserve"> SEQ Table \* ARABIC </w:instrText>
      </w:r>
      <w:r w:rsidR="00717B1D" w:rsidRPr="00660167">
        <w:rPr>
          <w:rFonts w:ascii="Arial" w:hAnsi="Arial" w:cs="Arial"/>
        </w:rPr>
        <w:fldChar w:fldCharType="separate"/>
      </w:r>
      <w:r w:rsidR="00717B1D" w:rsidRPr="00660167">
        <w:rPr>
          <w:rFonts w:ascii="Arial" w:hAnsi="Arial" w:cs="Arial"/>
          <w:noProof/>
        </w:rPr>
        <w:t>1</w:t>
      </w:r>
      <w:r w:rsidR="00717B1D" w:rsidRPr="00660167">
        <w:rPr>
          <w:rFonts w:ascii="Arial" w:hAnsi="Arial" w:cs="Arial"/>
        </w:rPr>
        <w:fldChar w:fldCharType="end"/>
      </w:r>
      <w:r w:rsidR="00717B1D" w:rsidRPr="00660167">
        <w:rPr>
          <w:rFonts w:ascii="Arial" w:hAnsi="Arial" w:cs="Arial"/>
        </w:rPr>
        <w:t xml:space="preserve">. </w:t>
      </w:r>
      <w:r w:rsidR="0073396E">
        <w:rPr>
          <w:rFonts w:ascii="Arial" w:hAnsi="Arial" w:cs="Arial"/>
          <w:lang w:val="mn-MN"/>
        </w:rPr>
        <w:t>Зүүн Ази болон Номхон Далайн бүс нутаг</w:t>
      </w:r>
      <w:r w:rsidR="00717B1D" w:rsidRPr="00660167">
        <w:rPr>
          <w:rFonts w:ascii="Arial" w:hAnsi="Arial" w:cs="Arial"/>
        </w:rPr>
        <w:t xml:space="preserve">: </w:t>
      </w:r>
      <w:r w:rsidR="0073396E">
        <w:rPr>
          <w:rFonts w:ascii="Arial" w:hAnsi="Arial" w:cs="Arial"/>
          <w:lang w:val="mn-MN"/>
        </w:rPr>
        <w:t>ДНБ-ий өсөлтийн таамаглал</w:t>
      </w:r>
      <w:bookmarkEnd w:id="13"/>
    </w:p>
    <w:tbl>
      <w:tblPr>
        <w:tblW w:w="8961" w:type="dxa"/>
        <w:jc w:val="center"/>
        <w:tblBorders>
          <w:top w:val="single" w:sz="4" w:space="0" w:color="auto"/>
          <w:bottom w:val="single" w:sz="4" w:space="0" w:color="auto"/>
        </w:tblBorders>
        <w:tblLayout w:type="fixed"/>
        <w:tblLook w:val="04A0" w:firstRow="1" w:lastRow="0" w:firstColumn="1" w:lastColumn="0" w:noHBand="0" w:noVBand="1"/>
      </w:tblPr>
      <w:tblGrid>
        <w:gridCol w:w="4391"/>
        <w:gridCol w:w="37"/>
        <w:gridCol w:w="1105"/>
        <w:gridCol w:w="28"/>
        <w:gridCol w:w="1115"/>
        <w:gridCol w:w="18"/>
        <w:gridCol w:w="855"/>
        <w:gridCol w:w="269"/>
        <w:gridCol w:w="9"/>
        <w:gridCol w:w="1134"/>
      </w:tblGrid>
      <w:tr w:rsidR="00D1149A" w:rsidRPr="002C31AD" w14:paraId="2BED2FEC" w14:textId="77777777" w:rsidTr="00D1149A">
        <w:trPr>
          <w:trHeight w:val="215"/>
          <w:jc w:val="center"/>
        </w:trPr>
        <w:tc>
          <w:tcPr>
            <w:tcW w:w="4428" w:type="dxa"/>
            <w:gridSpan w:val="2"/>
            <w:tcBorders>
              <w:top w:val="single" w:sz="4" w:space="0" w:color="auto"/>
              <w:bottom w:val="nil"/>
            </w:tcBorders>
            <w:shd w:val="clear" w:color="auto" w:fill="auto"/>
            <w:noWrap/>
            <w:vAlign w:val="bottom"/>
            <w:hideMark/>
          </w:tcPr>
          <w:p w14:paraId="6BD6422F" w14:textId="77777777" w:rsidR="00D1149A" w:rsidRPr="002C31AD" w:rsidRDefault="00D1149A" w:rsidP="00D1149A">
            <w:pPr>
              <w:spacing w:after="0" w:line="240" w:lineRule="auto"/>
              <w:rPr>
                <w:rFonts w:ascii="Arial" w:eastAsia="Times New Roman" w:hAnsi="Arial" w:cs="Arial"/>
                <w:color w:val="000000"/>
                <w:sz w:val="16"/>
                <w:szCs w:val="20"/>
              </w:rPr>
            </w:pPr>
          </w:p>
        </w:tc>
        <w:tc>
          <w:tcPr>
            <w:tcW w:w="1133" w:type="dxa"/>
            <w:gridSpan w:val="2"/>
            <w:tcBorders>
              <w:top w:val="single" w:sz="4" w:space="0" w:color="auto"/>
              <w:bottom w:val="single" w:sz="4" w:space="0" w:color="auto"/>
            </w:tcBorders>
            <w:shd w:val="clear" w:color="auto" w:fill="auto"/>
            <w:noWrap/>
            <w:vAlign w:val="bottom"/>
            <w:hideMark/>
          </w:tcPr>
          <w:p w14:paraId="15B5FE63" w14:textId="77777777" w:rsidR="00D1149A" w:rsidRPr="002C31AD" w:rsidRDefault="00D1149A" w:rsidP="00D1149A">
            <w:pPr>
              <w:spacing w:after="0" w:line="240" w:lineRule="auto"/>
              <w:jc w:val="center"/>
              <w:rPr>
                <w:rFonts w:ascii="Arial" w:eastAsia="Times New Roman" w:hAnsi="Arial" w:cs="Arial"/>
                <w:b/>
                <w:color w:val="000000"/>
                <w:sz w:val="16"/>
                <w:szCs w:val="20"/>
              </w:rPr>
            </w:pPr>
          </w:p>
        </w:tc>
        <w:tc>
          <w:tcPr>
            <w:tcW w:w="1133" w:type="dxa"/>
            <w:gridSpan w:val="2"/>
            <w:tcBorders>
              <w:top w:val="single" w:sz="4" w:space="0" w:color="auto"/>
              <w:bottom w:val="single" w:sz="4" w:space="0" w:color="auto"/>
            </w:tcBorders>
            <w:shd w:val="clear" w:color="auto" w:fill="auto"/>
            <w:noWrap/>
            <w:vAlign w:val="bottom"/>
            <w:hideMark/>
          </w:tcPr>
          <w:p w14:paraId="01ECD271" w14:textId="77777777" w:rsidR="00D1149A" w:rsidRPr="002C31AD" w:rsidRDefault="00D1149A" w:rsidP="00D1149A">
            <w:pPr>
              <w:spacing w:after="0" w:line="240" w:lineRule="auto"/>
              <w:jc w:val="center"/>
              <w:rPr>
                <w:rFonts w:ascii="Arial" w:eastAsia="Times New Roman" w:hAnsi="Arial" w:cs="Arial"/>
                <w:b/>
                <w:color w:val="000000"/>
                <w:sz w:val="16"/>
                <w:szCs w:val="20"/>
              </w:rPr>
            </w:pPr>
          </w:p>
        </w:tc>
        <w:tc>
          <w:tcPr>
            <w:tcW w:w="1133" w:type="dxa"/>
            <w:gridSpan w:val="3"/>
            <w:tcBorders>
              <w:top w:val="single" w:sz="4" w:space="0" w:color="auto"/>
              <w:bottom w:val="single" w:sz="4" w:space="0" w:color="auto"/>
            </w:tcBorders>
            <w:shd w:val="clear" w:color="auto" w:fill="auto"/>
            <w:noWrap/>
            <w:vAlign w:val="bottom"/>
            <w:hideMark/>
          </w:tcPr>
          <w:p w14:paraId="7551EE8C" w14:textId="5F5E3EB8" w:rsidR="00D1149A" w:rsidRPr="00660167" w:rsidRDefault="0073396E" w:rsidP="00D1149A">
            <w:pPr>
              <w:spacing w:after="0" w:line="240" w:lineRule="auto"/>
              <w:jc w:val="center"/>
              <w:rPr>
                <w:rFonts w:ascii="Arial" w:eastAsia="Times New Roman" w:hAnsi="Arial" w:cs="Arial"/>
                <w:b/>
                <w:color w:val="000000"/>
                <w:sz w:val="16"/>
                <w:szCs w:val="20"/>
                <w:lang w:val="mn-MN"/>
              </w:rPr>
            </w:pPr>
            <w:r>
              <w:rPr>
                <w:rFonts w:ascii="Arial" w:eastAsia="Times New Roman" w:hAnsi="Arial" w:cs="Arial"/>
                <w:b/>
                <w:color w:val="000000"/>
                <w:sz w:val="16"/>
                <w:szCs w:val="20"/>
                <w:lang w:val="mn-MN"/>
              </w:rPr>
              <w:t>Таамаглал</w:t>
            </w:r>
          </w:p>
        </w:tc>
        <w:tc>
          <w:tcPr>
            <w:tcW w:w="1134" w:type="dxa"/>
            <w:tcBorders>
              <w:top w:val="single" w:sz="4" w:space="0" w:color="auto"/>
              <w:bottom w:val="single" w:sz="4" w:space="0" w:color="auto"/>
            </w:tcBorders>
            <w:shd w:val="clear" w:color="auto" w:fill="auto"/>
            <w:noWrap/>
            <w:vAlign w:val="bottom"/>
            <w:hideMark/>
          </w:tcPr>
          <w:p w14:paraId="63396539" w14:textId="3D99063D" w:rsidR="00D1149A" w:rsidRPr="00660167" w:rsidRDefault="0073396E" w:rsidP="00D1149A">
            <w:pPr>
              <w:spacing w:after="0" w:line="240" w:lineRule="auto"/>
              <w:jc w:val="center"/>
              <w:rPr>
                <w:rFonts w:ascii="Arial" w:eastAsia="Times New Roman" w:hAnsi="Arial" w:cs="Arial"/>
                <w:b/>
                <w:color w:val="000000"/>
                <w:sz w:val="16"/>
                <w:szCs w:val="20"/>
                <w:lang w:val="mn-MN"/>
              </w:rPr>
            </w:pPr>
            <w:r>
              <w:rPr>
                <w:rFonts w:ascii="Arial" w:eastAsia="Times New Roman" w:hAnsi="Arial" w:cs="Arial"/>
                <w:b/>
                <w:color w:val="000000"/>
                <w:sz w:val="16"/>
                <w:szCs w:val="20"/>
                <w:lang w:val="mn-MN"/>
              </w:rPr>
              <w:t>Таамаглал</w:t>
            </w:r>
          </w:p>
        </w:tc>
      </w:tr>
      <w:tr w:rsidR="00D1149A" w:rsidRPr="002C31AD" w14:paraId="15C0194A" w14:textId="77777777" w:rsidTr="00D1149A">
        <w:trPr>
          <w:trHeight w:val="152"/>
          <w:jc w:val="center"/>
        </w:trPr>
        <w:tc>
          <w:tcPr>
            <w:tcW w:w="4428" w:type="dxa"/>
            <w:gridSpan w:val="2"/>
            <w:tcBorders>
              <w:top w:val="nil"/>
              <w:bottom w:val="single" w:sz="4" w:space="0" w:color="auto"/>
            </w:tcBorders>
            <w:shd w:val="clear" w:color="auto" w:fill="auto"/>
            <w:noWrap/>
            <w:vAlign w:val="bottom"/>
            <w:hideMark/>
          </w:tcPr>
          <w:p w14:paraId="45544002" w14:textId="77777777" w:rsidR="00D1149A" w:rsidRPr="002C31AD" w:rsidRDefault="00D1149A" w:rsidP="00D1149A">
            <w:pPr>
              <w:spacing w:after="0" w:line="240" w:lineRule="auto"/>
              <w:jc w:val="center"/>
              <w:rPr>
                <w:rFonts w:ascii="Arial" w:eastAsia="Times New Roman" w:hAnsi="Arial" w:cs="Arial"/>
                <w:color w:val="000000"/>
                <w:sz w:val="16"/>
                <w:szCs w:val="20"/>
              </w:rPr>
            </w:pPr>
          </w:p>
        </w:tc>
        <w:tc>
          <w:tcPr>
            <w:tcW w:w="1133" w:type="dxa"/>
            <w:gridSpan w:val="2"/>
            <w:tcBorders>
              <w:top w:val="single" w:sz="4" w:space="0" w:color="auto"/>
              <w:bottom w:val="single" w:sz="4" w:space="0" w:color="auto"/>
            </w:tcBorders>
            <w:shd w:val="clear" w:color="auto" w:fill="auto"/>
            <w:noWrap/>
            <w:vAlign w:val="bottom"/>
            <w:hideMark/>
          </w:tcPr>
          <w:p w14:paraId="4C286D4F" w14:textId="77777777" w:rsidR="00D1149A" w:rsidRPr="002C31AD" w:rsidRDefault="00D1149A" w:rsidP="00D1149A">
            <w:pPr>
              <w:spacing w:after="0" w:line="240" w:lineRule="auto"/>
              <w:jc w:val="center"/>
              <w:rPr>
                <w:rFonts w:ascii="Arial" w:eastAsia="Times New Roman" w:hAnsi="Arial" w:cs="Arial"/>
                <w:b/>
                <w:color w:val="000000"/>
                <w:sz w:val="16"/>
                <w:szCs w:val="20"/>
              </w:rPr>
            </w:pPr>
            <w:r w:rsidRPr="002C31AD">
              <w:rPr>
                <w:rFonts w:ascii="Arial" w:eastAsia="Times New Roman" w:hAnsi="Arial" w:cs="Arial"/>
                <w:b/>
                <w:color w:val="000000"/>
                <w:sz w:val="16"/>
                <w:szCs w:val="20"/>
              </w:rPr>
              <w:t>2011</w:t>
            </w:r>
          </w:p>
        </w:tc>
        <w:tc>
          <w:tcPr>
            <w:tcW w:w="1133" w:type="dxa"/>
            <w:gridSpan w:val="2"/>
            <w:tcBorders>
              <w:top w:val="single" w:sz="4" w:space="0" w:color="auto"/>
              <w:bottom w:val="single" w:sz="4" w:space="0" w:color="auto"/>
            </w:tcBorders>
            <w:shd w:val="clear" w:color="auto" w:fill="auto"/>
            <w:noWrap/>
            <w:vAlign w:val="bottom"/>
            <w:hideMark/>
          </w:tcPr>
          <w:p w14:paraId="45F64EB5" w14:textId="77777777" w:rsidR="00D1149A" w:rsidRPr="002C31AD" w:rsidRDefault="00D1149A" w:rsidP="00D1149A">
            <w:pPr>
              <w:spacing w:after="0" w:line="240" w:lineRule="auto"/>
              <w:jc w:val="center"/>
              <w:rPr>
                <w:rFonts w:ascii="Arial" w:eastAsia="Times New Roman" w:hAnsi="Arial" w:cs="Arial"/>
                <w:b/>
                <w:color w:val="000000"/>
                <w:sz w:val="16"/>
                <w:szCs w:val="20"/>
              </w:rPr>
            </w:pPr>
            <w:r w:rsidRPr="002C31AD">
              <w:rPr>
                <w:rFonts w:ascii="Arial" w:eastAsia="Times New Roman" w:hAnsi="Arial" w:cs="Arial"/>
                <w:b/>
                <w:color w:val="000000"/>
                <w:sz w:val="16"/>
                <w:szCs w:val="20"/>
              </w:rPr>
              <w:t>2012</w:t>
            </w:r>
          </w:p>
        </w:tc>
        <w:tc>
          <w:tcPr>
            <w:tcW w:w="1133" w:type="dxa"/>
            <w:gridSpan w:val="3"/>
            <w:tcBorders>
              <w:top w:val="single" w:sz="4" w:space="0" w:color="auto"/>
              <w:bottom w:val="single" w:sz="4" w:space="0" w:color="auto"/>
            </w:tcBorders>
            <w:shd w:val="clear" w:color="auto" w:fill="auto"/>
            <w:noWrap/>
            <w:vAlign w:val="bottom"/>
            <w:hideMark/>
          </w:tcPr>
          <w:p w14:paraId="15365BE2" w14:textId="77777777" w:rsidR="00D1149A" w:rsidRPr="002C31AD" w:rsidRDefault="00D1149A" w:rsidP="00D1149A">
            <w:pPr>
              <w:spacing w:after="0" w:line="240" w:lineRule="auto"/>
              <w:jc w:val="center"/>
              <w:rPr>
                <w:rFonts w:ascii="Arial" w:eastAsia="Times New Roman" w:hAnsi="Arial" w:cs="Arial"/>
                <w:b/>
                <w:color w:val="000000"/>
                <w:sz w:val="16"/>
                <w:szCs w:val="20"/>
              </w:rPr>
            </w:pPr>
            <w:r w:rsidRPr="002C31AD">
              <w:rPr>
                <w:rFonts w:ascii="Arial" w:eastAsia="Times New Roman" w:hAnsi="Arial" w:cs="Arial"/>
                <w:b/>
                <w:color w:val="000000"/>
                <w:sz w:val="16"/>
                <w:szCs w:val="20"/>
              </w:rPr>
              <w:t>2013</w:t>
            </w:r>
          </w:p>
        </w:tc>
        <w:tc>
          <w:tcPr>
            <w:tcW w:w="1134" w:type="dxa"/>
            <w:tcBorders>
              <w:top w:val="single" w:sz="4" w:space="0" w:color="auto"/>
              <w:bottom w:val="single" w:sz="4" w:space="0" w:color="auto"/>
            </w:tcBorders>
            <w:shd w:val="clear" w:color="auto" w:fill="auto"/>
            <w:noWrap/>
            <w:vAlign w:val="bottom"/>
            <w:hideMark/>
          </w:tcPr>
          <w:p w14:paraId="616FB6AE" w14:textId="77777777" w:rsidR="00D1149A" w:rsidRPr="002C31AD" w:rsidRDefault="00D1149A" w:rsidP="00D1149A">
            <w:pPr>
              <w:spacing w:after="0" w:line="240" w:lineRule="auto"/>
              <w:jc w:val="center"/>
              <w:rPr>
                <w:rFonts w:ascii="Arial" w:eastAsia="Times New Roman" w:hAnsi="Arial" w:cs="Arial"/>
                <w:b/>
                <w:color w:val="000000"/>
                <w:sz w:val="16"/>
                <w:szCs w:val="20"/>
              </w:rPr>
            </w:pPr>
            <w:r w:rsidRPr="002C31AD">
              <w:rPr>
                <w:rFonts w:ascii="Arial" w:eastAsia="Times New Roman" w:hAnsi="Arial" w:cs="Arial"/>
                <w:b/>
                <w:color w:val="000000"/>
                <w:sz w:val="16"/>
                <w:szCs w:val="20"/>
              </w:rPr>
              <w:t>2014</w:t>
            </w:r>
          </w:p>
        </w:tc>
      </w:tr>
      <w:tr w:rsidR="00D1149A" w:rsidRPr="002C31AD" w14:paraId="47B929BC" w14:textId="77777777" w:rsidTr="00D1149A">
        <w:trPr>
          <w:trHeight w:val="255"/>
          <w:jc w:val="center"/>
        </w:trPr>
        <w:tc>
          <w:tcPr>
            <w:tcW w:w="4428" w:type="dxa"/>
            <w:gridSpan w:val="2"/>
            <w:tcBorders>
              <w:top w:val="single" w:sz="4" w:space="0" w:color="auto"/>
            </w:tcBorders>
            <w:shd w:val="clear" w:color="auto" w:fill="auto"/>
            <w:noWrap/>
            <w:vAlign w:val="bottom"/>
            <w:hideMark/>
          </w:tcPr>
          <w:p w14:paraId="0596EAD4" w14:textId="3291337E" w:rsidR="00D1149A" w:rsidRPr="00660167" w:rsidRDefault="0073396E" w:rsidP="00D1149A">
            <w:pPr>
              <w:spacing w:after="0" w:line="240" w:lineRule="auto"/>
              <w:rPr>
                <w:rFonts w:ascii="Arial" w:eastAsia="Times New Roman" w:hAnsi="Arial" w:cs="Arial"/>
                <w:b/>
                <w:bCs/>
                <w:color w:val="000000"/>
                <w:sz w:val="16"/>
                <w:szCs w:val="20"/>
                <w:lang w:val="mn-MN"/>
              </w:rPr>
            </w:pPr>
            <w:r>
              <w:rPr>
                <w:rFonts w:ascii="Arial" w:eastAsia="Times New Roman" w:hAnsi="Arial" w:cs="Arial"/>
                <w:b/>
                <w:bCs/>
                <w:color w:val="000000"/>
                <w:sz w:val="16"/>
                <w:szCs w:val="20"/>
                <w:lang w:val="mn-MN"/>
              </w:rPr>
              <w:t>Зүүн Ази</w:t>
            </w:r>
          </w:p>
        </w:tc>
        <w:tc>
          <w:tcPr>
            <w:tcW w:w="1133" w:type="dxa"/>
            <w:gridSpan w:val="2"/>
            <w:tcBorders>
              <w:top w:val="single" w:sz="4" w:space="0" w:color="auto"/>
            </w:tcBorders>
            <w:shd w:val="clear" w:color="auto" w:fill="auto"/>
            <w:noWrap/>
            <w:vAlign w:val="bottom"/>
            <w:hideMark/>
          </w:tcPr>
          <w:p w14:paraId="09BB6A4F"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7.1</w:t>
            </w:r>
          </w:p>
        </w:tc>
        <w:tc>
          <w:tcPr>
            <w:tcW w:w="1133" w:type="dxa"/>
            <w:gridSpan w:val="2"/>
            <w:tcBorders>
              <w:top w:val="single" w:sz="4" w:space="0" w:color="auto"/>
            </w:tcBorders>
            <w:shd w:val="clear" w:color="auto" w:fill="auto"/>
            <w:noWrap/>
            <w:vAlign w:val="bottom"/>
            <w:hideMark/>
          </w:tcPr>
          <w:p w14:paraId="75EA2160"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5.9</w:t>
            </w:r>
          </w:p>
        </w:tc>
        <w:tc>
          <w:tcPr>
            <w:tcW w:w="1133" w:type="dxa"/>
            <w:gridSpan w:val="3"/>
            <w:tcBorders>
              <w:top w:val="single" w:sz="4" w:space="0" w:color="auto"/>
            </w:tcBorders>
            <w:shd w:val="clear" w:color="auto" w:fill="auto"/>
            <w:noWrap/>
            <w:vAlign w:val="bottom"/>
            <w:hideMark/>
          </w:tcPr>
          <w:p w14:paraId="320F676C"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6.0</w:t>
            </w:r>
          </w:p>
        </w:tc>
        <w:tc>
          <w:tcPr>
            <w:tcW w:w="1134" w:type="dxa"/>
            <w:tcBorders>
              <w:top w:val="single" w:sz="4" w:space="0" w:color="auto"/>
            </w:tcBorders>
            <w:shd w:val="clear" w:color="auto" w:fill="auto"/>
            <w:noWrap/>
            <w:vAlign w:val="bottom"/>
            <w:hideMark/>
          </w:tcPr>
          <w:p w14:paraId="13FF6457"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6.4</w:t>
            </w:r>
          </w:p>
        </w:tc>
      </w:tr>
      <w:tr w:rsidR="00D1149A" w:rsidRPr="002C31AD" w14:paraId="545AB61D" w14:textId="77777777" w:rsidTr="00D1149A">
        <w:trPr>
          <w:trHeight w:val="255"/>
          <w:jc w:val="center"/>
        </w:trPr>
        <w:tc>
          <w:tcPr>
            <w:tcW w:w="4428" w:type="dxa"/>
            <w:gridSpan w:val="2"/>
            <w:shd w:val="clear" w:color="auto" w:fill="auto"/>
            <w:noWrap/>
            <w:vAlign w:val="bottom"/>
            <w:hideMark/>
          </w:tcPr>
          <w:p w14:paraId="2582D9C1" w14:textId="077140BE" w:rsidR="00D1149A" w:rsidRPr="00660167" w:rsidRDefault="00D1149A">
            <w:pPr>
              <w:spacing w:after="0" w:line="240" w:lineRule="auto"/>
              <w:rPr>
                <w:rFonts w:ascii="Arial" w:eastAsia="Times New Roman" w:hAnsi="Arial" w:cs="Arial"/>
                <w:b/>
                <w:bCs/>
                <w:color w:val="000000"/>
                <w:sz w:val="16"/>
                <w:szCs w:val="20"/>
                <w:lang w:val="mn-MN"/>
              </w:rPr>
            </w:pPr>
            <w:r w:rsidRPr="002C31AD">
              <w:rPr>
                <w:rFonts w:ascii="Arial" w:eastAsia="Times New Roman" w:hAnsi="Arial" w:cs="Arial"/>
                <w:b/>
                <w:bCs/>
                <w:color w:val="000000"/>
                <w:sz w:val="16"/>
                <w:szCs w:val="20"/>
              </w:rPr>
              <w:t xml:space="preserve">   </w:t>
            </w:r>
            <w:r w:rsidR="0073396E">
              <w:rPr>
                <w:rFonts w:ascii="Arial" w:eastAsia="Times New Roman" w:hAnsi="Arial" w:cs="Arial"/>
                <w:b/>
                <w:bCs/>
                <w:color w:val="000000"/>
                <w:sz w:val="16"/>
                <w:szCs w:val="20"/>
                <w:lang w:val="mn-MN"/>
              </w:rPr>
              <w:t>Хөгжиж буй Зүүн Ази</w:t>
            </w:r>
          </w:p>
        </w:tc>
        <w:tc>
          <w:tcPr>
            <w:tcW w:w="1133" w:type="dxa"/>
            <w:gridSpan w:val="2"/>
            <w:shd w:val="clear" w:color="auto" w:fill="auto"/>
            <w:noWrap/>
            <w:vAlign w:val="bottom"/>
            <w:hideMark/>
          </w:tcPr>
          <w:p w14:paraId="27E88D64"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8.3</w:t>
            </w:r>
          </w:p>
        </w:tc>
        <w:tc>
          <w:tcPr>
            <w:tcW w:w="1133" w:type="dxa"/>
            <w:gridSpan w:val="2"/>
            <w:shd w:val="clear" w:color="auto" w:fill="auto"/>
            <w:noWrap/>
            <w:vAlign w:val="bottom"/>
            <w:hideMark/>
          </w:tcPr>
          <w:p w14:paraId="1F850BB9"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7.5</w:t>
            </w:r>
          </w:p>
        </w:tc>
        <w:tc>
          <w:tcPr>
            <w:tcW w:w="1133" w:type="dxa"/>
            <w:gridSpan w:val="3"/>
            <w:shd w:val="clear" w:color="auto" w:fill="auto"/>
            <w:noWrap/>
            <w:vAlign w:val="bottom"/>
            <w:hideMark/>
          </w:tcPr>
          <w:p w14:paraId="4E1F7C3E"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7.1</w:t>
            </w:r>
          </w:p>
        </w:tc>
        <w:tc>
          <w:tcPr>
            <w:tcW w:w="1134" w:type="dxa"/>
            <w:shd w:val="clear" w:color="auto" w:fill="auto"/>
            <w:noWrap/>
            <w:vAlign w:val="bottom"/>
            <w:hideMark/>
          </w:tcPr>
          <w:p w14:paraId="28EE2DAB"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7.2</w:t>
            </w:r>
          </w:p>
        </w:tc>
      </w:tr>
      <w:tr w:rsidR="00D1149A" w:rsidRPr="002C31AD" w14:paraId="29F8F0B2" w14:textId="77777777" w:rsidTr="00D1149A">
        <w:trPr>
          <w:trHeight w:val="255"/>
          <w:jc w:val="center"/>
        </w:trPr>
        <w:tc>
          <w:tcPr>
            <w:tcW w:w="4428" w:type="dxa"/>
            <w:gridSpan w:val="2"/>
            <w:shd w:val="clear" w:color="auto" w:fill="auto"/>
            <w:noWrap/>
            <w:vAlign w:val="bottom"/>
            <w:hideMark/>
          </w:tcPr>
          <w:p w14:paraId="37094AD5" w14:textId="1ECD75F1" w:rsidR="00D1149A" w:rsidRPr="00660167" w:rsidRDefault="00D1149A">
            <w:pPr>
              <w:spacing w:after="0" w:line="240" w:lineRule="auto"/>
              <w:rPr>
                <w:rFonts w:ascii="Arial" w:eastAsia="Times New Roman" w:hAnsi="Arial" w:cs="Arial"/>
                <w:color w:val="000000"/>
                <w:sz w:val="16"/>
                <w:szCs w:val="20"/>
                <w:lang w:val="mn-MN"/>
              </w:rPr>
            </w:pPr>
            <w:r w:rsidRPr="002C31AD">
              <w:rPr>
                <w:rFonts w:ascii="Arial" w:eastAsia="Times New Roman" w:hAnsi="Arial" w:cs="Arial"/>
                <w:color w:val="000000"/>
                <w:sz w:val="16"/>
                <w:szCs w:val="20"/>
              </w:rPr>
              <w:t xml:space="preserve">      </w:t>
            </w:r>
            <w:r w:rsidR="0073396E">
              <w:rPr>
                <w:rFonts w:ascii="Arial" w:eastAsia="Times New Roman" w:hAnsi="Arial" w:cs="Arial"/>
                <w:color w:val="000000"/>
                <w:sz w:val="16"/>
                <w:szCs w:val="20"/>
                <w:lang w:val="mn-MN"/>
              </w:rPr>
              <w:t>БНХАУ</w:t>
            </w:r>
          </w:p>
        </w:tc>
        <w:tc>
          <w:tcPr>
            <w:tcW w:w="1133" w:type="dxa"/>
            <w:gridSpan w:val="2"/>
            <w:shd w:val="clear" w:color="auto" w:fill="auto"/>
            <w:noWrap/>
            <w:vAlign w:val="bottom"/>
            <w:hideMark/>
          </w:tcPr>
          <w:p w14:paraId="7A888E1D"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9.3</w:t>
            </w:r>
          </w:p>
        </w:tc>
        <w:tc>
          <w:tcPr>
            <w:tcW w:w="1133" w:type="dxa"/>
            <w:gridSpan w:val="2"/>
            <w:shd w:val="clear" w:color="auto" w:fill="auto"/>
            <w:noWrap/>
            <w:vAlign w:val="bottom"/>
            <w:hideMark/>
          </w:tcPr>
          <w:p w14:paraId="63C0EC57"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7.8</w:t>
            </w:r>
          </w:p>
        </w:tc>
        <w:tc>
          <w:tcPr>
            <w:tcW w:w="1133" w:type="dxa"/>
            <w:gridSpan w:val="3"/>
            <w:shd w:val="clear" w:color="auto" w:fill="auto"/>
            <w:noWrap/>
            <w:vAlign w:val="bottom"/>
            <w:hideMark/>
          </w:tcPr>
          <w:p w14:paraId="7B379E8B"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7.5</w:t>
            </w:r>
          </w:p>
        </w:tc>
        <w:tc>
          <w:tcPr>
            <w:tcW w:w="1134" w:type="dxa"/>
            <w:shd w:val="clear" w:color="auto" w:fill="auto"/>
            <w:noWrap/>
            <w:vAlign w:val="bottom"/>
            <w:hideMark/>
          </w:tcPr>
          <w:p w14:paraId="1FCA2BA4"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7.7</w:t>
            </w:r>
          </w:p>
        </w:tc>
      </w:tr>
      <w:tr w:rsidR="00D1149A" w:rsidRPr="002C31AD" w14:paraId="72D5758B" w14:textId="77777777" w:rsidTr="00D1149A">
        <w:trPr>
          <w:trHeight w:val="255"/>
          <w:jc w:val="center"/>
        </w:trPr>
        <w:tc>
          <w:tcPr>
            <w:tcW w:w="4428" w:type="dxa"/>
            <w:gridSpan w:val="2"/>
            <w:shd w:val="clear" w:color="auto" w:fill="auto"/>
            <w:noWrap/>
            <w:vAlign w:val="bottom"/>
            <w:hideMark/>
          </w:tcPr>
          <w:p w14:paraId="4E36A665" w14:textId="4B326BE0" w:rsidR="00D1149A" w:rsidRPr="00660167" w:rsidRDefault="00D1149A">
            <w:pPr>
              <w:spacing w:after="0" w:line="240" w:lineRule="auto"/>
              <w:rPr>
                <w:rFonts w:ascii="Arial" w:eastAsia="Times New Roman" w:hAnsi="Arial" w:cs="Arial"/>
                <w:color w:val="000000"/>
                <w:sz w:val="16"/>
                <w:szCs w:val="20"/>
                <w:lang w:val="mn-MN"/>
              </w:rPr>
            </w:pPr>
            <w:r w:rsidRPr="002C31AD">
              <w:rPr>
                <w:rFonts w:ascii="Arial" w:eastAsia="Times New Roman" w:hAnsi="Arial" w:cs="Arial"/>
                <w:color w:val="000000"/>
                <w:sz w:val="16"/>
                <w:szCs w:val="20"/>
              </w:rPr>
              <w:t xml:space="preserve">      </w:t>
            </w:r>
            <w:r w:rsidR="0073396E">
              <w:rPr>
                <w:rFonts w:ascii="Arial" w:eastAsia="Times New Roman" w:hAnsi="Arial" w:cs="Arial"/>
                <w:color w:val="000000"/>
                <w:sz w:val="16"/>
                <w:szCs w:val="20"/>
                <w:lang w:val="mn-MN"/>
              </w:rPr>
              <w:t>Индонез</w:t>
            </w:r>
          </w:p>
        </w:tc>
        <w:tc>
          <w:tcPr>
            <w:tcW w:w="1133" w:type="dxa"/>
            <w:gridSpan w:val="2"/>
            <w:shd w:val="clear" w:color="auto" w:fill="auto"/>
            <w:noWrap/>
            <w:vAlign w:val="bottom"/>
            <w:hideMark/>
          </w:tcPr>
          <w:p w14:paraId="219A4058"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6.5</w:t>
            </w:r>
          </w:p>
        </w:tc>
        <w:tc>
          <w:tcPr>
            <w:tcW w:w="1133" w:type="dxa"/>
            <w:gridSpan w:val="2"/>
            <w:shd w:val="clear" w:color="auto" w:fill="auto"/>
            <w:noWrap/>
            <w:vAlign w:val="bottom"/>
            <w:hideMark/>
          </w:tcPr>
          <w:p w14:paraId="35A326AB"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6.2</w:t>
            </w:r>
          </w:p>
        </w:tc>
        <w:tc>
          <w:tcPr>
            <w:tcW w:w="1133" w:type="dxa"/>
            <w:gridSpan w:val="3"/>
            <w:shd w:val="clear" w:color="auto" w:fill="auto"/>
            <w:noWrap/>
            <w:vAlign w:val="bottom"/>
            <w:hideMark/>
          </w:tcPr>
          <w:p w14:paraId="4F0F3886"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5.6</w:t>
            </w:r>
          </w:p>
        </w:tc>
        <w:tc>
          <w:tcPr>
            <w:tcW w:w="1134" w:type="dxa"/>
            <w:shd w:val="clear" w:color="auto" w:fill="auto"/>
            <w:noWrap/>
            <w:vAlign w:val="bottom"/>
            <w:hideMark/>
          </w:tcPr>
          <w:p w14:paraId="15F854AF"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5.3</w:t>
            </w:r>
          </w:p>
        </w:tc>
      </w:tr>
      <w:tr w:rsidR="00D1149A" w:rsidRPr="002C31AD" w14:paraId="76AFB79F" w14:textId="77777777" w:rsidTr="00D1149A">
        <w:trPr>
          <w:trHeight w:val="255"/>
          <w:jc w:val="center"/>
        </w:trPr>
        <w:tc>
          <w:tcPr>
            <w:tcW w:w="4428" w:type="dxa"/>
            <w:gridSpan w:val="2"/>
            <w:shd w:val="clear" w:color="auto" w:fill="auto"/>
            <w:noWrap/>
            <w:vAlign w:val="bottom"/>
            <w:hideMark/>
          </w:tcPr>
          <w:p w14:paraId="020B49A4" w14:textId="68615B98" w:rsidR="00D1149A" w:rsidRPr="00660167" w:rsidRDefault="00D1149A">
            <w:pPr>
              <w:spacing w:after="0" w:line="240" w:lineRule="auto"/>
              <w:rPr>
                <w:rFonts w:ascii="Arial" w:eastAsia="Times New Roman" w:hAnsi="Arial" w:cs="Arial"/>
                <w:color w:val="000000"/>
                <w:sz w:val="16"/>
                <w:szCs w:val="20"/>
                <w:lang w:val="mn-MN"/>
              </w:rPr>
            </w:pPr>
            <w:r w:rsidRPr="002C31AD">
              <w:rPr>
                <w:rFonts w:ascii="Arial" w:eastAsia="Times New Roman" w:hAnsi="Arial" w:cs="Arial"/>
                <w:color w:val="000000"/>
                <w:sz w:val="16"/>
                <w:szCs w:val="20"/>
              </w:rPr>
              <w:t xml:space="preserve">      </w:t>
            </w:r>
            <w:r w:rsidR="0073396E">
              <w:rPr>
                <w:rFonts w:ascii="Arial" w:eastAsia="Times New Roman" w:hAnsi="Arial" w:cs="Arial"/>
                <w:color w:val="000000"/>
                <w:sz w:val="16"/>
                <w:szCs w:val="20"/>
                <w:lang w:val="mn-MN"/>
              </w:rPr>
              <w:t>Малайз</w:t>
            </w:r>
          </w:p>
        </w:tc>
        <w:tc>
          <w:tcPr>
            <w:tcW w:w="1133" w:type="dxa"/>
            <w:gridSpan w:val="2"/>
            <w:shd w:val="clear" w:color="auto" w:fill="auto"/>
            <w:noWrap/>
            <w:vAlign w:val="bottom"/>
            <w:hideMark/>
          </w:tcPr>
          <w:p w14:paraId="0614BA86"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5.1</w:t>
            </w:r>
          </w:p>
        </w:tc>
        <w:tc>
          <w:tcPr>
            <w:tcW w:w="1133" w:type="dxa"/>
            <w:gridSpan w:val="2"/>
            <w:shd w:val="clear" w:color="auto" w:fill="auto"/>
            <w:noWrap/>
            <w:vAlign w:val="bottom"/>
            <w:hideMark/>
          </w:tcPr>
          <w:p w14:paraId="64446505"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5.6</w:t>
            </w:r>
          </w:p>
        </w:tc>
        <w:tc>
          <w:tcPr>
            <w:tcW w:w="1133" w:type="dxa"/>
            <w:gridSpan w:val="3"/>
            <w:shd w:val="clear" w:color="auto" w:fill="auto"/>
            <w:noWrap/>
            <w:vAlign w:val="bottom"/>
            <w:hideMark/>
          </w:tcPr>
          <w:p w14:paraId="2EE46673"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4.3</w:t>
            </w:r>
          </w:p>
        </w:tc>
        <w:tc>
          <w:tcPr>
            <w:tcW w:w="1134" w:type="dxa"/>
            <w:shd w:val="clear" w:color="auto" w:fill="auto"/>
            <w:noWrap/>
            <w:vAlign w:val="bottom"/>
            <w:hideMark/>
          </w:tcPr>
          <w:p w14:paraId="0B3B22B9"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4.8</w:t>
            </w:r>
          </w:p>
        </w:tc>
      </w:tr>
      <w:tr w:rsidR="00D1149A" w:rsidRPr="002C31AD" w14:paraId="42E9E5CB" w14:textId="77777777" w:rsidTr="00D1149A">
        <w:trPr>
          <w:trHeight w:val="255"/>
          <w:jc w:val="center"/>
        </w:trPr>
        <w:tc>
          <w:tcPr>
            <w:tcW w:w="4428" w:type="dxa"/>
            <w:gridSpan w:val="2"/>
            <w:shd w:val="clear" w:color="auto" w:fill="auto"/>
            <w:noWrap/>
            <w:vAlign w:val="bottom"/>
            <w:hideMark/>
          </w:tcPr>
          <w:p w14:paraId="0C42F834" w14:textId="7A03D3A5" w:rsidR="00D1149A" w:rsidRPr="00660167" w:rsidRDefault="00D1149A">
            <w:pPr>
              <w:spacing w:after="0" w:line="240" w:lineRule="auto"/>
              <w:rPr>
                <w:rFonts w:ascii="Arial" w:eastAsia="Times New Roman" w:hAnsi="Arial" w:cs="Arial"/>
                <w:color w:val="000000"/>
                <w:sz w:val="16"/>
                <w:szCs w:val="20"/>
                <w:lang w:val="mn-MN"/>
              </w:rPr>
            </w:pPr>
            <w:r w:rsidRPr="002C31AD">
              <w:rPr>
                <w:rFonts w:ascii="Arial" w:eastAsia="Times New Roman" w:hAnsi="Arial" w:cs="Arial"/>
                <w:color w:val="000000"/>
                <w:sz w:val="16"/>
                <w:szCs w:val="20"/>
              </w:rPr>
              <w:t xml:space="preserve">      </w:t>
            </w:r>
            <w:r w:rsidR="0073396E">
              <w:rPr>
                <w:rFonts w:ascii="Arial" w:eastAsia="Times New Roman" w:hAnsi="Arial" w:cs="Arial"/>
                <w:color w:val="000000"/>
                <w:sz w:val="16"/>
                <w:szCs w:val="20"/>
                <w:lang w:val="mn-MN"/>
              </w:rPr>
              <w:t>Тайланд</w:t>
            </w:r>
          </w:p>
        </w:tc>
        <w:tc>
          <w:tcPr>
            <w:tcW w:w="1133" w:type="dxa"/>
            <w:gridSpan w:val="2"/>
            <w:shd w:val="clear" w:color="auto" w:fill="auto"/>
            <w:noWrap/>
            <w:vAlign w:val="bottom"/>
            <w:hideMark/>
          </w:tcPr>
          <w:p w14:paraId="00389326"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0.1</w:t>
            </w:r>
          </w:p>
        </w:tc>
        <w:tc>
          <w:tcPr>
            <w:tcW w:w="1133" w:type="dxa"/>
            <w:gridSpan w:val="2"/>
            <w:shd w:val="clear" w:color="auto" w:fill="auto"/>
            <w:noWrap/>
            <w:vAlign w:val="bottom"/>
            <w:hideMark/>
          </w:tcPr>
          <w:p w14:paraId="1571CB62"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6.5</w:t>
            </w:r>
          </w:p>
        </w:tc>
        <w:tc>
          <w:tcPr>
            <w:tcW w:w="1133" w:type="dxa"/>
            <w:gridSpan w:val="3"/>
            <w:shd w:val="clear" w:color="auto" w:fill="auto"/>
            <w:noWrap/>
            <w:vAlign w:val="bottom"/>
            <w:hideMark/>
          </w:tcPr>
          <w:p w14:paraId="49943962"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4.0</w:t>
            </w:r>
          </w:p>
        </w:tc>
        <w:tc>
          <w:tcPr>
            <w:tcW w:w="1134" w:type="dxa"/>
            <w:shd w:val="clear" w:color="auto" w:fill="auto"/>
            <w:noWrap/>
            <w:vAlign w:val="bottom"/>
            <w:hideMark/>
          </w:tcPr>
          <w:p w14:paraId="566A3115"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4.5</w:t>
            </w:r>
          </w:p>
        </w:tc>
      </w:tr>
      <w:tr w:rsidR="00D1149A" w:rsidRPr="002C31AD" w14:paraId="0687342D" w14:textId="77777777" w:rsidTr="00D1149A">
        <w:trPr>
          <w:trHeight w:val="255"/>
          <w:jc w:val="center"/>
        </w:trPr>
        <w:tc>
          <w:tcPr>
            <w:tcW w:w="4428" w:type="dxa"/>
            <w:gridSpan w:val="2"/>
            <w:shd w:val="clear" w:color="auto" w:fill="auto"/>
            <w:noWrap/>
            <w:vAlign w:val="bottom"/>
            <w:hideMark/>
          </w:tcPr>
          <w:p w14:paraId="22217D8E" w14:textId="7FDB63B0" w:rsidR="00D1149A" w:rsidRPr="00660167" w:rsidRDefault="00D1149A">
            <w:pPr>
              <w:spacing w:after="0" w:line="240" w:lineRule="auto"/>
              <w:rPr>
                <w:rFonts w:ascii="Arial" w:eastAsia="Times New Roman" w:hAnsi="Arial" w:cs="Arial"/>
                <w:color w:val="000000"/>
                <w:sz w:val="16"/>
                <w:szCs w:val="20"/>
                <w:lang w:val="mn-MN"/>
              </w:rPr>
            </w:pPr>
            <w:r w:rsidRPr="002C31AD">
              <w:rPr>
                <w:rFonts w:ascii="Arial" w:eastAsia="Times New Roman" w:hAnsi="Arial" w:cs="Arial"/>
                <w:color w:val="000000"/>
                <w:sz w:val="16"/>
                <w:szCs w:val="20"/>
              </w:rPr>
              <w:t xml:space="preserve">      </w:t>
            </w:r>
            <w:r w:rsidR="0073396E">
              <w:rPr>
                <w:rFonts w:ascii="Arial" w:eastAsia="Times New Roman" w:hAnsi="Arial" w:cs="Arial"/>
                <w:color w:val="000000"/>
                <w:sz w:val="16"/>
                <w:szCs w:val="20"/>
                <w:lang w:val="mn-MN"/>
              </w:rPr>
              <w:t>Вьетнам</w:t>
            </w:r>
          </w:p>
        </w:tc>
        <w:tc>
          <w:tcPr>
            <w:tcW w:w="1133" w:type="dxa"/>
            <w:gridSpan w:val="2"/>
            <w:shd w:val="clear" w:color="auto" w:fill="auto"/>
            <w:noWrap/>
            <w:vAlign w:val="bottom"/>
            <w:hideMark/>
          </w:tcPr>
          <w:p w14:paraId="79DA7E22"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6.2</w:t>
            </w:r>
          </w:p>
        </w:tc>
        <w:tc>
          <w:tcPr>
            <w:tcW w:w="1133" w:type="dxa"/>
            <w:gridSpan w:val="2"/>
            <w:shd w:val="clear" w:color="auto" w:fill="auto"/>
            <w:noWrap/>
            <w:vAlign w:val="bottom"/>
            <w:hideMark/>
          </w:tcPr>
          <w:p w14:paraId="4E25DE7A"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5.2</w:t>
            </w:r>
          </w:p>
        </w:tc>
        <w:tc>
          <w:tcPr>
            <w:tcW w:w="1133" w:type="dxa"/>
            <w:gridSpan w:val="3"/>
            <w:shd w:val="clear" w:color="auto" w:fill="auto"/>
            <w:noWrap/>
            <w:vAlign w:val="bottom"/>
            <w:hideMark/>
          </w:tcPr>
          <w:p w14:paraId="1DD4DF64"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5.3</w:t>
            </w:r>
          </w:p>
        </w:tc>
        <w:tc>
          <w:tcPr>
            <w:tcW w:w="1134" w:type="dxa"/>
            <w:shd w:val="clear" w:color="auto" w:fill="auto"/>
            <w:noWrap/>
            <w:vAlign w:val="bottom"/>
            <w:hideMark/>
          </w:tcPr>
          <w:p w14:paraId="0A8AB67B"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5.4</w:t>
            </w:r>
          </w:p>
        </w:tc>
      </w:tr>
      <w:tr w:rsidR="00D1149A" w:rsidRPr="002C31AD" w14:paraId="477E8389" w14:textId="77777777" w:rsidTr="00D1149A">
        <w:trPr>
          <w:trHeight w:val="255"/>
          <w:jc w:val="center"/>
        </w:trPr>
        <w:tc>
          <w:tcPr>
            <w:tcW w:w="4428" w:type="dxa"/>
            <w:gridSpan w:val="2"/>
            <w:shd w:val="clear" w:color="auto" w:fill="auto"/>
            <w:noWrap/>
            <w:vAlign w:val="bottom"/>
            <w:hideMark/>
          </w:tcPr>
          <w:p w14:paraId="0BE94B43" w14:textId="1E8C55CB" w:rsidR="00D1149A" w:rsidRPr="00660167" w:rsidRDefault="00D1149A">
            <w:pPr>
              <w:spacing w:after="0" w:line="240" w:lineRule="auto"/>
              <w:rPr>
                <w:rFonts w:ascii="Arial" w:eastAsia="Times New Roman" w:hAnsi="Arial" w:cs="Arial"/>
                <w:color w:val="000000"/>
                <w:sz w:val="16"/>
                <w:szCs w:val="20"/>
                <w:lang w:val="mn-MN"/>
              </w:rPr>
            </w:pPr>
            <w:r w:rsidRPr="002C31AD">
              <w:rPr>
                <w:rFonts w:ascii="Arial" w:eastAsia="Times New Roman" w:hAnsi="Arial" w:cs="Arial"/>
                <w:color w:val="000000"/>
                <w:sz w:val="16"/>
                <w:szCs w:val="20"/>
              </w:rPr>
              <w:t xml:space="preserve">      </w:t>
            </w:r>
            <w:r w:rsidR="0073396E">
              <w:rPr>
                <w:rFonts w:ascii="Arial" w:eastAsia="Times New Roman" w:hAnsi="Arial" w:cs="Arial"/>
                <w:color w:val="000000"/>
                <w:sz w:val="16"/>
                <w:szCs w:val="20"/>
                <w:lang w:val="mn-MN"/>
              </w:rPr>
              <w:t>БНЛАУ</w:t>
            </w:r>
          </w:p>
        </w:tc>
        <w:tc>
          <w:tcPr>
            <w:tcW w:w="1133" w:type="dxa"/>
            <w:gridSpan w:val="2"/>
            <w:shd w:val="clear" w:color="auto" w:fill="auto"/>
            <w:noWrap/>
            <w:vAlign w:val="bottom"/>
            <w:hideMark/>
          </w:tcPr>
          <w:p w14:paraId="0FF90390"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8.0</w:t>
            </w:r>
          </w:p>
        </w:tc>
        <w:tc>
          <w:tcPr>
            <w:tcW w:w="1133" w:type="dxa"/>
            <w:gridSpan w:val="2"/>
            <w:shd w:val="clear" w:color="auto" w:fill="auto"/>
            <w:noWrap/>
            <w:vAlign w:val="bottom"/>
            <w:hideMark/>
          </w:tcPr>
          <w:p w14:paraId="5F0A63F5"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8.2</w:t>
            </w:r>
          </w:p>
        </w:tc>
        <w:tc>
          <w:tcPr>
            <w:tcW w:w="1133" w:type="dxa"/>
            <w:gridSpan w:val="3"/>
            <w:shd w:val="clear" w:color="auto" w:fill="auto"/>
            <w:noWrap/>
            <w:vAlign w:val="bottom"/>
            <w:hideMark/>
          </w:tcPr>
          <w:p w14:paraId="2CA99422"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8.0</w:t>
            </w:r>
          </w:p>
        </w:tc>
        <w:tc>
          <w:tcPr>
            <w:tcW w:w="1134" w:type="dxa"/>
            <w:shd w:val="clear" w:color="auto" w:fill="auto"/>
            <w:noWrap/>
            <w:vAlign w:val="bottom"/>
            <w:hideMark/>
          </w:tcPr>
          <w:p w14:paraId="00A4A5EF"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7.7</w:t>
            </w:r>
          </w:p>
        </w:tc>
      </w:tr>
      <w:tr w:rsidR="00D1149A" w:rsidRPr="002C31AD" w14:paraId="03036193" w14:textId="77777777" w:rsidTr="00D1149A">
        <w:trPr>
          <w:trHeight w:val="255"/>
          <w:jc w:val="center"/>
        </w:trPr>
        <w:tc>
          <w:tcPr>
            <w:tcW w:w="4428" w:type="dxa"/>
            <w:gridSpan w:val="2"/>
            <w:shd w:val="clear" w:color="auto" w:fill="auto"/>
            <w:noWrap/>
            <w:vAlign w:val="bottom"/>
            <w:hideMark/>
          </w:tcPr>
          <w:p w14:paraId="5B890413" w14:textId="08C41428" w:rsidR="00D1149A" w:rsidRPr="00660167" w:rsidRDefault="00D1149A">
            <w:pPr>
              <w:spacing w:after="0" w:line="240" w:lineRule="auto"/>
              <w:rPr>
                <w:rFonts w:ascii="Arial" w:eastAsia="Times New Roman" w:hAnsi="Arial" w:cs="Arial"/>
                <w:color w:val="000000"/>
                <w:sz w:val="16"/>
                <w:szCs w:val="20"/>
                <w:lang w:val="mn-MN"/>
              </w:rPr>
            </w:pPr>
            <w:r w:rsidRPr="002C31AD">
              <w:rPr>
                <w:rFonts w:ascii="Arial" w:eastAsia="Times New Roman" w:hAnsi="Arial" w:cs="Arial"/>
                <w:color w:val="000000"/>
                <w:sz w:val="16"/>
                <w:szCs w:val="20"/>
              </w:rPr>
              <w:t xml:space="preserve">      </w:t>
            </w:r>
            <w:r w:rsidR="0073396E">
              <w:rPr>
                <w:rFonts w:ascii="Arial" w:eastAsia="Times New Roman" w:hAnsi="Arial" w:cs="Arial"/>
                <w:color w:val="000000"/>
                <w:sz w:val="16"/>
                <w:szCs w:val="20"/>
                <w:lang w:val="mn-MN"/>
              </w:rPr>
              <w:t>Монгол</w:t>
            </w:r>
          </w:p>
        </w:tc>
        <w:tc>
          <w:tcPr>
            <w:tcW w:w="1133" w:type="dxa"/>
            <w:gridSpan w:val="2"/>
            <w:shd w:val="clear" w:color="auto" w:fill="auto"/>
            <w:noWrap/>
            <w:vAlign w:val="bottom"/>
            <w:hideMark/>
          </w:tcPr>
          <w:p w14:paraId="326E2206"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17.5</w:t>
            </w:r>
          </w:p>
        </w:tc>
        <w:tc>
          <w:tcPr>
            <w:tcW w:w="1133" w:type="dxa"/>
            <w:gridSpan w:val="2"/>
            <w:shd w:val="clear" w:color="auto" w:fill="auto"/>
            <w:noWrap/>
            <w:vAlign w:val="bottom"/>
            <w:hideMark/>
          </w:tcPr>
          <w:p w14:paraId="461C00D8"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12.4</w:t>
            </w:r>
          </w:p>
        </w:tc>
        <w:tc>
          <w:tcPr>
            <w:tcW w:w="1133" w:type="dxa"/>
            <w:gridSpan w:val="3"/>
            <w:shd w:val="clear" w:color="auto" w:fill="auto"/>
            <w:noWrap/>
            <w:vAlign w:val="bottom"/>
            <w:hideMark/>
          </w:tcPr>
          <w:p w14:paraId="3B592EF1"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12.5</w:t>
            </w:r>
          </w:p>
        </w:tc>
        <w:tc>
          <w:tcPr>
            <w:tcW w:w="1134" w:type="dxa"/>
            <w:shd w:val="clear" w:color="auto" w:fill="auto"/>
            <w:noWrap/>
            <w:vAlign w:val="bottom"/>
            <w:hideMark/>
          </w:tcPr>
          <w:p w14:paraId="676AB089"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10.3</w:t>
            </w:r>
          </w:p>
        </w:tc>
      </w:tr>
      <w:tr w:rsidR="00D1149A" w:rsidRPr="002C31AD" w14:paraId="3C48CFA1" w14:textId="77777777" w:rsidTr="00D1149A">
        <w:trPr>
          <w:trHeight w:val="255"/>
          <w:jc w:val="center"/>
        </w:trPr>
        <w:tc>
          <w:tcPr>
            <w:tcW w:w="4428" w:type="dxa"/>
            <w:gridSpan w:val="2"/>
            <w:shd w:val="clear" w:color="auto" w:fill="auto"/>
            <w:noWrap/>
            <w:vAlign w:val="bottom"/>
            <w:hideMark/>
          </w:tcPr>
          <w:p w14:paraId="33C2E3CC" w14:textId="6545F9FA" w:rsidR="00D1149A" w:rsidRPr="00660167" w:rsidRDefault="00D1149A">
            <w:pPr>
              <w:spacing w:after="0" w:line="240" w:lineRule="auto"/>
              <w:rPr>
                <w:rFonts w:ascii="Arial" w:eastAsia="Times New Roman" w:hAnsi="Arial" w:cs="Arial"/>
                <w:color w:val="000000"/>
                <w:sz w:val="16"/>
                <w:szCs w:val="20"/>
                <w:lang w:val="mn-MN"/>
              </w:rPr>
            </w:pPr>
            <w:r w:rsidRPr="002C31AD">
              <w:rPr>
                <w:rFonts w:ascii="Arial" w:eastAsia="Times New Roman" w:hAnsi="Arial" w:cs="Arial"/>
                <w:color w:val="000000"/>
                <w:sz w:val="16"/>
                <w:szCs w:val="20"/>
              </w:rPr>
              <w:t xml:space="preserve">      </w:t>
            </w:r>
            <w:r w:rsidR="0073396E">
              <w:rPr>
                <w:rFonts w:ascii="Arial" w:eastAsia="Times New Roman" w:hAnsi="Arial" w:cs="Arial"/>
                <w:color w:val="000000"/>
                <w:sz w:val="16"/>
                <w:szCs w:val="20"/>
                <w:lang w:val="mn-MN"/>
              </w:rPr>
              <w:t>Мьянмар</w:t>
            </w:r>
          </w:p>
        </w:tc>
        <w:tc>
          <w:tcPr>
            <w:tcW w:w="1133" w:type="dxa"/>
            <w:gridSpan w:val="2"/>
            <w:shd w:val="clear" w:color="auto" w:fill="auto"/>
            <w:noWrap/>
            <w:vAlign w:val="bottom"/>
            <w:hideMark/>
          </w:tcPr>
          <w:p w14:paraId="56A9E712"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5.9</w:t>
            </w:r>
          </w:p>
        </w:tc>
        <w:tc>
          <w:tcPr>
            <w:tcW w:w="1133" w:type="dxa"/>
            <w:gridSpan w:val="2"/>
            <w:shd w:val="clear" w:color="auto" w:fill="auto"/>
            <w:noWrap/>
            <w:vAlign w:val="bottom"/>
            <w:hideMark/>
          </w:tcPr>
          <w:p w14:paraId="4F1285D7"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6.4</w:t>
            </w:r>
          </w:p>
        </w:tc>
        <w:tc>
          <w:tcPr>
            <w:tcW w:w="1133" w:type="dxa"/>
            <w:gridSpan w:val="3"/>
            <w:shd w:val="clear" w:color="auto" w:fill="auto"/>
            <w:noWrap/>
            <w:vAlign w:val="bottom"/>
            <w:hideMark/>
          </w:tcPr>
          <w:p w14:paraId="14A55CF4"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6.8</w:t>
            </w:r>
          </w:p>
        </w:tc>
        <w:tc>
          <w:tcPr>
            <w:tcW w:w="1134" w:type="dxa"/>
            <w:shd w:val="clear" w:color="auto" w:fill="auto"/>
            <w:noWrap/>
            <w:vAlign w:val="bottom"/>
            <w:hideMark/>
          </w:tcPr>
          <w:p w14:paraId="26EBB9EF"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6.9</w:t>
            </w:r>
          </w:p>
        </w:tc>
      </w:tr>
      <w:tr w:rsidR="00D1149A" w:rsidRPr="002C31AD" w14:paraId="0CA46A43" w14:textId="77777777" w:rsidTr="00D1149A">
        <w:trPr>
          <w:trHeight w:val="255"/>
          <w:jc w:val="center"/>
        </w:trPr>
        <w:tc>
          <w:tcPr>
            <w:tcW w:w="4428" w:type="dxa"/>
            <w:gridSpan w:val="2"/>
            <w:shd w:val="clear" w:color="auto" w:fill="auto"/>
            <w:noWrap/>
            <w:vAlign w:val="bottom"/>
            <w:hideMark/>
          </w:tcPr>
          <w:p w14:paraId="50522A1B" w14:textId="4893D58B" w:rsidR="00D1149A" w:rsidRPr="00660167" w:rsidRDefault="00D1149A">
            <w:pPr>
              <w:spacing w:after="0" w:line="240" w:lineRule="auto"/>
              <w:rPr>
                <w:rFonts w:ascii="Arial" w:eastAsia="Times New Roman" w:hAnsi="Arial" w:cs="Arial"/>
                <w:color w:val="000000"/>
                <w:sz w:val="16"/>
                <w:szCs w:val="20"/>
                <w:lang w:val="mn-MN"/>
              </w:rPr>
            </w:pPr>
            <w:r w:rsidRPr="002C31AD">
              <w:rPr>
                <w:rFonts w:ascii="Arial" w:eastAsia="Times New Roman" w:hAnsi="Arial" w:cs="Arial"/>
                <w:color w:val="000000"/>
                <w:sz w:val="16"/>
                <w:szCs w:val="20"/>
              </w:rPr>
              <w:t xml:space="preserve">      </w:t>
            </w:r>
            <w:r w:rsidR="0073396E">
              <w:rPr>
                <w:rFonts w:ascii="Arial" w:eastAsia="Times New Roman" w:hAnsi="Arial" w:cs="Arial"/>
                <w:color w:val="000000"/>
                <w:sz w:val="16"/>
                <w:szCs w:val="20"/>
                <w:lang w:val="mn-MN"/>
              </w:rPr>
              <w:t>Папуа Шинэ Гвиней</w:t>
            </w:r>
          </w:p>
        </w:tc>
        <w:tc>
          <w:tcPr>
            <w:tcW w:w="1133" w:type="dxa"/>
            <w:gridSpan w:val="2"/>
            <w:shd w:val="clear" w:color="auto" w:fill="auto"/>
            <w:noWrap/>
            <w:vAlign w:val="bottom"/>
            <w:hideMark/>
          </w:tcPr>
          <w:p w14:paraId="7B2626BF"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10.7</w:t>
            </w:r>
          </w:p>
        </w:tc>
        <w:tc>
          <w:tcPr>
            <w:tcW w:w="1133" w:type="dxa"/>
            <w:gridSpan w:val="2"/>
            <w:shd w:val="clear" w:color="auto" w:fill="auto"/>
            <w:noWrap/>
            <w:vAlign w:val="bottom"/>
            <w:hideMark/>
          </w:tcPr>
          <w:p w14:paraId="01A95E88"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8.7</w:t>
            </w:r>
          </w:p>
        </w:tc>
        <w:tc>
          <w:tcPr>
            <w:tcW w:w="1133" w:type="dxa"/>
            <w:gridSpan w:val="3"/>
            <w:shd w:val="clear" w:color="auto" w:fill="auto"/>
            <w:noWrap/>
            <w:vAlign w:val="bottom"/>
            <w:hideMark/>
          </w:tcPr>
          <w:p w14:paraId="599C4585"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4.5</w:t>
            </w:r>
          </w:p>
        </w:tc>
        <w:tc>
          <w:tcPr>
            <w:tcW w:w="1134" w:type="dxa"/>
            <w:shd w:val="clear" w:color="auto" w:fill="auto"/>
            <w:noWrap/>
            <w:vAlign w:val="bottom"/>
            <w:hideMark/>
          </w:tcPr>
          <w:p w14:paraId="5B23EF69"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10.0</w:t>
            </w:r>
          </w:p>
        </w:tc>
      </w:tr>
      <w:tr w:rsidR="00D1149A" w:rsidRPr="002C31AD" w14:paraId="047ACB7C" w14:textId="77777777" w:rsidTr="00D1149A">
        <w:trPr>
          <w:trHeight w:val="255"/>
          <w:jc w:val="center"/>
        </w:trPr>
        <w:tc>
          <w:tcPr>
            <w:tcW w:w="4428" w:type="dxa"/>
            <w:gridSpan w:val="2"/>
            <w:shd w:val="clear" w:color="auto" w:fill="auto"/>
            <w:noWrap/>
            <w:vAlign w:val="bottom"/>
            <w:hideMark/>
          </w:tcPr>
          <w:p w14:paraId="1A8D3B06" w14:textId="6A741AA6" w:rsidR="00D1149A" w:rsidRPr="00660167" w:rsidRDefault="00D1149A">
            <w:pPr>
              <w:spacing w:after="0" w:line="240" w:lineRule="auto"/>
              <w:rPr>
                <w:rFonts w:ascii="Arial" w:eastAsia="Times New Roman" w:hAnsi="Arial" w:cs="Arial"/>
                <w:color w:val="000000"/>
                <w:sz w:val="16"/>
                <w:szCs w:val="20"/>
                <w:lang w:val="mn-MN"/>
              </w:rPr>
            </w:pPr>
            <w:r w:rsidRPr="002C31AD">
              <w:rPr>
                <w:rFonts w:ascii="Arial" w:eastAsia="Times New Roman" w:hAnsi="Arial" w:cs="Arial"/>
                <w:color w:val="000000"/>
                <w:sz w:val="16"/>
                <w:szCs w:val="20"/>
              </w:rPr>
              <w:t xml:space="preserve">      </w:t>
            </w:r>
            <w:r w:rsidR="0073396E">
              <w:rPr>
                <w:rFonts w:ascii="Arial" w:eastAsia="Times New Roman" w:hAnsi="Arial" w:cs="Arial"/>
                <w:color w:val="000000"/>
                <w:sz w:val="16"/>
                <w:szCs w:val="20"/>
                <w:lang w:val="mn-MN"/>
              </w:rPr>
              <w:t>Тимор-Листе</w:t>
            </w:r>
          </w:p>
        </w:tc>
        <w:tc>
          <w:tcPr>
            <w:tcW w:w="1133" w:type="dxa"/>
            <w:gridSpan w:val="2"/>
            <w:shd w:val="clear" w:color="auto" w:fill="auto"/>
            <w:noWrap/>
            <w:vAlign w:val="bottom"/>
            <w:hideMark/>
          </w:tcPr>
          <w:p w14:paraId="371E0EE0"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10.8</w:t>
            </w:r>
          </w:p>
        </w:tc>
        <w:tc>
          <w:tcPr>
            <w:tcW w:w="1133" w:type="dxa"/>
            <w:gridSpan w:val="2"/>
            <w:shd w:val="clear" w:color="auto" w:fill="auto"/>
            <w:noWrap/>
            <w:vAlign w:val="bottom"/>
            <w:hideMark/>
          </w:tcPr>
          <w:p w14:paraId="172D7BF9"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10.6</w:t>
            </w:r>
          </w:p>
        </w:tc>
        <w:tc>
          <w:tcPr>
            <w:tcW w:w="1133" w:type="dxa"/>
            <w:gridSpan w:val="3"/>
            <w:shd w:val="clear" w:color="auto" w:fill="auto"/>
            <w:noWrap/>
            <w:vAlign w:val="bottom"/>
            <w:hideMark/>
          </w:tcPr>
          <w:p w14:paraId="46F9B5B4"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10.4</w:t>
            </w:r>
          </w:p>
        </w:tc>
        <w:tc>
          <w:tcPr>
            <w:tcW w:w="1134" w:type="dxa"/>
            <w:shd w:val="clear" w:color="auto" w:fill="auto"/>
            <w:noWrap/>
            <w:vAlign w:val="bottom"/>
            <w:hideMark/>
          </w:tcPr>
          <w:p w14:paraId="74BCA7B5"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10.2</w:t>
            </w:r>
          </w:p>
        </w:tc>
      </w:tr>
      <w:tr w:rsidR="00D1149A" w:rsidRPr="002C31AD" w14:paraId="6B922B40" w14:textId="77777777" w:rsidTr="00D1149A">
        <w:trPr>
          <w:trHeight w:val="80"/>
          <w:jc w:val="center"/>
        </w:trPr>
        <w:tc>
          <w:tcPr>
            <w:tcW w:w="4428" w:type="dxa"/>
            <w:gridSpan w:val="2"/>
            <w:shd w:val="clear" w:color="auto" w:fill="auto"/>
            <w:noWrap/>
            <w:vAlign w:val="bottom"/>
            <w:hideMark/>
          </w:tcPr>
          <w:p w14:paraId="75DD09C4" w14:textId="77777777" w:rsidR="00D1149A" w:rsidRPr="002C31AD" w:rsidRDefault="00D1149A" w:rsidP="00D1149A">
            <w:pPr>
              <w:spacing w:after="0" w:line="240" w:lineRule="auto"/>
              <w:rPr>
                <w:rFonts w:ascii="Arial" w:eastAsia="Times New Roman" w:hAnsi="Arial" w:cs="Arial"/>
                <w:b/>
                <w:bCs/>
                <w:color w:val="000000"/>
                <w:sz w:val="16"/>
                <w:szCs w:val="20"/>
              </w:rPr>
            </w:pPr>
          </w:p>
        </w:tc>
        <w:tc>
          <w:tcPr>
            <w:tcW w:w="1133" w:type="dxa"/>
            <w:gridSpan w:val="2"/>
            <w:shd w:val="clear" w:color="auto" w:fill="auto"/>
            <w:noWrap/>
            <w:vAlign w:val="bottom"/>
            <w:hideMark/>
          </w:tcPr>
          <w:p w14:paraId="3BCCAD79" w14:textId="77777777" w:rsidR="00D1149A" w:rsidRPr="002C31AD" w:rsidRDefault="00D1149A" w:rsidP="00D1149A">
            <w:pPr>
              <w:spacing w:after="0" w:line="240" w:lineRule="auto"/>
              <w:jc w:val="center"/>
              <w:rPr>
                <w:rFonts w:ascii="Arial" w:eastAsia="Times New Roman" w:hAnsi="Arial" w:cs="Arial"/>
                <w:color w:val="000000"/>
                <w:sz w:val="16"/>
                <w:szCs w:val="20"/>
              </w:rPr>
            </w:pPr>
          </w:p>
        </w:tc>
        <w:tc>
          <w:tcPr>
            <w:tcW w:w="1133" w:type="dxa"/>
            <w:gridSpan w:val="2"/>
            <w:shd w:val="clear" w:color="auto" w:fill="auto"/>
            <w:noWrap/>
            <w:vAlign w:val="bottom"/>
            <w:hideMark/>
          </w:tcPr>
          <w:p w14:paraId="3627CBCE" w14:textId="77777777" w:rsidR="00D1149A" w:rsidRPr="002C31AD" w:rsidRDefault="00D1149A" w:rsidP="00D1149A">
            <w:pPr>
              <w:spacing w:after="0" w:line="240" w:lineRule="auto"/>
              <w:jc w:val="center"/>
              <w:rPr>
                <w:rFonts w:ascii="Arial" w:eastAsia="Times New Roman" w:hAnsi="Arial" w:cs="Arial"/>
                <w:color w:val="000000"/>
                <w:sz w:val="16"/>
                <w:szCs w:val="20"/>
              </w:rPr>
            </w:pPr>
          </w:p>
        </w:tc>
        <w:tc>
          <w:tcPr>
            <w:tcW w:w="1133" w:type="dxa"/>
            <w:gridSpan w:val="3"/>
            <w:shd w:val="clear" w:color="auto" w:fill="auto"/>
            <w:noWrap/>
            <w:vAlign w:val="bottom"/>
            <w:hideMark/>
          </w:tcPr>
          <w:p w14:paraId="2FC2774D" w14:textId="77777777" w:rsidR="00D1149A" w:rsidRPr="002C31AD" w:rsidRDefault="00D1149A" w:rsidP="00D1149A">
            <w:pPr>
              <w:spacing w:after="0" w:line="240" w:lineRule="auto"/>
              <w:jc w:val="center"/>
              <w:rPr>
                <w:rFonts w:ascii="Arial" w:eastAsia="Times New Roman" w:hAnsi="Arial" w:cs="Arial"/>
                <w:color w:val="000000"/>
                <w:sz w:val="16"/>
                <w:szCs w:val="20"/>
              </w:rPr>
            </w:pPr>
          </w:p>
        </w:tc>
        <w:tc>
          <w:tcPr>
            <w:tcW w:w="1134" w:type="dxa"/>
            <w:shd w:val="clear" w:color="auto" w:fill="auto"/>
            <w:noWrap/>
            <w:vAlign w:val="bottom"/>
            <w:hideMark/>
          </w:tcPr>
          <w:p w14:paraId="52679A2A" w14:textId="77777777" w:rsidR="00D1149A" w:rsidRPr="002C31AD" w:rsidRDefault="00D1149A" w:rsidP="00D1149A">
            <w:pPr>
              <w:spacing w:after="0" w:line="240" w:lineRule="auto"/>
              <w:jc w:val="center"/>
              <w:rPr>
                <w:rFonts w:ascii="Arial" w:eastAsia="Times New Roman" w:hAnsi="Arial" w:cs="Arial"/>
                <w:color w:val="000000"/>
                <w:sz w:val="16"/>
                <w:szCs w:val="20"/>
              </w:rPr>
            </w:pPr>
          </w:p>
        </w:tc>
      </w:tr>
      <w:tr w:rsidR="00D1149A" w:rsidRPr="002C31AD" w14:paraId="3EE15D81" w14:textId="77777777" w:rsidTr="00D1149A">
        <w:trPr>
          <w:trHeight w:val="80"/>
          <w:jc w:val="center"/>
        </w:trPr>
        <w:tc>
          <w:tcPr>
            <w:tcW w:w="7549" w:type="dxa"/>
            <w:gridSpan w:val="7"/>
            <w:shd w:val="clear" w:color="auto" w:fill="auto"/>
            <w:noWrap/>
            <w:vAlign w:val="bottom"/>
            <w:hideMark/>
          </w:tcPr>
          <w:p w14:paraId="619228F7" w14:textId="44F98AE3" w:rsidR="00D1149A" w:rsidRPr="002C31AD" w:rsidRDefault="0073396E" w:rsidP="00D1149A">
            <w:pPr>
              <w:spacing w:after="0" w:line="240" w:lineRule="auto"/>
              <w:rPr>
                <w:rFonts w:ascii="Arial" w:eastAsia="Times New Roman" w:hAnsi="Arial" w:cs="Arial"/>
                <w:b/>
                <w:bCs/>
                <w:i/>
                <w:iCs/>
                <w:color w:val="000000"/>
                <w:sz w:val="16"/>
                <w:szCs w:val="20"/>
              </w:rPr>
            </w:pPr>
            <w:r>
              <w:rPr>
                <w:rFonts w:ascii="Arial" w:eastAsia="Times New Roman" w:hAnsi="Arial" w:cs="Arial"/>
                <w:b/>
                <w:bCs/>
                <w:i/>
                <w:iCs/>
                <w:color w:val="000000"/>
                <w:sz w:val="16"/>
                <w:szCs w:val="20"/>
                <w:lang w:val="mn-MN"/>
              </w:rPr>
              <w:t>Гадаад орчны таамаглал</w:t>
            </w:r>
            <w:r w:rsidR="00D1149A" w:rsidRPr="002C31AD">
              <w:rPr>
                <w:rFonts w:ascii="Arial" w:eastAsia="Times New Roman" w:hAnsi="Arial" w:cs="Arial"/>
                <w:b/>
                <w:bCs/>
                <w:i/>
                <w:iCs/>
                <w:color w:val="000000"/>
                <w:sz w:val="16"/>
                <w:szCs w:val="20"/>
              </w:rPr>
              <w:t>:</w:t>
            </w:r>
          </w:p>
        </w:tc>
        <w:tc>
          <w:tcPr>
            <w:tcW w:w="1412" w:type="dxa"/>
            <w:gridSpan w:val="3"/>
            <w:shd w:val="clear" w:color="auto" w:fill="auto"/>
            <w:noWrap/>
            <w:vAlign w:val="bottom"/>
            <w:hideMark/>
          </w:tcPr>
          <w:p w14:paraId="3F3A692B" w14:textId="77777777" w:rsidR="00D1149A" w:rsidRPr="002C31AD" w:rsidRDefault="00D1149A" w:rsidP="00D1149A">
            <w:pPr>
              <w:spacing w:after="0" w:line="240" w:lineRule="auto"/>
              <w:jc w:val="right"/>
              <w:rPr>
                <w:rFonts w:ascii="Arial" w:eastAsia="Times New Roman" w:hAnsi="Arial" w:cs="Arial"/>
                <w:color w:val="000000"/>
                <w:sz w:val="16"/>
                <w:szCs w:val="20"/>
              </w:rPr>
            </w:pPr>
          </w:p>
        </w:tc>
      </w:tr>
      <w:tr w:rsidR="00D1149A" w:rsidRPr="002C31AD" w14:paraId="4D02FCC4" w14:textId="77777777" w:rsidTr="00D1149A">
        <w:trPr>
          <w:trHeight w:val="255"/>
          <w:jc w:val="center"/>
        </w:trPr>
        <w:tc>
          <w:tcPr>
            <w:tcW w:w="4391" w:type="dxa"/>
            <w:shd w:val="clear" w:color="auto" w:fill="auto"/>
            <w:noWrap/>
            <w:vAlign w:val="bottom"/>
            <w:hideMark/>
          </w:tcPr>
          <w:p w14:paraId="66CCF142" w14:textId="345206E7" w:rsidR="00D1149A" w:rsidRPr="00660167" w:rsidRDefault="00D1149A">
            <w:pPr>
              <w:spacing w:after="0" w:line="240" w:lineRule="auto"/>
              <w:rPr>
                <w:rFonts w:ascii="Arial" w:eastAsia="Times New Roman" w:hAnsi="Arial" w:cs="Arial"/>
                <w:color w:val="000000"/>
                <w:sz w:val="16"/>
                <w:szCs w:val="20"/>
                <w:lang w:val="mn-MN"/>
              </w:rPr>
            </w:pPr>
            <w:r w:rsidRPr="002C31AD">
              <w:rPr>
                <w:rFonts w:ascii="Arial" w:eastAsia="Times New Roman" w:hAnsi="Arial" w:cs="Arial"/>
                <w:color w:val="000000"/>
                <w:sz w:val="16"/>
                <w:szCs w:val="20"/>
              </w:rPr>
              <w:t xml:space="preserve">      </w:t>
            </w:r>
            <w:r w:rsidR="0073396E">
              <w:rPr>
                <w:rFonts w:ascii="Arial" w:eastAsia="Times New Roman" w:hAnsi="Arial" w:cs="Arial"/>
                <w:color w:val="000000"/>
                <w:sz w:val="16"/>
                <w:szCs w:val="20"/>
                <w:lang w:val="mn-MN"/>
              </w:rPr>
              <w:t>Өндөр орлоготой орнууд</w:t>
            </w:r>
          </w:p>
        </w:tc>
        <w:tc>
          <w:tcPr>
            <w:tcW w:w="1142" w:type="dxa"/>
            <w:gridSpan w:val="2"/>
            <w:shd w:val="clear" w:color="auto" w:fill="auto"/>
            <w:noWrap/>
            <w:vAlign w:val="bottom"/>
            <w:hideMark/>
          </w:tcPr>
          <w:p w14:paraId="5F50512F"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1.8</w:t>
            </w:r>
          </w:p>
        </w:tc>
        <w:tc>
          <w:tcPr>
            <w:tcW w:w="1143" w:type="dxa"/>
            <w:gridSpan w:val="2"/>
            <w:shd w:val="clear" w:color="auto" w:fill="auto"/>
            <w:noWrap/>
            <w:vAlign w:val="bottom"/>
            <w:hideMark/>
          </w:tcPr>
          <w:p w14:paraId="27475A9B"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1.6</w:t>
            </w:r>
          </w:p>
        </w:tc>
        <w:tc>
          <w:tcPr>
            <w:tcW w:w="1142" w:type="dxa"/>
            <w:gridSpan w:val="3"/>
            <w:shd w:val="clear" w:color="auto" w:fill="auto"/>
            <w:noWrap/>
            <w:vAlign w:val="bottom"/>
            <w:hideMark/>
          </w:tcPr>
          <w:p w14:paraId="776BC0AD"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1.3</w:t>
            </w:r>
          </w:p>
        </w:tc>
        <w:tc>
          <w:tcPr>
            <w:tcW w:w="1143" w:type="dxa"/>
            <w:gridSpan w:val="2"/>
            <w:shd w:val="clear" w:color="auto" w:fill="auto"/>
            <w:noWrap/>
            <w:vAlign w:val="bottom"/>
            <w:hideMark/>
          </w:tcPr>
          <w:p w14:paraId="7BCB9AEA"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2.1</w:t>
            </w:r>
          </w:p>
        </w:tc>
      </w:tr>
      <w:tr w:rsidR="00D1149A" w:rsidRPr="002C31AD" w14:paraId="347C5809" w14:textId="77777777" w:rsidTr="00D1149A">
        <w:trPr>
          <w:trHeight w:val="255"/>
          <w:jc w:val="center"/>
        </w:trPr>
        <w:tc>
          <w:tcPr>
            <w:tcW w:w="4391" w:type="dxa"/>
            <w:shd w:val="clear" w:color="auto" w:fill="auto"/>
            <w:noWrap/>
            <w:vAlign w:val="bottom"/>
            <w:hideMark/>
          </w:tcPr>
          <w:p w14:paraId="06A7CB7D" w14:textId="49DF8DA1" w:rsidR="00D1149A" w:rsidRPr="00660167" w:rsidRDefault="00D1149A">
            <w:pPr>
              <w:spacing w:after="0" w:line="240" w:lineRule="auto"/>
              <w:rPr>
                <w:rFonts w:ascii="Arial" w:eastAsia="Times New Roman" w:hAnsi="Arial" w:cs="Arial"/>
                <w:color w:val="000000"/>
                <w:sz w:val="16"/>
                <w:szCs w:val="20"/>
                <w:lang w:val="mn-MN"/>
              </w:rPr>
            </w:pPr>
            <w:r w:rsidRPr="002C31AD">
              <w:rPr>
                <w:rFonts w:ascii="Arial" w:eastAsia="Times New Roman" w:hAnsi="Arial" w:cs="Arial"/>
                <w:color w:val="000000"/>
                <w:sz w:val="16"/>
                <w:szCs w:val="20"/>
              </w:rPr>
              <w:t xml:space="preserve">      </w:t>
            </w:r>
            <w:r w:rsidR="0073396E">
              <w:rPr>
                <w:rFonts w:ascii="Arial" w:eastAsia="Times New Roman" w:hAnsi="Arial" w:cs="Arial"/>
                <w:color w:val="000000"/>
                <w:sz w:val="16"/>
                <w:szCs w:val="20"/>
                <w:lang w:val="mn-MN"/>
              </w:rPr>
              <w:t>Хөгжиж буй орнууд</w:t>
            </w:r>
          </w:p>
        </w:tc>
        <w:tc>
          <w:tcPr>
            <w:tcW w:w="1142" w:type="dxa"/>
            <w:gridSpan w:val="2"/>
            <w:shd w:val="clear" w:color="auto" w:fill="auto"/>
            <w:noWrap/>
            <w:vAlign w:val="bottom"/>
            <w:hideMark/>
          </w:tcPr>
          <w:p w14:paraId="6E363D8B"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6.3</w:t>
            </w:r>
          </w:p>
        </w:tc>
        <w:tc>
          <w:tcPr>
            <w:tcW w:w="1143" w:type="dxa"/>
            <w:gridSpan w:val="2"/>
            <w:shd w:val="clear" w:color="auto" w:fill="auto"/>
            <w:noWrap/>
            <w:vAlign w:val="bottom"/>
            <w:hideMark/>
          </w:tcPr>
          <w:p w14:paraId="31E3F41C"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4.7</w:t>
            </w:r>
          </w:p>
        </w:tc>
        <w:tc>
          <w:tcPr>
            <w:tcW w:w="1142" w:type="dxa"/>
            <w:gridSpan w:val="3"/>
            <w:shd w:val="clear" w:color="auto" w:fill="auto"/>
            <w:noWrap/>
            <w:vAlign w:val="bottom"/>
            <w:hideMark/>
          </w:tcPr>
          <w:p w14:paraId="11189E55"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4.8</w:t>
            </w:r>
          </w:p>
        </w:tc>
        <w:tc>
          <w:tcPr>
            <w:tcW w:w="1143" w:type="dxa"/>
            <w:gridSpan w:val="2"/>
            <w:shd w:val="clear" w:color="auto" w:fill="auto"/>
            <w:noWrap/>
            <w:vAlign w:val="bottom"/>
            <w:hideMark/>
          </w:tcPr>
          <w:p w14:paraId="787ED348" w14:textId="77777777" w:rsidR="00D1149A" w:rsidRPr="002C31AD" w:rsidRDefault="00D1149A" w:rsidP="00D1149A">
            <w:pPr>
              <w:spacing w:after="0" w:line="240" w:lineRule="auto"/>
              <w:jc w:val="center"/>
              <w:rPr>
                <w:rFonts w:ascii="Arial" w:eastAsia="Times New Roman" w:hAnsi="Arial" w:cs="Arial"/>
                <w:color w:val="000000"/>
                <w:sz w:val="16"/>
                <w:szCs w:val="20"/>
              </w:rPr>
            </w:pPr>
            <w:r w:rsidRPr="002C31AD">
              <w:rPr>
                <w:rFonts w:ascii="Arial" w:hAnsi="Arial" w:cs="Arial"/>
                <w:color w:val="000000"/>
                <w:sz w:val="16"/>
                <w:szCs w:val="20"/>
              </w:rPr>
              <w:t>5.3</w:t>
            </w:r>
          </w:p>
        </w:tc>
      </w:tr>
    </w:tbl>
    <w:p w14:paraId="214A13E2" w14:textId="77777777" w:rsidR="00D1149A" w:rsidRPr="003D038D" w:rsidRDefault="00D1149A" w:rsidP="00D1149A">
      <w:pPr>
        <w:autoSpaceDE w:val="0"/>
        <w:autoSpaceDN w:val="0"/>
        <w:adjustRightInd w:val="0"/>
        <w:spacing w:after="0" w:line="240" w:lineRule="auto"/>
        <w:rPr>
          <w:rFonts w:ascii="Arial" w:hAnsi="Arial" w:cs="Arial"/>
          <w:sz w:val="6"/>
          <w:szCs w:val="20"/>
        </w:rPr>
      </w:pPr>
    </w:p>
    <w:p w14:paraId="31E98AF0" w14:textId="11F4271A" w:rsidR="00D1149A" w:rsidRPr="009124A6" w:rsidRDefault="0073396E" w:rsidP="00D1149A">
      <w:pPr>
        <w:autoSpaceDE w:val="0"/>
        <w:autoSpaceDN w:val="0"/>
        <w:adjustRightInd w:val="0"/>
        <w:spacing w:after="0" w:line="240" w:lineRule="auto"/>
        <w:rPr>
          <w:rFonts w:ascii="Arial" w:hAnsi="Arial" w:cs="Arial"/>
          <w:sz w:val="14"/>
          <w:szCs w:val="20"/>
        </w:rPr>
      </w:pPr>
      <w:r>
        <w:rPr>
          <w:rFonts w:ascii="Arial" w:hAnsi="Arial" w:cs="Arial"/>
          <w:sz w:val="14"/>
          <w:szCs w:val="20"/>
          <w:lang w:val="mn-MN"/>
        </w:rPr>
        <w:t>Эх үүсвэр</w:t>
      </w:r>
      <w:r w:rsidR="00D1149A" w:rsidRPr="009124A6">
        <w:rPr>
          <w:rFonts w:ascii="Arial" w:hAnsi="Arial" w:cs="Arial"/>
          <w:sz w:val="14"/>
          <w:szCs w:val="20"/>
        </w:rPr>
        <w:t xml:space="preserve">: </w:t>
      </w:r>
      <w:r>
        <w:rPr>
          <w:rFonts w:ascii="Arial" w:hAnsi="Arial" w:cs="Arial"/>
          <w:sz w:val="14"/>
          <w:szCs w:val="20"/>
          <w:lang w:val="mn-MN"/>
        </w:rPr>
        <w:t>Дэлхийн банк, Зүүн Ази болон Номхон Далайн Эдийн засгийн тойм</w:t>
      </w:r>
      <w:r w:rsidR="00D1149A" w:rsidRPr="009124A6">
        <w:rPr>
          <w:rFonts w:ascii="Arial" w:hAnsi="Arial" w:cs="Arial"/>
          <w:sz w:val="14"/>
          <w:szCs w:val="20"/>
        </w:rPr>
        <w:t xml:space="preserve">, </w:t>
      </w:r>
      <w:r>
        <w:rPr>
          <w:rFonts w:ascii="Arial" w:hAnsi="Arial" w:cs="Arial"/>
          <w:sz w:val="14"/>
          <w:szCs w:val="20"/>
          <w:lang w:val="mn-MN"/>
        </w:rPr>
        <w:t xml:space="preserve">2013 оны 10 сар </w:t>
      </w:r>
    </w:p>
    <w:tbl>
      <w:tblPr>
        <w:tblpPr w:leftFromText="180" w:rightFromText="180" w:vertAnchor="text" w:horzAnchor="margin" w:tblpXSpec="right" w:tblpY="762"/>
        <w:tblOverlap w:val="never"/>
        <w:tblW w:w="0" w:type="auto"/>
        <w:tblLook w:val="04A0" w:firstRow="1" w:lastRow="0" w:firstColumn="1" w:lastColumn="0" w:noHBand="0" w:noVBand="1"/>
      </w:tblPr>
      <w:tblGrid>
        <w:gridCol w:w="4878"/>
      </w:tblGrid>
      <w:tr w:rsidR="003E2396" w:rsidRPr="000A2BAB" w14:paraId="3D70A7A6" w14:textId="77777777" w:rsidTr="003E2396">
        <w:tc>
          <w:tcPr>
            <w:tcW w:w="4878" w:type="dxa"/>
            <w:tcBorders>
              <w:bottom w:val="single" w:sz="4" w:space="0" w:color="984806" w:themeColor="accent6" w:themeShade="80"/>
            </w:tcBorders>
          </w:tcPr>
          <w:p w14:paraId="1A6F5DDD" w14:textId="77777777" w:rsidR="003E2396" w:rsidRPr="00B369A6" w:rsidRDefault="003E2396" w:rsidP="00630B23">
            <w:pPr>
              <w:pStyle w:val="Caption"/>
              <w:keepNext/>
              <w:spacing w:after="0"/>
            </w:pPr>
            <w:bookmarkStart w:id="14" w:name="_Toc371338615"/>
            <w:bookmarkStart w:id="15" w:name="_Toc370981664"/>
            <w:r>
              <w:rPr>
                <w:sz w:val="16"/>
                <w:szCs w:val="16"/>
                <w:lang w:val="mn-MN"/>
              </w:rPr>
              <w:t>Зураг</w:t>
            </w:r>
            <w:r w:rsidRPr="00660167">
              <w:rPr>
                <w:sz w:val="16"/>
                <w:szCs w:val="16"/>
              </w:rPr>
              <w:t xml:space="preserve"> </w:t>
            </w:r>
            <w:r>
              <w:rPr>
                <w:sz w:val="16"/>
                <w:szCs w:val="16"/>
              </w:rPr>
              <w:fldChar w:fldCharType="begin"/>
            </w:r>
            <w:r>
              <w:rPr>
                <w:sz w:val="16"/>
                <w:szCs w:val="16"/>
              </w:rPr>
              <w:instrText xml:space="preserve"> SEQ Figure \* ARABIC </w:instrText>
            </w:r>
            <w:r>
              <w:rPr>
                <w:sz w:val="16"/>
                <w:szCs w:val="16"/>
              </w:rPr>
              <w:fldChar w:fldCharType="separate"/>
            </w:r>
            <w:r>
              <w:rPr>
                <w:noProof/>
                <w:sz w:val="16"/>
                <w:szCs w:val="16"/>
              </w:rPr>
              <w:t>5</w:t>
            </w:r>
            <w:r>
              <w:rPr>
                <w:sz w:val="16"/>
                <w:szCs w:val="16"/>
              </w:rPr>
              <w:fldChar w:fldCharType="end"/>
            </w:r>
            <w:r w:rsidRPr="00660167">
              <w:rPr>
                <w:sz w:val="16"/>
                <w:szCs w:val="16"/>
              </w:rPr>
              <w:t>.</w:t>
            </w:r>
            <w:r>
              <w:rPr>
                <w:sz w:val="16"/>
                <w:szCs w:val="16"/>
                <w:lang w:val="mn-MN"/>
              </w:rPr>
              <w:t xml:space="preserve"> Хятадын өсөлт удаашрахад Монгол болон Лаос улсууд хамгийн их өртөнө</w:t>
            </w:r>
            <w:r w:rsidRPr="00E70E44">
              <w:t>.</w:t>
            </w:r>
            <w:bookmarkEnd w:id="14"/>
          </w:p>
        </w:tc>
      </w:tr>
      <w:tr w:rsidR="003E2396" w:rsidRPr="000A2BAB" w14:paraId="6C477C48" w14:textId="77777777" w:rsidTr="003E2396">
        <w:tc>
          <w:tcPr>
            <w:tcW w:w="4878" w:type="dxa"/>
            <w:tcBorders>
              <w:top w:val="single" w:sz="4" w:space="0" w:color="984806" w:themeColor="accent6" w:themeShade="80"/>
            </w:tcBorders>
          </w:tcPr>
          <w:p w14:paraId="25DC6645" w14:textId="77777777" w:rsidR="003E2396" w:rsidRDefault="003E2396" w:rsidP="003E2396">
            <w:pPr>
              <w:pStyle w:val="Caption"/>
              <w:spacing w:before="120"/>
            </w:pPr>
            <w:r>
              <w:rPr>
                <w:b w:val="0"/>
                <w:color w:val="auto"/>
                <w:sz w:val="16"/>
                <w:lang w:val="mn-MN"/>
              </w:rPr>
              <w:t>Хятад руу гаргаж буй экспорт, тухайн улсын нийт экспортод эзлэх хувь</w:t>
            </w:r>
            <w:r>
              <w:rPr>
                <w:b w:val="0"/>
                <w:color w:val="auto"/>
                <w:sz w:val="16"/>
              </w:rPr>
              <w:t>, 2012</w:t>
            </w:r>
          </w:p>
          <w:p w14:paraId="134C2C2D" w14:textId="77777777" w:rsidR="003E2396" w:rsidRPr="000A2BAB" w:rsidRDefault="003E2396" w:rsidP="003E2396">
            <w:pPr>
              <w:pStyle w:val="Caption"/>
              <w:spacing w:before="120"/>
              <w:rPr>
                <w:color w:val="auto"/>
              </w:rPr>
            </w:pPr>
            <w:r w:rsidRPr="00630B23">
              <w:rPr>
                <w:noProof/>
                <w:sz w:val="20"/>
              </w:rPr>
              <w:drawing>
                <wp:inline distT="0" distB="0" distL="0" distR="0" wp14:anchorId="26D38FBA" wp14:editId="1D3DA512">
                  <wp:extent cx="2781300" cy="1647825"/>
                  <wp:effectExtent l="0" t="0" r="0" b="0"/>
                  <wp:docPr id="347" name="Chart 34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c>
      </w:tr>
      <w:tr w:rsidR="003E2396" w:rsidRPr="000A2BAB" w14:paraId="48816384" w14:textId="77777777" w:rsidTr="003E2396">
        <w:trPr>
          <w:trHeight w:val="80"/>
        </w:trPr>
        <w:tc>
          <w:tcPr>
            <w:tcW w:w="4878" w:type="dxa"/>
          </w:tcPr>
          <w:p w14:paraId="0D77D05E" w14:textId="77777777" w:rsidR="003E2396" w:rsidRPr="004D167B" w:rsidRDefault="003E2396" w:rsidP="003E2396">
            <w:pPr>
              <w:pStyle w:val="NoSpacing"/>
              <w:jc w:val="both"/>
              <w:rPr>
                <w:sz w:val="14"/>
                <w:szCs w:val="18"/>
              </w:rPr>
            </w:pPr>
            <w:r>
              <w:rPr>
                <w:i/>
                <w:sz w:val="14"/>
                <w:szCs w:val="18"/>
              </w:rPr>
              <w:t xml:space="preserve">   </w:t>
            </w:r>
            <w:r>
              <w:rPr>
                <w:i/>
                <w:sz w:val="14"/>
                <w:szCs w:val="18"/>
                <w:lang w:val="mn-MN"/>
              </w:rPr>
              <w:t>Эх үүсвэр</w:t>
            </w:r>
            <w:r w:rsidRPr="000A2BAB">
              <w:rPr>
                <w:i/>
                <w:sz w:val="14"/>
                <w:szCs w:val="18"/>
              </w:rPr>
              <w:t>:</w:t>
            </w:r>
            <w:r w:rsidRPr="000A2BAB">
              <w:rPr>
                <w:sz w:val="14"/>
                <w:szCs w:val="18"/>
              </w:rPr>
              <w:t xml:space="preserve"> </w:t>
            </w:r>
            <w:r>
              <w:rPr>
                <w:sz w:val="14"/>
                <w:szCs w:val="18"/>
                <w:lang w:val="mn-MN"/>
              </w:rPr>
              <w:t>ДБ, ОУВС тоо мэдээ</w:t>
            </w:r>
            <w:r>
              <w:rPr>
                <w:sz w:val="14"/>
                <w:szCs w:val="18"/>
              </w:rPr>
              <w:t xml:space="preserve">, </w:t>
            </w:r>
            <w:r>
              <w:rPr>
                <w:sz w:val="14"/>
                <w:szCs w:val="18"/>
                <w:lang w:val="mn-MN"/>
              </w:rPr>
              <w:t>ДБ-ны мэргэжилтнүүдийн тооцоо</w:t>
            </w:r>
            <w:r w:rsidRPr="000A2BAB">
              <w:rPr>
                <w:sz w:val="14"/>
                <w:szCs w:val="18"/>
              </w:rPr>
              <w:t>.</w:t>
            </w:r>
          </w:p>
        </w:tc>
      </w:tr>
    </w:tbl>
    <w:p w14:paraId="47F8D44A" w14:textId="5E8CCB43" w:rsidR="00D1149A" w:rsidRPr="006B2970" w:rsidRDefault="0073396E" w:rsidP="00D1149A">
      <w:pPr>
        <w:pStyle w:val="Heading2"/>
        <w:pBdr>
          <w:bottom w:val="single" w:sz="4" w:space="1" w:color="auto"/>
        </w:pBdr>
        <w:rPr>
          <w:rFonts w:asciiTheme="minorHAnsi" w:hAnsiTheme="minorHAnsi" w:cstheme="minorHAnsi"/>
          <w:color w:val="002060"/>
          <w:sz w:val="24"/>
          <w:lang w:eastAsia="ko-KR"/>
        </w:rPr>
      </w:pPr>
      <w:bookmarkStart w:id="16" w:name="_Toc371338274"/>
      <w:r>
        <w:rPr>
          <w:rFonts w:asciiTheme="minorHAnsi" w:hAnsiTheme="minorHAnsi" w:cstheme="minorHAnsi"/>
          <w:color w:val="002060"/>
          <w:sz w:val="24"/>
          <w:lang w:val="mn-MN" w:eastAsia="ko-KR"/>
        </w:rPr>
        <w:t>Тухайн бүс нутгийн эдийн засагт суурь эрсдэл байна</w:t>
      </w:r>
      <w:bookmarkEnd w:id="16"/>
      <w:r>
        <w:rPr>
          <w:rFonts w:asciiTheme="minorHAnsi" w:hAnsiTheme="minorHAnsi" w:cstheme="minorHAnsi"/>
          <w:color w:val="002060"/>
          <w:sz w:val="24"/>
          <w:lang w:val="mn-MN" w:eastAsia="ko-KR"/>
        </w:rPr>
        <w:t xml:space="preserve"> </w:t>
      </w:r>
      <w:bookmarkEnd w:id="15"/>
    </w:p>
    <w:p w14:paraId="5ADE6A1E" w14:textId="77777777" w:rsidR="00D1149A" w:rsidRDefault="00D1149A" w:rsidP="00D1149A">
      <w:pPr>
        <w:autoSpaceDE w:val="0"/>
        <w:autoSpaceDN w:val="0"/>
        <w:adjustRightInd w:val="0"/>
        <w:spacing w:after="0"/>
        <w:jc w:val="both"/>
        <w:rPr>
          <w:rFonts w:ascii="Arial" w:hAnsi="Arial" w:cs="Arial"/>
          <w:b/>
          <w:color w:val="000000"/>
          <w:sz w:val="20"/>
          <w:szCs w:val="20"/>
        </w:rPr>
      </w:pPr>
    </w:p>
    <w:p w14:paraId="2199EF58" w14:textId="07DA841D" w:rsidR="00D1149A" w:rsidRPr="00DD1CC5" w:rsidRDefault="00A9114E" w:rsidP="00D1149A">
      <w:pPr>
        <w:autoSpaceDE w:val="0"/>
        <w:autoSpaceDN w:val="0"/>
        <w:adjustRightInd w:val="0"/>
        <w:spacing w:after="0"/>
        <w:jc w:val="both"/>
        <w:rPr>
          <w:rFonts w:ascii="Arial" w:hAnsi="Arial" w:cs="Arial"/>
          <w:sz w:val="20"/>
          <w:szCs w:val="20"/>
        </w:rPr>
      </w:pPr>
      <w:r>
        <w:rPr>
          <w:rFonts w:ascii="Arial" w:hAnsi="Arial" w:cs="Arial"/>
          <w:b/>
          <w:color w:val="000000"/>
          <w:sz w:val="20"/>
          <w:szCs w:val="20"/>
          <w:lang w:val="mn-MN"/>
        </w:rPr>
        <w:t xml:space="preserve">Хятад улсад хөрөнгө оруулалт хүлээгдэж байснаас илүү буурсан нь Хятадын аж үйлдвэрлэлийн тэлэлт, дэд бүтцийн зардал болон үл хөдлөх хөрөнгийн хөгжлөөс хүртдэг капитал бүтээгдэхүүн болон аж үйлдвэрийн түүхий эд материал нийлүүлэгчдэд хүчтэй сөргөөр нөлөөлөх талтай. </w:t>
      </w:r>
      <w:r w:rsidR="00B856A3">
        <w:rPr>
          <w:rFonts w:ascii="Arial" w:hAnsi="Arial" w:cs="Arial"/>
          <w:color w:val="000000"/>
          <w:sz w:val="20"/>
          <w:szCs w:val="20"/>
          <w:lang w:val="mn-MN"/>
        </w:rPr>
        <w:t>Хятад улсынх шиг том, олон талтай эдийн засагт бүтцийн өөрчлөлт хийнэ гэдэг нь нэлээд төвөгтэй, хүндрэлтэй олон талтай асуудал. Дэлхийн банкны үзэж байгаа суурь хувилбар нь экспорт болон хөрөнгө оруулалтад чиглэгдсэн өсөлтөөс хэрэглээ- болон үйлчилгээнд суурилсан өсөлтөд шилжих шилжилт</w:t>
      </w:r>
      <w:r w:rsidR="007C5849">
        <w:rPr>
          <w:rFonts w:ascii="Arial" w:hAnsi="Arial" w:cs="Arial"/>
          <w:color w:val="000000"/>
          <w:sz w:val="20"/>
          <w:szCs w:val="20"/>
          <w:lang w:val="mn-MN"/>
        </w:rPr>
        <w:t>ийг</w:t>
      </w:r>
      <w:r w:rsidR="00B856A3">
        <w:rPr>
          <w:rFonts w:ascii="Arial" w:hAnsi="Arial" w:cs="Arial"/>
          <w:color w:val="000000"/>
          <w:sz w:val="20"/>
          <w:szCs w:val="20"/>
          <w:lang w:val="mn-MN"/>
        </w:rPr>
        <w:t xml:space="preserve"> илүү аажим бөгөөд дэс дараатай </w:t>
      </w:r>
      <w:r w:rsidR="007C5849">
        <w:rPr>
          <w:rFonts w:ascii="Arial" w:hAnsi="Arial" w:cs="Arial"/>
          <w:color w:val="000000"/>
          <w:sz w:val="20"/>
          <w:szCs w:val="20"/>
          <w:lang w:val="mn-MN"/>
        </w:rPr>
        <w:t xml:space="preserve">хийх хэрэгтэй </w:t>
      </w:r>
      <w:r w:rsidR="00B856A3">
        <w:rPr>
          <w:rFonts w:ascii="Arial" w:hAnsi="Arial" w:cs="Arial"/>
          <w:color w:val="000000"/>
          <w:sz w:val="20"/>
          <w:szCs w:val="20"/>
          <w:lang w:val="mn-MN"/>
        </w:rPr>
        <w:t>юм. Гэвч дахин тэнцвэржүүлэх бодлого нь бараг гурван арван жил гараны туршид өсөлтийг бий болгож амжилттай хийгдэж байсан урт хугацааны өмнөх бодлогуудыг өөрчлөх</w:t>
      </w:r>
      <w:r w:rsidR="00D1149A" w:rsidRPr="002C31AD">
        <w:rPr>
          <w:rFonts w:ascii="Arial" w:hAnsi="Arial" w:cs="Arial"/>
          <w:color w:val="000000"/>
          <w:sz w:val="20"/>
          <w:szCs w:val="20"/>
        </w:rPr>
        <w:t xml:space="preserve"> (</w:t>
      </w:r>
      <w:r w:rsidR="00B856A3">
        <w:rPr>
          <w:rFonts w:ascii="Arial" w:hAnsi="Arial" w:cs="Arial"/>
          <w:color w:val="000000"/>
          <w:sz w:val="20"/>
          <w:szCs w:val="20"/>
          <w:lang w:val="mn-MN"/>
        </w:rPr>
        <w:t>аж үйлдвэрлэл эрхлэгчид, улсын өмчит аж ахуйн нэгжүүд болон өмч бий болгогчдад бага хувийн хүүтэй байсан зэрэг</w:t>
      </w:r>
      <w:r w:rsidR="00D1149A" w:rsidRPr="002C31AD">
        <w:rPr>
          <w:rFonts w:ascii="Arial" w:hAnsi="Arial" w:cs="Arial"/>
          <w:color w:val="000000"/>
          <w:sz w:val="20"/>
          <w:szCs w:val="20"/>
        </w:rPr>
        <w:t xml:space="preserve">) </w:t>
      </w:r>
      <w:r w:rsidR="00B856A3">
        <w:rPr>
          <w:rFonts w:ascii="Arial" w:hAnsi="Arial" w:cs="Arial"/>
          <w:color w:val="000000"/>
          <w:sz w:val="20"/>
          <w:szCs w:val="20"/>
          <w:lang w:val="mn-MN"/>
        </w:rPr>
        <w:t xml:space="preserve">учраас тохируулга нь хурц, бөгөөд дэс дараагүй болох талтай. Хөрөнгө оруулалтыг огцом бууруулах нь өсөлтийг татах талтай учир нь нийт үйлдвэрлэлд хөрөнгө оруулалт өндөр хувь эзэлдэг мөн энэхүү бууралтыг даван гарч чадахаар хангалттай хэмжээгээр хэрэглээ өсөх нь хязгаарлагдмал. Хятад улсын өсөлт удааширч байгаа нь түүхий эд экспортлогчидод хамгийн их нөлөөлнө. </w:t>
      </w:r>
      <w:r w:rsidR="00D52073">
        <w:rPr>
          <w:rFonts w:ascii="Arial" w:hAnsi="Arial" w:cs="Arial"/>
          <w:color w:val="000000"/>
          <w:sz w:val="20"/>
          <w:szCs w:val="20"/>
          <w:lang w:val="mn-MN"/>
        </w:rPr>
        <w:t>Төрөлжилт багатай, Хятад улсаас экспортынх нь хамаарал нь хэт их болсон эдийн засгууд</w:t>
      </w:r>
      <w:r w:rsidR="00D1149A">
        <w:rPr>
          <w:rFonts w:ascii="Arial" w:hAnsi="Arial" w:cs="Arial"/>
          <w:sz w:val="20"/>
          <w:szCs w:val="20"/>
        </w:rPr>
        <w:t xml:space="preserve">– </w:t>
      </w:r>
      <w:r w:rsidR="00D52073">
        <w:rPr>
          <w:rFonts w:ascii="Arial" w:hAnsi="Arial" w:cs="Arial"/>
          <w:sz w:val="20"/>
          <w:szCs w:val="20"/>
          <w:lang w:val="mn-MN"/>
        </w:rPr>
        <w:t>жишээ нь Монгол, Лаос</w:t>
      </w:r>
      <w:r w:rsidR="00D1149A">
        <w:rPr>
          <w:rFonts w:ascii="Arial" w:hAnsi="Arial" w:cs="Arial"/>
          <w:sz w:val="20"/>
          <w:szCs w:val="20"/>
        </w:rPr>
        <w:t xml:space="preserve"> – </w:t>
      </w:r>
      <w:r w:rsidR="00D52073">
        <w:rPr>
          <w:rFonts w:ascii="Arial" w:hAnsi="Arial" w:cs="Arial"/>
          <w:sz w:val="20"/>
          <w:szCs w:val="20"/>
          <w:lang w:val="mn-MN"/>
        </w:rPr>
        <w:t xml:space="preserve">Хятадын удааширч буй өсөлт нь хамгийн хүнд тусах талтай. </w:t>
      </w:r>
      <w:r w:rsidR="00D1149A">
        <w:rPr>
          <w:rFonts w:ascii="Arial" w:hAnsi="Arial" w:cs="Arial"/>
          <w:sz w:val="20"/>
          <w:szCs w:val="20"/>
        </w:rPr>
        <w:t>(</w:t>
      </w:r>
      <w:r w:rsidR="00D52073">
        <w:rPr>
          <w:rFonts w:ascii="Arial" w:hAnsi="Arial" w:cs="Arial"/>
          <w:sz w:val="20"/>
          <w:szCs w:val="20"/>
          <w:lang w:val="mn-MN"/>
        </w:rPr>
        <w:t>Зураг</w:t>
      </w:r>
      <w:r w:rsidR="00D52073">
        <w:rPr>
          <w:rFonts w:ascii="Arial" w:hAnsi="Arial" w:cs="Arial"/>
          <w:sz w:val="20"/>
          <w:szCs w:val="20"/>
        </w:rPr>
        <w:t xml:space="preserve"> </w:t>
      </w:r>
      <w:r w:rsidR="00D1149A">
        <w:rPr>
          <w:rFonts w:ascii="Arial" w:hAnsi="Arial" w:cs="Arial"/>
          <w:sz w:val="20"/>
          <w:szCs w:val="20"/>
        </w:rPr>
        <w:t>5)</w:t>
      </w:r>
    </w:p>
    <w:p w14:paraId="297FD2C5" w14:textId="77777777" w:rsidR="00D1149A" w:rsidRDefault="00D1149A" w:rsidP="00D1149A">
      <w:pPr>
        <w:autoSpaceDE w:val="0"/>
        <w:autoSpaceDN w:val="0"/>
        <w:adjustRightInd w:val="0"/>
        <w:spacing w:after="0" w:line="240" w:lineRule="auto"/>
        <w:rPr>
          <w:rFonts w:ascii="Arial" w:hAnsi="Arial" w:cs="Arial"/>
          <w:sz w:val="20"/>
          <w:szCs w:val="20"/>
        </w:rPr>
      </w:pPr>
    </w:p>
    <w:p w14:paraId="27C59434" w14:textId="650AF239" w:rsidR="00D1149A" w:rsidRDefault="008F762B" w:rsidP="00D1149A">
      <w:pPr>
        <w:autoSpaceDE w:val="0"/>
        <w:autoSpaceDN w:val="0"/>
        <w:adjustRightInd w:val="0"/>
        <w:spacing w:after="0"/>
        <w:jc w:val="both"/>
        <w:rPr>
          <w:rFonts w:ascii="Arial" w:hAnsi="Arial" w:cs="Arial"/>
          <w:sz w:val="20"/>
          <w:szCs w:val="20"/>
        </w:rPr>
      </w:pPr>
      <w:r>
        <w:rPr>
          <w:rFonts w:ascii="Arial" w:hAnsi="Arial" w:cs="Arial"/>
          <w:b/>
          <w:sz w:val="20"/>
          <w:szCs w:val="20"/>
          <w:lang w:val="mn-MN"/>
        </w:rPr>
        <w:lastRenderedPageBreak/>
        <w:t xml:space="preserve">Хэдийгээр АНУ-д мөнгөний бодлогыг нормальжуулж байгаа нь хөгжиж буй орнуудад эцэстээ сайн нөлөөтэй ч тохируулга хийхэд төвөгтэй байх талтай. </w:t>
      </w:r>
      <w:r>
        <w:rPr>
          <w:rFonts w:ascii="Arial" w:hAnsi="Arial" w:cs="Arial"/>
          <w:sz w:val="20"/>
          <w:szCs w:val="20"/>
          <w:lang w:val="mn-MN"/>
        </w:rPr>
        <w:t>Мөнгөний урамшууллыг байхгүй болгож байгаа нь АНУ-д аж ахуйн нэгжүүд сэргэж байгааг илэрхийлж байгаа бөгөөд энэ нь дэлхийн хамгийн том эдийн засагтай худалдаа, санхүүгийн хувьд нэгдсэн орнууд</w:t>
      </w:r>
      <w:r w:rsidR="007C5849">
        <w:rPr>
          <w:rFonts w:ascii="Arial" w:hAnsi="Arial" w:cs="Arial"/>
          <w:sz w:val="20"/>
          <w:szCs w:val="20"/>
          <w:lang w:val="mn-MN"/>
        </w:rPr>
        <w:t>ад илүү</w:t>
      </w:r>
      <w:r>
        <w:rPr>
          <w:rFonts w:ascii="Arial" w:hAnsi="Arial" w:cs="Arial"/>
          <w:sz w:val="20"/>
          <w:szCs w:val="20"/>
          <w:lang w:val="mn-MN"/>
        </w:rPr>
        <w:t xml:space="preserve"> ашигтай байна. Гэвч тохируулга хийхэд сөрөг талтай болж магадгүйг ТХЗ-ийг сулруулахад олон тооны хөгжиж буй орнууд санхүүгийн зах зээлд хэлбэлзэлд орсноос харж болно. АНУ-ын Холбооны Нөөц мөнгөний урамшууллаа аажмаар байхгүй болгохоор анх удаа анхааруулсан нь зээлийг хүүг өсгөж, багцын дотогшлох урсгалыг эсрэг болгон, Зүүн Ази болон бусад хөгжиж буй орнуудад хөрөнгийн үнэ буурсан. Хэдийгээр 9 сард зогсоохоо хойшлуулсан нь зарим тайвшралыг бий болгож байгаа ч санхүүгийн зах зээлүүдэд хэлбэлзэл тодорхой хугацаанд байсаар байхаар байна. </w:t>
      </w:r>
    </w:p>
    <w:p w14:paraId="61D3510D" w14:textId="77777777" w:rsidR="00D1149A" w:rsidRDefault="00D1149A" w:rsidP="00D1149A">
      <w:pPr>
        <w:autoSpaceDE w:val="0"/>
        <w:autoSpaceDN w:val="0"/>
        <w:adjustRightInd w:val="0"/>
        <w:spacing w:after="0"/>
        <w:rPr>
          <w:rFonts w:ascii="Arial" w:hAnsi="Arial" w:cs="Arial"/>
          <w:sz w:val="20"/>
          <w:szCs w:val="20"/>
        </w:rPr>
      </w:pPr>
    </w:p>
    <w:p w14:paraId="02D9487A" w14:textId="6BD9AC52" w:rsidR="00D1149A" w:rsidRDefault="008F762B" w:rsidP="00D1149A">
      <w:pPr>
        <w:autoSpaceDE w:val="0"/>
        <w:autoSpaceDN w:val="0"/>
        <w:adjustRightInd w:val="0"/>
        <w:spacing w:after="0"/>
        <w:jc w:val="both"/>
        <w:rPr>
          <w:rFonts w:ascii="Arial" w:hAnsi="Arial" w:cs="Arial"/>
          <w:sz w:val="20"/>
          <w:szCs w:val="20"/>
        </w:rPr>
      </w:pPr>
      <w:r>
        <w:rPr>
          <w:rFonts w:ascii="Arial" w:hAnsi="Arial" w:cs="Arial"/>
          <w:b/>
          <w:sz w:val="20"/>
          <w:szCs w:val="20"/>
          <w:lang w:val="mn-MN"/>
        </w:rPr>
        <w:t xml:space="preserve">Тухайн бүс нутгийн орнуудад тэдгээрийн санхүүгийн зах зээлд томоохон гадаадын оролцоотой байсан том сангууд гарч явсныг тэд тайлагнаад байгаа бөгөөд энэ нь тэдгээрийг хэлбэлзэлд улам эрсдэлтэй болгож байна. </w:t>
      </w:r>
      <w:r w:rsidR="007C5849">
        <w:rPr>
          <w:rFonts w:ascii="Arial" w:hAnsi="Arial" w:cs="Arial"/>
          <w:sz w:val="20"/>
          <w:szCs w:val="20"/>
          <w:lang w:val="mn-MN"/>
        </w:rPr>
        <w:t xml:space="preserve">Энэ орнууд </w:t>
      </w:r>
      <w:r>
        <w:rPr>
          <w:rFonts w:ascii="Arial" w:hAnsi="Arial" w:cs="Arial"/>
          <w:sz w:val="20"/>
          <w:szCs w:val="20"/>
          <w:lang w:val="mn-MN"/>
        </w:rPr>
        <w:t xml:space="preserve">мөн </w:t>
      </w:r>
      <w:r w:rsidR="007C5849">
        <w:rPr>
          <w:rFonts w:ascii="Arial" w:hAnsi="Arial" w:cs="Arial"/>
          <w:sz w:val="20"/>
          <w:szCs w:val="20"/>
          <w:lang w:val="mn-MN"/>
        </w:rPr>
        <w:t xml:space="preserve">л </w:t>
      </w:r>
      <w:r>
        <w:rPr>
          <w:rFonts w:ascii="Arial" w:hAnsi="Arial" w:cs="Arial"/>
          <w:sz w:val="20"/>
          <w:szCs w:val="20"/>
          <w:lang w:val="mn-MN"/>
        </w:rPr>
        <w:t>ихээхэн хэмжээний урсгал дансны алдагдалтай</w:t>
      </w:r>
      <w:r w:rsidR="00D1149A" w:rsidRPr="002C31AD">
        <w:rPr>
          <w:rFonts w:ascii="Arial" w:hAnsi="Arial" w:cs="Arial"/>
          <w:sz w:val="20"/>
          <w:szCs w:val="20"/>
        </w:rPr>
        <w:t xml:space="preserve"> (</w:t>
      </w:r>
      <w:r>
        <w:rPr>
          <w:rFonts w:ascii="Arial" w:hAnsi="Arial" w:cs="Arial"/>
          <w:sz w:val="20"/>
          <w:szCs w:val="20"/>
          <w:lang w:val="mn-MN"/>
        </w:rPr>
        <w:t>Индонез</w:t>
      </w:r>
      <w:r w:rsidR="00D1149A" w:rsidRPr="002C31AD">
        <w:rPr>
          <w:rFonts w:ascii="Arial" w:hAnsi="Arial" w:cs="Arial"/>
          <w:sz w:val="20"/>
          <w:szCs w:val="20"/>
        </w:rPr>
        <w:t xml:space="preserve">) </w:t>
      </w:r>
      <w:r>
        <w:rPr>
          <w:rFonts w:ascii="Arial" w:hAnsi="Arial" w:cs="Arial"/>
          <w:sz w:val="20"/>
          <w:szCs w:val="20"/>
          <w:lang w:val="mn-MN"/>
        </w:rPr>
        <w:t xml:space="preserve">эсвэл зээлийн </w:t>
      </w:r>
      <w:r w:rsidR="007C5849">
        <w:rPr>
          <w:rFonts w:ascii="Arial" w:hAnsi="Arial" w:cs="Arial"/>
          <w:sz w:val="20"/>
          <w:szCs w:val="20"/>
          <w:lang w:val="mn-MN"/>
        </w:rPr>
        <w:t>о</w:t>
      </w:r>
      <w:r>
        <w:rPr>
          <w:rFonts w:ascii="Arial" w:hAnsi="Arial" w:cs="Arial"/>
          <w:sz w:val="20"/>
          <w:szCs w:val="20"/>
          <w:lang w:val="mn-MN"/>
        </w:rPr>
        <w:t>гцом өсөлттэй байсан</w:t>
      </w:r>
      <w:r w:rsidR="00D1149A" w:rsidRPr="002C31AD">
        <w:rPr>
          <w:rFonts w:ascii="Arial" w:hAnsi="Arial" w:cs="Arial"/>
          <w:sz w:val="20"/>
          <w:szCs w:val="20"/>
        </w:rPr>
        <w:t xml:space="preserve"> (</w:t>
      </w:r>
      <w:r>
        <w:rPr>
          <w:rFonts w:ascii="Arial" w:hAnsi="Arial" w:cs="Arial"/>
          <w:sz w:val="20"/>
          <w:szCs w:val="20"/>
          <w:lang w:val="mn-MN"/>
        </w:rPr>
        <w:t>Тайланд, Малайз</w:t>
      </w:r>
      <w:r w:rsidR="00D1149A" w:rsidRPr="002C31AD">
        <w:rPr>
          <w:rFonts w:ascii="Arial" w:hAnsi="Arial" w:cs="Arial"/>
          <w:sz w:val="20"/>
          <w:szCs w:val="20"/>
        </w:rPr>
        <w:t xml:space="preserve">). </w:t>
      </w:r>
      <w:r>
        <w:rPr>
          <w:rFonts w:ascii="Arial" w:hAnsi="Arial" w:cs="Arial"/>
          <w:sz w:val="20"/>
          <w:szCs w:val="20"/>
          <w:lang w:val="mn-MN"/>
        </w:rPr>
        <w:t xml:space="preserve">Эдийн засгийн тэнцвэргүй байдал болон санхүүгийн эмзэг байдал нь эдгээр эдийн засгуудыг дэлхийн санхүүгийн нөхцөл байдал сулрах үед эрсдэлд хүргэж байна. Хөрөнгийн гадагшлах урсгал болон урт хугацааны хүү нэмэгдэж байгаа нь бодит эдийн засагт үр нөлөөтэй. </w:t>
      </w:r>
      <w:r w:rsidR="00A47EEF">
        <w:rPr>
          <w:rFonts w:ascii="Arial" w:hAnsi="Arial" w:cs="Arial"/>
          <w:sz w:val="20"/>
          <w:szCs w:val="20"/>
          <w:lang w:val="mn-MN"/>
        </w:rPr>
        <w:t>Хэдийгээр зээлийн хүү</w:t>
      </w:r>
      <w:r w:rsidR="007C5849">
        <w:rPr>
          <w:rFonts w:ascii="Arial" w:hAnsi="Arial" w:cs="Arial"/>
          <w:sz w:val="20"/>
          <w:szCs w:val="20"/>
          <w:lang w:val="mn-MN"/>
        </w:rPr>
        <w:t xml:space="preserve"> </w:t>
      </w:r>
      <w:r w:rsidR="00A47EEF">
        <w:rPr>
          <w:rFonts w:ascii="Arial" w:hAnsi="Arial" w:cs="Arial"/>
          <w:sz w:val="20"/>
          <w:szCs w:val="20"/>
          <w:lang w:val="mn-MN"/>
        </w:rPr>
        <w:t>өндөр байх нь тогтмол хөрөнгө оруулалтад сөрөг талтай ч эцсийн дүндээ бодит өсөлтөд ч нөлөөлнө. Санхүүгийн зах зээлд нь гадны оролцоо багатай орнууд</w:t>
      </w:r>
      <w:r w:rsidR="00D1149A">
        <w:rPr>
          <w:rFonts w:ascii="Arial" w:hAnsi="Arial" w:cs="Arial"/>
          <w:sz w:val="20"/>
          <w:szCs w:val="20"/>
        </w:rPr>
        <w:t xml:space="preserve"> – </w:t>
      </w:r>
      <w:r w:rsidR="00A47EEF">
        <w:rPr>
          <w:rFonts w:ascii="Arial" w:hAnsi="Arial" w:cs="Arial"/>
          <w:sz w:val="20"/>
          <w:szCs w:val="20"/>
          <w:lang w:val="mn-MN"/>
        </w:rPr>
        <w:t>жишээ нь Монгол улс</w:t>
      </w:r>
      <w:r w:rsidR="00D1149A">
        <w:rPr>
          <w:rFonts w:ascii="Arial" w:hAnsi="Arial" w:cs="Arial"/>
          <w:sz w:val="20"/>
          <w:szCs w:val="20"/>
        </w:rPr>
        <w:t xml:space="preserve"> – </w:t>
      </w:r>
      <w:r w:rsidR="00A47EEF">
        <w:rPr>
          <w:rFonts w:ascii="Arial" w:hAnsi="Arial" w:cs="Arial"/>
          <w:sz w:val="20"/>
          <w:szCs w:val="20"/>
          <w:lang w:val="mn-MN"/>
        </w:rPr>
        <w:t xml:space="preserve">энэхүү богино хугацааны хөрөнгийн хэлбэлзлийн хөдөлгөөнд өртөх нь бага боловч гадаадын шууд хөрөнгө оруулалт багасах, олон улсын зээллэгийн өртөг нэмэгдэхэд өртөнө. </w:t>
      </w:r>
    </w:p>
    <w:p w14:paraId="64BE213F" w14:textId="5A04F1C5" w:rsidR="007C5849" w:rsidRDefault="007C5849">
      <w:pPr>
        <w:rPr>
          <w:rFonts w:ascii="Arial" w:hAnsi="Arial" w:cs="Arial"/>
          <w:sz w:val="20"/>
          <w:szCs w:val="20"/>
        </w:rPr>
      </w:pPr>
      <w:r>
        <w:rPr>
          <w:rFonts w:ascii="Arial" w:hAnsi="Arial" w:cs="Arial"/>
          <w:sz w:val="20"/>
          <w:szCs w:val="20"/>
        </w:rPr>
        <w:br w:type="page"/>
      </w:r>
    </w:p>
    <w:p w14:paraId="0ABC0B48" w14:textId="77777777" w:rsidR="00D1149A" w:rsidRPr="002C31AD" w:rsidRDefault="00D1149A" w:rsidP="00D1149A">
      <w:pPr>
        <w:autoSpaceDE w:val="0"/>
        <w:autoSpaceDN w:val="0"/>
        <w:adjustRightInd w:val="0"/>
        <w:spacing w:after="0"/>
        <w:jc w:val="both"/>
        <w:rPr>
          <w:rFonts w:ascii="Arial" w:hAnsi="Arial" w:cs="Arial"/>
          <w:sz w:val="20"/>
          <w:szCs w:val="20"/>
        </w:rPr>
      </w:pPr>
    </w:p>
    <w:tbl>
      <w:tblPr>
        <w:tblW w:w="0" w:type="auto"/>
        <w:shd w:val="clear" w:color="auto" w:fill="984806" w:themeFill="accent6" w:themeFillShade="80"/>
        <w:tblLook w:val="04A0" w:firstRow="1" w:lastRow="0" w:firstColumn="1" w:lastColumn="0" w:noHBand="0" w:noVBand="1"/>
      </w:tblPr>
      <w:tblGrid>
        <w:gridCol w:w="9378"/>
      </w:tblGrid>
      <w:tr w:rsidR="00D1149A" w:rsidRPr="005708D6" w14:paraId="7E4F1FFC" w14:textId="77777777" w:rsidTr="00660167">
        <w:trPr>
          <w:trHeight w:val="1097"/>
        </w:trPr>
        <w:tc>
          <w:tcPr>
            <w:tcW w:w="9378" w:type="dxa"/>
            <w:shd w:val="clear" w:color="auto" w:fill="984806" w:themeFill="accent6" w:themeFillShade="80"/>
            <w:vAlign w:val="center"/>
          </w:tcPr>
          <w:p w14:paraId="5B664AC4" w14:textId="5F3071BB" w:rsidR="00D1149A" w:rsidRPr="00FD5388" w:rsidRDefault="00D1149A" w:rsidP="00660167">
            <w:pPr>
              <w:pStyle w:val="Heading2"/>
              <w:tabs>
                <w:tab w:val="left" w:pos="8100"/>
              </w:tabs>
              <w:spacing w:before="0"/>
              <w:ind w:left="1170" w:right="1062" w:hanging="1170"/>
            </w:pPr>
            <w:r>
              <w:rPr>
                <w:rFonts w:ascii="Arial" w:hAnsi="Arial" w:cs="Arial"/>
                <w:sz w:val="20"/>
                <w:szCs w:val="20"/>
              </w:rPr>
              <w:br w:type="page"/>
            </w:r>
            <w:bookmarkStart w:id="17" w:name="_Toc370981665"/>
            <w:bookmarkStart w:id="18" w:name="_Toc371338275"/>
            <w:r w:rsidR="00A47EEF">
              <w:rPr>
                <w:rFonts w:ascii="Arial" w:hAnsi="Arial" w:cs="Arial"/>
                <w:color w:val="EEECE1" w:themeColor="background2"/>
                <w:sz w:val="32"/>
                <w:lang w:val="mn-MN"/>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Бүлэг</w:t>
            </w:r>
            <w:r w:rsidRPr="005708D6">
              <w:rPr>
                <w:rFonts w:ascii="Arial" w:hAnsi="Arial" w:cs="Arial"/>
                <w:color w:val="EEECE1" w:themeColor="background2"/>
                <w:sz w:val="32"/>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I</w:t>
            </w:r>
            <w:r>
              <w:rPr>
                <w:rFonts w:ascii="Arial" w:hAnsi="Arial" w:cs="Arial"/>
                <w:color w:val="EEECE1" w:themeColor="background2"/>
                <w:sz w:val="32"/>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I</w:t>
            </w:r>
            <w:r w:rsidRPr="005708D6">
              <w:rPr>
                <w:rFonts w:ascii="Arial" w:hAnsi="Arial" w:cs="Arial"/>
                <w:color w:val="EEECE1" w:themeColor="background2"/>
                <w:sz w:val="32"/>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w:t>
            </w:r>
            <w:r>
              <w:rPr>
                <w:rFonts w:ascii="Arial" w:hAnsi="Arial" w:cs="Arial"/>
                <w:color w:val="EEECE1" w:themeColor="background2"/>
                <w:sz w:val="32"/>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00A47EEF">
              <w:rPr>
                <w:rFonts w:ascii="Arial" w:hAnsi="Arial" w:cs="Arial"/>
                <w:color w:val="EEECE1" w:themeColor="background2"/>
                <w:sz w:val="32"/>
                <w:lang w:val="mn-MN"/>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Монгол улсын эдийн засаг</w:t>
            </w:r>
            <w:r>
              <w:rPr>
                <w:rFonts w:ascii="Arial" w:hAnsi="Arial" w:cs="Arial"/>
                <w:color w:val="EEECE1" w:themeColor="background2"/>
                <w:sz w:val="32"/>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 </w:t>
            </w:r>
            <w:bookmarkEnd w:id="17"/>
            <w:r w:rsidR="00A47EEF">
              <w:rPr>
                <w:rFonts w:ascii="Arial" w:hAnsi="Arial" w:cs="Arial"/>
                <w:color w:val="EEECE1" w:themeColor="background2"/>
                <w:sz w:val="32"/>
                <w:lang w:val="mn-MN"/>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Сүүлийн үеийн байдал болон хэтийн төлөв</w:t>
            </w:r>
            <w:bookmarkEnd w:id="18"/>
            <w:r w:rsidR="00531A13">
              <w:rPr>
                <w:rFonts w:ascii="Arial" w:hAnsi="Arial" w:cs="Arial"/>
                <w:color w:val="EEECE1" w:themeColor="background2"/>
                <w:sz w:val="32"/>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p>
        </w:tc>
      </w:tr>
    </w:tbl>
    <w:p w14:paraId="06B23E56" w14:textId="77777777" w:rsidR="00155DCB" w:rsidRPr="00660167" w:rsidRDefault="00155DCB" w:rsidP="00786D41">
      <w:pPr>
        <w:spacing w:before="120" w:after="120"/>
        <w:jc w:val="both"/>
        <w:rPr>
          <w:rFonts w:cstheme="minorHAnsi"/>
          <w:i/>
          <w:color w:val="808080" w:themeColor="background1" w:themeShade="80"/>
          <w:sz w:val="10"/>
          <w:lang w:eastAsia="ko-KR"/>
        </w:rPr>
      </w:pPr>
      <w:bookmarkStart w:id="19" w:name="_Toc353414329"/>
    </w:p>
    <w:p w14:paraId="7F0E24F5" w14:textId="6087F16B" w:rsidR="00E95E5E" w:rsidRPr="00660167" w:rsidRDefault="00A47EEF" w:rsidP="00E95E5E">
      <w:pPr>
        <w:pStyle w:val="Heading2"/>
        <w:pBdr>
          <w:bottom w:val="single" w:sz="4" w:space="1" w:color="auto"/>
        </w:pBdr>
        <w:rPr>
          <w:rFonts w:asciiTheme="minorHAnsi" w:hAnsiTheme="minorHAnsi" w:cstheme="minorHAnsi"/>
          <w:color w:val="002060"/>
          <w:sz w:val="28"/>
          <w:lang w:val="mn-MN" w:eastAsia="ko-KR"/>
        </w:rPr>
      </w:pPr>
      <w:bookmarkStart w:id="20" w:name="_Toc371338276"/>
      <w:bookmarkEnd w:id="19"/>
      <w:r>
        <w:rPr>
          <w:rFonts w:asciiTheme="minorHAnsi" w:hAnsiTheme="minorHAnsi" w:cstheme="minorHAnsi"/>
          <w:color w:val="002060"/>
          <w:sz w:val="28"/>
          <w:lang w:val="mn-MN" w:eastAsia="ko-KR"/>
        </w:rPr>
        <w:t>Бодит салбарын байдал болон хэтийн төлөв</w:t>
      </w:r>
      <w:bookmarkEnd w:id="20"/>
    </w:p>
    <w:p w14:paraId="3879D176" w14:textId="77777777" w:rsidR="00D81D24" w:rsidRDefault="00D81D24" w:rsidP="00023C81">
      <w:pPr>
        <w:pStyle w:val="NoSpacing"/>
        <w:rPr>
          <w:lang w:eastAsia="ko-KR"/>
        </w:rPr>
      </w:pPr>
    </w:p>
    <w:p w14:paraId="5A7A7131" w14:textId="77300223" w:rsidR="00524F5D" w:rsidRDefault="00A47EEF" w:rsidP="00524F5D">
      <w:pPr>
        <w:jc w:val="both"/>
        <w:rPr>
          <w:noProof/>
          <w:lang w:eastAsia="ko-KR"/>
        </w:rPr>
      </w:pPr>
      <w:r>
        <w:rPr>
          <w:rFonts w:ascii="Arial" w:hAnsi="Arial" w:cs="Arial"/>
          <w:b/>
          <w:sz w:val="20"/>
          <w:szCs w:val="20"/>
          <w:lang w:val="mn-MN" w:eastAsia="ko-KR"/>
        </w:rPr>
        <w:t xml:space="preserve">Монгол улсын эдийн засгийн өсөлт нь 2013 оны эхний хагас жилд удааширсан нь уул уурхайн зах зээлийн байдал сул байсантай холбоотой боловч бодлогын урамшуулалт болон хөдөө аж ахуйд тааламжтай нөхцөл байдал үүсссэнээс хоёр оронтой тоонд хэвээрээ байлаа. </w:t>
      </w:r>
      <w:r w:rsidR="00367CE1">
        <w:rPr>
          <w:rFonts w:ascii="Arial" w:hAnsi="Arial" w:cs="Arial"/>
          <w:sz w:val="20"/>
          <w:szCs w:val="20"/>
          <w:lang w:val="mn-MN" w:eastAsia="ko-KR"/>
        </w:rPr>
        <w:t>Эдийн засгийн өсөлт 2011 онд хамгийн өндөр түвшиндээ буюу 17.5 хувьд байснаас 2012 онд 12.4 хувиас бууран 2013 оны эхний жилд 11.3 хувиар өслөө. Эхний жилийн хоёр оронтой өсөлт нь нэгдүгээр улиралд 7.1 хувь байснаа хоёрдугаар улиралд огцом өссөнтэй</w:t>
      </w:r>
      <w:r w:rsidR="005472B5">
        <w:rPr>
          <w:rFonts w:ascii="Arial" w:hAnsi="Arial" w:cs="Arial"/>
          <w:sz w:val="20"/>
          <w:szCs w:val="20"/>
          <w:lang w:eastAsia="ko-KR"/>
        </w:rPr>
        <w:t xml:space="preserve"> (</w:t>
      </w:r>
      <w:r w:rsidR="00367CE1">
        <w:rPr>
          <w:rFonts w:ascii="Arial" w:hAnsi="Arial" w:cs="Arial"/>
          <w:sz w:val="20"/>
          <w:szCs w:val="20"/>
          <w:lang w:val="mn-MN" w:eastAsia="ko-KR"/>
        </w:rPr>
        <w:t xml:space="preserve">өмнөх онтой харьцуулбал </w:t>
      </w:r>
      <w:r w:rsidR="005472B5">
        <w:rPr>
          <w:rFonts w:ascii="Arial" w:hAnsi="Arial" w:cs="Arial"/>
          <w:sz w:val="20"/>
          <w:szCs w:val="20"/>
          <w:lang w:eastAsia="ko-KR"/>
        </w:rPr>
        <w:t xml:space="preserve">14.3 </w:t>
      </w:r>
      <w:r w:rsidR="00367CE1">
        <w:rPr>
          <w:rFonts w:ascii="Arial" w:hAnsi="Arial" w:cs="Arial"/>
          <w:sz w:val="20"/>
          <w:szCs w:val="20"/>
          <w:lang w:val="mn-MN" w:eastAsia="ko-KR"/>
        </w:rPr>
        <w:t>хувь</w:t>
      </w:r>
      <w:r w:rsidR="005472B5">
        <w:rPr>
          <w:rFonts w:ascii="Arial" w:hAnsi="Arial" w:cs="Arial"/>
          <w:sz w:val="20"/>
          <w:szCs w:val="20"/>
          <w:lang w:eastAsia="ko-KR"/>
        </w:rPr>
        <w:t xml:space="preserve">) </w:t>
      </w:r>
      <w:r w:rsidR="00367CE1">
        <w:rPr>
          <w:rFonts w:ascii="Arial" w:hAnsi="Arial" w:cs="Arial"/>
          <w:sz w:val="20"/>
          <w:szCs w:val="20"/>
          <w:lang w:val="mn-MN" w:eastAsia="ko-KR"/>
        </w:rPr>
        <w:t xml:space="preserve">холбоотой байна. </w:t>
      </w:r>
      <w:proofErr w:type="gramStart"/>
      <w:r w:rsidR="004B3080">
        <w:rPr>
          <w:rFonts w:ascii="Arial" w:hAnsi="Arial" w:cs="Arial"/>
          <w:sz w:val="20"/>
          <w:szCs w:val="20"/>
          <w:lang w:eastAsia="ko-KR"/>
        </w:rPr>
        <w:t>(</w:t>
      </w:r>
      <w:r w:rsidR="00367CE1">
        <w:rPr>
          <w:rFonts w:ascii="Arial" w:hAnsi="Arial" w:cs="Arial"/>
          <w:sz w:val="20"/>
          <w:szCs w:val="20"/>
          <w:lang w:val="mn-MN" w:eastAsia="ko-KR"/>
        </w:rPr>
        <w:t>Зураг</w:t>
      </w:r>
      <w:r w:rsidR="00496D3C">
        <w:rPr>
          <w:rFonts w:ascii="Arial" w:hAnsi="Arial" w:cs="Arial"/>
          <w:sz w:val="20"/>
          <w:szCs w:val="20"/>
          <w:lang w:val="mn-MN" w:eastAsia="ko-KR"/>
        </w:rPr>
        <w:t xml:space="preserve"> </w:t>
      </w:r>
      <w:r w:rsidR="004B3080">
        <w:rPr>
          <w:rFonts w:ascii="Arial" w:hAnsi="Arial" w:cs="Arial"/>
          <w:sz w:val="20"/>
          <w:szCs w:val="20"/>
          <w:lang w:eastAsia="ko-KR"/>
        </w:rPr>
        <w:t>6).</w:t>
      </w:r>
      <w:proofErr w:type="gramEnd"/>
      <w:r w:rsidR="00F34B6F">
        <w:rPr>
          <w:rFonts w:ascii="Arial" w:hAnsi="Arial" w:cs="Arial"/>
          <w:sz w:val="20"/>
          <w:szCs w:val="20"/>
          <w:lang w:eastAsia="ko-KR"/>
        </w:rPr>
        <w:t xml:space="preserve"> </w:t>
      </w:r>
      <w:r w:rsidR="00496D3C">
        <w:rPr>
          <w:rFonts w:ascii="Arial" w:hAnsi="Arial" w:cs="Arial"/>
          <w:sz w:val="20"/>
          <w:szCs w:val="20"/>
          <w:lang w:val="mn-MN" w:eastAsia="ko-KR"/>
        </w:rPr>
        <w:t>Уул уурхайн ДНБ нь уул уурхайн зах зээл сул байгаа ч эхний хагаст 6.1 хувьтай багахан тэлэлтийг хийсэн. Харин уул уурхайн бус ДНБ нь</w:t>
      </w:r>
      <w:r w:rsidR="00496D3C">
        <w:rPr>
          <w:rFonts w:ascii="Arial" w:hAnsi="Arial" w:cs="Arial"/>
          <w:sz w:val="20"/>
          <w:szCs w:val="20"/>
          <w:lang w:eastAsia="ko-KR"/>
        </w:rPr>
        <w:t xml:space="preserve"> (</w:t>
      </w:r>
      <w:r w:rsidR="00496D3C">
        <w:rPr>
          <w:rFonts w:ascii="Arial" w:hAnsi="Arial" w:cs="Arial"/>
          <w:sz w:val="20"/>
          <w:szCs w:val="20"/>
          <w:lang w:val="mn-MN" w:eastAsia="ko-KR"/>
        </w:rPr>
        <w:t>уул уурхайн салбарыг хасаад</w:t>
      </w:r>
      <w:r w:rsidR="00496D3C">
        <w:rPr>
          <w:rFonts w:ascii="Arial" w:hAnsi="Arial" w:cs="Arial"/>
          <w:sz w:val="20"/>
          <w:szCs w:val="20"/>
          <w:lang w:eastAsia="ko-KR"/>
        </w:rPr>
        <w:t>)</w:t>
      </w:r>
      <w:r w:rsidR="00496D3C">
        <w:rPr>
          <w:rFonts w:ascii="Arial" w:hAnsi="Arial" w:cs="Arial"/>
          <w:sz w:val="20"/>
          <w:szCs w:val="20"/>
          <w:lang w:val="mn-MN" w:eastAsia="ko-KR"/>
        </w:rPr>
        <w:t xml:space="preserve"> 201</w:t>
      </w:r>
      <w:r w:rsidR="00AC0F9E">
        <w:rPr>
          <w:rFonts w:ascii="Arial" w:hAnsi="Arial" w:cs="Arial"/>
          <w:sz w:val="20"/>
          <w:szCs w:val="20"/>
          <w:lang w:val="mn-MN" w:eastAsia="ko-KR"/>
        </w:rPr>
        <w:t>2 оны эхний болон хоёрдахь хагаст 13.3 хувь мөн 13.2</w:t>
      </w:r>
      <w:r w:rsidR="00496D3C">
        <w:rPr>
          <w:rFonts w:ascii="Arial" w:hAnsi="Arial" w:cs="Arial"/>
          <w:sz w:val="20"/>
          <w:szCs w:val="20"/>
          <w:lang w:val="mn-MN" w:eastAsia="ko-KR"/>
        </w:rPr>
        <w:t xml:space="preserve"> </w:t>
      </w:r>
      <w:r w:rsidR="00AC0F9E">
        <w:rPr>
          <w:rFonts w:ascii="Arial" w:hAnsi="Arial" w:cs="Arial"/>
          <w:sz w:val="20"/>
          <w:szCs w:val="20"/>
          <w:lang w:val="mn-MN" w:eastAsia="ko-KR"/>
        </w:rPr>
        <w:t>хувь байснаа 2013 оны эхний хагаст 12.3 хувиар өссөн байна. Төсвийн болон мөнгөний бодлогын хүчтэй дэмжлэгтэйгээр барилгын салбар нь эхний хагас жилд хоёр дахинаас илүү хэмжээтэйгээр өссөн нь хоёр оронтой эдийн засгийн өсөлтөд түлхэц өгсөн байна. Жилийн эхний хагаст хөдөө аж ахуйн тогтвортой хүчтэй өсөлт нь өсөлтөд сайн нөлөө үзүүлжээ</w:t>
      </w:r>
      <w:r w:rsidR="00D010AB">
        <w:rPr>
          <w:rFonts w:ascii="Arial" w:hAnsi="Arial" w:cs="Arial"/>
          <w:sz w:val="20"/>
          <w:szCs w:val="20"/>
          <w:lang w:eastAsia="ko-KR"/>
        </w:rPr>
        <w:t xml:space="preserve"> (</w:t>
      </w:r>
      <w:r w:rsidR="00AC0F9E">
        <w:rPr>
          <w:rFonts w:ascii="Arial" w:hAnsi="Arial" w:cs="Arial"/>
          <w:sz w:val="20"/>
          <w:szCs w:val="20"/>
          <w:lang w:val="mn-MN" w:eastAsia="ko-KR"/>
        </w:rPr>
        <w:t>Зураг</w:t>
      </w:r>
      <w:r w:rsidR="00AC0F9E">
        <w:rPr>
          <w:rFonts w:ascii="Arial" w:hAnsi="Arial" w:cs="Arial"/>
          <w:sz w:val="20"/>
          <w:szCs w:val="20"/>
          <w:lang w:eastAsia="ko-KR"/>
        </w:rPr>
        <w:t xml:space="preserve"> </w:t>
      </w:r>
      <w:r w:rsidR="00D010AB">
        <w:rPr>
          <w:rFonts w:ascii="Arial" w:hAnsi="Arial" w:cs="Arial"/>
          <w:sz w:val="20"/>
          <w:szCs w:val="20"/>
          <w:lang w:eastAsia="ko-KR"/>
        </w:rPr>
        <w:t>7).</w:t>
      </w:r>
    </w:p>
    <w:tbl>
      <w:tblPr>
        <w:tblW w:w="10166" w:type="dxa"/>
        <w:tblInd w:w="108" w:type="dxa"/>
        <w:tblLook w:val="04A0" w:firstRow="1" w:lastRow="0" w:firstColumn="1" w:lastColumn="0" w:noHBand="0" w:noVBand="1"/>
      </w:tblPr>
      <w:tblGrid>
        <w:gridCol w:w="4493"/>
        <w:gridCol w:w="493"/>
        <w:gridCol w:w="222"/>
        <w:gridCol w:w="5256"/>
      </w:tblGrid>
      <w:tr w:rsidR="00524F5D" w:rsidRPr="000A2BAB" w14:paraId="79CFF3A4" w14:textId="77777777" w:rsidTr="00630B23">
        <w:trPr>
          <w:trHeight w:val="386"/>
        </w:trPr>
        <w:tc>
          <w:tcPr>
            <w:tcW w:w="4688" w:type="dxa"/>
            <w:gridSpan w:val="2"/>
            <w:tcBorders>
              <w:bottom w:val="single" w:sz="4" w:space="0" w:color="984806" w:themeColor="accent6" w:themeShade="80"/>
            </w:tcBorders>
          </w:tcPr>
          <w:p w14:paraId="26554FF3" w14:textId="21BC8190" w:rsidR="00524F5D" w:rsidRPr="00660167" w:rsidRDefault="00524F5D" w:rsidP="00630B23">
            <w:pPr>
              <w:pStyle w:val="Caption"/>
              <w:spacing w:after="0"/>
              <w:rPr>
                <w:color w:val="auto"/>
                <w:sz w:val="16"/>
                <w:szCs w:val="16"/>
              </w:rPr>
            </w:pPr>
            <w:r w:rsidRPr="00ED4F8B">
              <w:rPr>
                <w:color w:val="auto"/>
                <w:sz w:val="16"/>
                <w:szCs w:val="16"/>
              </w:rPr>
              <w:t xml:space="preserve"> </w:t>
            </w:r>
            <w:r w:rsidR="00AF5F26">
              <w:rPr>
                <w:sz w:val="16"/>
                <w:szCs w:val="16"/>
                <w:lang w:val="mn-MN"/>
              </w:rPr>
              <w:t>Зураг</w:t>
            </w:r>
            <w:r w:rsidR="00D81D24" w:rsidRPr="00660167">
              <w:rPr>
                <w:sz w:val="16"/>
                <w:szCs w:val="16"/>
              </w:rPr>
              <w:t xml:space="preserve"> </w:t>
            </w:r>
            <w:r w:rsidR="002E38E0">
              <w:rPr>
                <w:sz w:val="16"/>
                <w:szCs w:val="16"/>
              </w:rPr>
              <w:fldChar w:fldCharType="begin"/>
            </w:r>
            <w:r w:rsidR="002E38E0">
              <w:rPr>
                <w:sz w:val="16"/>
                <w:szCs w:val="16"/>
              </w:rPr>
              <w:instrText xml:space="preserve"> SEQ Figure \* ARABIC </w:instrText>
            </w:r>
            <w:r w:rsidR="002E38E0">
              <w:rPr>
                <w:sz w:val="16"/>
                <w:szCs w:val="16"/>
              </w:rPr>
              <w:fldChar w:fldCharType="separate"/>
            </w:r>
            <w:r w:rsidR="002E38E0">
              <w:rPr>
                <w:noProof/>
                <w:sz w:val="16"/>
                <w:szCs w:val="16"/>
              </w:rPr>
              <w:t>6</w:t>
            </w:r>
            <w:r w:rsidR="002E38E0">
              <w:rPr>
                <w:sz w:val="16"/>
                <w:szCs w:val="16"/>
              </w:rPr>
              <w:fldChar w:fldCharType="end"/>
            </w:r>
            <w:r w:rsidR="00D81D24" w:rsidRPr="00660167">
              <w:rPr>
                <w:sz w:val="16"/>
                <w:szCs w:val="16"/>
              </w:rPr>
              <w:t xml:space="preserve">. </w:t>
            </w:r>
            <w:r w:rsidR="00AF5F26">
              <w:rPr>
                <w:sz w:val="16"/>
                <w:szCs w:val="16"/>
                <w:lang w:val="mn-MN"/>
              </w:rPr>
              <w:t>Эдийн засгийн өсөлт хоёр оронтой тоонд хадгалагдсаар байна</w:t>
            </w:r>
            <w:r w:rsidR="00AF5F26" w:rsidRPr="00D81D24">
              <w:rPr>
                <w:sz w:val="16"/>
                <w:szCs w:val="16"/>
              </w:rPr>
              <w:t xml:space="preserve"> </w:t>
            </w:r>
            <w:r w:rsidR="00D81D24" w:rsidRPr="00660167">
              <w:rPr>
                <w:sz w:val="16"/>
                <w:szCs w:val="16"/>
              </w:rPr>
              <w:t>…</w:t>
            </w:r>
          </w:p>
        </w:tc>
        <w:tc>
          <w:tcPr>
            <w:tcW w:w="222" w:type="dxa"/>
          </w:tcPr>
          <w:p w14:paraId="31E8ED60" w14:textId="77777777" w:rsidR="00524F5D" w:rsidRPr="00266CCE" w:rsidRDefault="00524F5D" w:rsidP="00630B23">
            <w:pPr>
              <w:pStyle w:val="Caption"/>
              <w:spacing w:after="0"/>
              <w:jc w:val="center"/>
              <w:rPr>
                <w:color w:val="auto"/>
                <w:sz w:val="2"/>
              </w:rPr>
            </w:pPr>
          </w:p>
        </w:tc>
        <w:tc>
          <w:tcPr>
            <w:tcW w:w="5256" w:type="dxa"/>
            <w:tcBorders>
              <w:bottom w:val="single" w:sz="4" w:space="0" w:color="984806" w:themeColor="accent6" w:themeShade="80"/>
            </w:tcBorders>
          </w:tcPr>
          <w:p w14:paraId="4FE75C62" w14:textId="5BE9B651" w:rsidR="00524F5D" w:rsidRPr="00660167" w:rsidRDefault="00AF5F26" w:rsidP="00630B23">
            <w:pPr>
              <w:pStyle w:val="Caption"/>
              <w:keepNext/>
              <w:spacing w:after="0"/>
              <w:rPr>
                <w:sz w:val="16"/>
                <w:szCs w:val="16"/>
              </w:rPr>
            </w:pPr>
            <w:bookmarkStart w:id="21" w:name="_Toc371338616"/>
            <w:r>
              <w:rPr>
                <w:sz w:val="16"/>
                <w:szCs w:val="16"/>
                <w:lang w:val="mn-MN"/>
              </w:rPr>
              <w:t>Зураг</w:t>
            </w:r>
            <w:r w:rsidR="00D81D24" w:rsidRPr="00660167">
              <w:rPr>
                <w:sz w:val="16"/>
                <w:szCs w:val="16"/>
              </w:rPr>
              <w:t xml:space="preserve"> </w:t>
            </w:r>
            <w:r w:rsidR="002E38E0">
              <w:rPr>
                <w:sz w:val="16"/>
                <w:szCs w:val="16"/>
              </w:rPr>
              <w:fldChar w:fldCharType="begin"/>
            </w:r>
            <w:r w:rsidR="002E38E0">
              <w:rPr>
                <w:sz w:val="16"/>
                <w:szCs w:val="16"/>
              </w:rPr>
              <w:instrText xml:space="preserve"> SEQ Figure \* ARABIC </w:instrText>
            </w:r>
            <w:r w:rsidR="002E38E0">
              <w:rPr>
                <w:sz w:val="16"/>
                <w:szCs w:val="16"/>
              </w:rPr>
              <w:fldChar w:fldCharType="separate"/>
            </w:r>
            <w:r w:rsidR="002E38E0">
              <w:rPr>
                <w:noProof/>
                <w:sz w:val="16"/>
                <w:szCs w:val="16"/>
              </w:rPr>
              <w:t>7</w:t>
            </w:r>
            <w:r w:rsidR="002E38E0">
              <w:rPr>
                <w:sz w:val="16"/>
                <w:szCs w:val="16"/>
              </w:rPr>
              <w:fldChar w:fldCharType="end"/>
            </w:r>
            <w:r w:rsidR="00D81D24" w:rsidRPr="00660167">
              <w:rPr>
                <w:sz w:val="16"/>
                <w:szCs w:val="16"/>
              </w:rPr>
              <w:t xml:space="preserve">.… </w:t>
            </w:r>
            <w:r>
              <w:rPr>
                <w:sz w:val="16"/>
                <w:szCs w:val="16"/>
                <w:lang w:val="mn-MN"/>
              </w:rPr>
              <w:t>хөдөө аж ахуй болон барилгын салбарын хүчтэй өсөлтөөр бий боллоо</w:t>
            </w:r>
            <w:bookmarkEnd w:id="21"/>
            <w:r>
              <w:rPr>
                <w:sz w:val="16"/>
                <w:szCs w:val="16"/>
                <w:lang w:val="mn-MN"/>
              </w:rPr>
              <w:t xml:space="preserve"> </w:t>
            </w:r>
          </w:p>
        </w:tc>
      </w:tr>
      <w:tr w:rsidR="00524F5D" w:rsidRPr="000A2BAB" w14:paraId="106494A7" w14:textId="77777777" w:rsidTr="00630B23">
        <w:trPr>
          <w:trHeight w:val="2943"/>
        </w:trPr>
        <w:tc>
          <w:tcPr>
            <w:tcW w:w="4688" w:type="dxa"/>
            <w:gridSpan w:val="2"/>
            <w:tcBorders>
              <w:top w:val="single" w:sz="4" w:space="0" w:color="984806" w:themeColor="accent6" w:themeShade="80"/>
            </w:tcBorders>
          </w:tcPr>
          <w:p w14:paraId="0005C23A" w14:textId="4B90A07B" w:rsidR="00ED4D62" w:rsidRPr="00630B23" w:rsidRDefault="00ED4D62">
            <w:pPr>
              <w:pStyle w:val="NoSpacing"/>
              <w:rPr>
                <w:sz w:val="16"/>
                <w:lang w:val="mn-MN"/>
              </w:rPr>
            </w:pPr>
            <w:r>
              <w:rPr>
                <w:noProof/>
              </w:rPr>
              <w:drawing>
                <wp:inline distT="0" distB="0" distL="0" distR="0" wp14:anchorId="0CEC4685" wp14:editId="6B2CDAD1">
                  <wp:extent cx="3022600" cy="1987550"/>
                  <wp:effectExtent l="0" t="0" r="6350" b="0"/>
                  <wp:docPr id="354" name="Chart 35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tc>
        <w:tc>
          <w:tcPr>
            <w:tcW w:w="222" w:type="dxa"/>
          </w:tcPr>
          <w:p w14:paraId="77F8C9F0" w14:textId="77777777" w:rsidR="00524F5D" w:rsidRPr="00266CCE" w:rsidRDefault="00524F5D" w:rsidP="00280CBB">
            <w:pPr>
              <w:pStyle w:val="NoSpacing"/>
              <w:jc w:val="both"/>
              <w:rPr>
                <w:noProof/>
                <w:sz w:val="2"/>
                <w:lang w:eastAsia="ko-KR"/>
              </w:rPr>
            </w:pPr>
          </w:p>
        </w:tc>
        <w:tc>
          <w:tcPr>
            <w:tcW w:w="5256" w:type="dxa"/>
            <w:tcBorders>
              <w:top w:val="single" w:sz="4" w:space="0" w:color="984806" w:themeColor="accent6" w:themeShade="80"/>
            </w:tcBorders>
          </w:tcPr>
          <w:p w14:paraId="1E67F61A" w14:textId="7BC9EE99" w:rsidR="00524F5D" w:rsidRPr="001C46CC" w:rsidRDefault="00AF5F26" w:rsidP="00280CBB">
            <w:pPr>
              <w:pStyle w:val="NoSpacing"/>
              <w:jc w:val="both"/>
              <w:rPr>
                <w:sz w:val="16"/>
                <w:szCs w:val="18"/>
              </w:rPr>
            </w:pPr>
            <w:r>
              <w:rPr>
                <w:sz w:val="16"/>
                <w:szCs w:val="18"/>
                <w:lang w:val="mn-MN"/>
              </w:rPr>
              <w:t xml:space="preserve">Өсөлтийн хувь, үндсэн салбаруудаар </w:t>
            </w:r>
            <w:r w:rsidR="00524F5D" w:rsidRPr="001C46CC">
              <w:rPr>
                <w:sz w:val="16"/>
                <w:szCs w:val="18"/>
              </w:rPr>
              <w:t>(</w:t>
            </w:r>
            <w:r>
              <w:rPr>
                <w:sz w:val="16"/>
                <w:szCs w:val="18"/>
                <w:lang w:val="mn-MN"/>
              </w:rPr>
              <w:t>2013 оны 2 дугаар хагас</w:t>
            </w:r>
            <w:r w:rsidR="00524F5D" w:rsidRPr="001C46CC">
              <w:rPr>
                <w:sz w:val="16"/>
                <w:szCs w:val="18"/>
              </w:rPr>
              <w:t xml:space="preserve">, </w:t>
            </w:r>
            <w:r>
              <w:rPr>
                <w:sz w:val="16"/>
                <w:szCs w:val="18"/>
                <w:lang w:val="mn-MN"/>
              </w:rPr>
              <w:t>өох</w:t>
            </w:r>
            <w:r w:rsidR="00524F5D" w:rsidRPr="001C46CC">
              <w:rPr>
                <w:sz w:val="16"/>
                <w:szCs w:val="18"/>
              </w:rPr>
              <w:t>, %)</w:t>
            </w:r>
          </w:p>
          <w:p w14:paraId="1558F2BA" w14:textId="77777777" w:rsidR="00524F5D" w:rsidRPr="000A2BAB" w:rsidRDefault="00524F5D" w:rsidP="00280CBB">
            <w:pPr>
              <w:pStyle w:val="NoSpacing"/>
              <w:jc w:val="both"/>
            </w:pPr>
            <w:r>
              <w:rPr>
                <w:noProof/>
              </w:rPr>
              <w:drawing>
                <wp:inline distT="0" distB="0" distL="0" distR="0" wp14:anchorId="030EEA2C" wp14:editId="65A80161">
                  <wp:extent cx="3191607" cy="1635369"/>
                  <wp:effectExtent l="0" t="0" r="8890" b="3175"/>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tc>
      </w:tr>
      <w:tr w:rsidR="00524F5D" w:rsidRPr="000A2BAB" w14:paraId="60173ABA" w14:textId="77777777" w:rsidTr="00630B23">
        <w:trPr>
          <w:trHeight w:val="467"/>
        </w:trPr>
        <w:tc>
          <w:tcPr>
            <w:tcW w:w="4261" w:type="dxa"/>
          </w:tcPr>
          <w:p w14:paraId="7DA77E4A" w14:textId="16561834" w:rsidR="007C5849" w:rsidRDefault="00AF5F26">
            <w:pPr>
              <w:pStyle w:val="NoSpacing"/>
              <w:jc w:val="both"/>
              <w:rPr>
                <w:sz w:val="14"/>
                <w:szCs w:val="18"/>
              </w:rPr>
            </w:pPr>
            <w:r>
              <w:rPr>
                <w:i/>
                <w:sz w:val="14"/>
                <w:szCs w:val="18"/>
                <w:lang w:val="mn-MN"/>
              </w:rPr>
              <w:t>Эх үүсвэр</w:t>
            </w:r>
            <w:r w:rsidR="00524F5D" w:rsidRPr="000A2BAB">
              <w:rPr>
                <w:i/>
                <w:sz w:val="14"/>
                <w:szCs w:val="18"/>
              </w:rPr>
              <w:t>:</w:t>
            </w:r>
            <w:r w:rsidR="00524F5D" w:rsidRPr="000A2BAB">
              <w:rPr>
                <w:sz w:val="14"/>
                <w:szCs w:val="18"/>
              </w:rPr>
              <w:t xml:space="preserve"> </w:t>
            </w:r>
            <w:r>
              <w:rPr>
                <w:sz w:val="14"/>
                <w:szCs w:val="18"/>
                <w:lang w:val="mn-MN"/>
              </w:rPr>
              <w:t>ҮСХ эмхэтгэл, ДБ-ны мэргэжилтнүүдийн тооцоо</w:t>
            </w:r>
          </w:p>
          <w:p w14:paraId="4364BD9E" w14:textId="77777777" w:rsidR="00C1094B" w:rsidRDefault="00C1094B" w:rsidP="00C1094B">
            <w:pPr>
              <w:jc w:val="both"/>
              <w:rPr>
                <w:rFonts w:ascii="Arial" w:hAnsi="Arial" w:cs="Arial"/>
                <w:b/>
                <w:sz w:val="20"/>
                <w:szCs w:val="20"/>
                <w:lang w:val="mn-MN" w:eastAsia="ko-KR"/>
              </w:rPr>
            </w:pPr>
          </w:p>
          <w:p w14:paraId="589B6C0D" w14:textId="17BB8D3F" w:rsidR="00524F5D" w:rsidRPr="00630B23" w:rsidRDefault="00C1094B" w:rsidP="00630B23">
            <w:pPr>
              <w:spacing w:after="0"/>
              <w:jc w:val="both"/>
            </w:pPr>
            <w:r>
              <w:rPr>
                <w:rFonts w:ascii="Arial" w:hAnsi="Arial" w:cs="Arial"/>
                <w:b/>
                <w:sz w:val="20"/>
                <w:szCs w:val="20"/>
                <w:lang w:val="mn-MN" w:eastAsia="ko-KR"/>
              </w:rPr>
              <w:t>Барилгын салбарын үйлдвэрлэл өмнөх оны мөн үеэс 129 хувиар огцом өссөн нь төсвийн болон мөнгөний бодлогоор дэмжсэнтэй холбоотой</w:t>
            </w:r>
            <w:r w:rsidRPr="008B0016">
              <w:rPr>
                <w:rFonts w:ascii="Arial" w:hAnsi="Arial" w:cs="Arial"/>
                <w:b/>
                <w:sz w:val="20"/>
                <w:szCs w:val="20"/>
                <w:lang w:eastAsia="ko-KR"/>
              </w:rPr>
              <w:t xml:space="preserve">. </w:t>
            </w:r>
            <w:r>
              <w:rPr>
                <w:rFonts w:ascii="Arial" w:hAnsi="Arial" w:cs="Arial"/>
                <w:sz w:val="20"/>
                <w:szCs w:val="20"/>
                <w:lang w:val="mn-MN" w:eastAsia="ko-KR"/>
              </w:rPr>
              <w:t>ДНБ-ий үйлдвэрлэлтэд багахан хувийг эзэлдэг</w:t>
            </w:r>
            <w:r w:rsidRPr="008B0016">
              <w:rPr>
                <w:rFonts w:ascii="Arial" w:hAnsi="Arial" w:cs="Arial"/>
                <w:sz w:val="20"/>
                <w:szCs w:val="20"/>
                <w:lang w:eastAsia="ko-KR"/>
              </w:rPr>
              <w:t xml:space="preserve"> </w:t>
            </w:r>
            <w:r>
              <w:rPr>
                <w:rFonts w:ascii="Arial" w:hAnsi="Arial" w:cs="Arial"/>
                <w:sz w:val="20"/>
                <w:szCs w:val="20"/>
                <w:lang w:val="mn-MN" w:eastAsia="ko-KR"/>
              </w:rPr>
              <w:t xml:space="preserve">ч </w:t>
            </w:r>
            <w:r w:rsidRPr="008B0016">
              <w:rPr>
                <w:rFonts w:ascii="Arial" w:hAnsi="Arial" w:cs="Arial"/>
                <w:sz w:val="20"/>
                <w:szCs w:val="20"/>
                <w:lang w:eastAsia="ko-KR"/>
              </w:rPr>
              <w:t>(2</w:t>
            </w:r>
            <w:r>
              <w:rPr>
                <w:rFonts w:ascii="Arial" w:hAnsi="Arial" w:cs="Arial"/>
                <w:sz w:val="20"/>
                <w:szCs w:val="20"/>
                <w:lang w:eastAsia="ko-KR"/>
              </w:rPr>
              <w:t xml:space="preserve"> </w:t>
            </w:r>
            <w:r>
              <w:rPr>
                <w:rFonts w:ascii="Arial" w:hAnsi="Arial" w:cs="Arial"/>
                <w:sz w:val="20"/>
                <w:szCs w:val="20"/>
                <w:lang w:val="mn-MN" w:eastAsia="ko-KR"/>
              </w:rPr>
              <w:t>хувь</w:t>
            </w:r>
            <w:r w:rsidRPr="008B0016">
              <w:rPr>
                <w:rFonts w:ascii="Arial" w:hAnsi="Arial" w:cs="Arial"/>
                <w:sz w:val="20"/>
                <w:szCs w:val="20"/>
                <w:lang w:eastAsia="ko-KR"/>
              </w:rPr>
              <w:t xml:space="preserve">), </w:t>
            </w:r>
            <w:r>
              <w:rPr>
                <w:rFonts w:ascii="Arial" w:hAnsi="Arial" w:cs="Arial"/>
                <w:sz w:val="20"/>
                <w:szCs w:val="20"/>
                <w:lang w:val="mn-MN" w:eastAsia="ko-KR"/>
              </w:rPr>
              <w:t>барилгын салбарын өсөлт нь ДНБ-ий өсөлтийн 10 гаран хувийг бүрдүүлсэн байна.</w:t>
            </w:r>
            <w:r>
              <w:rPr>
                <w:rFonts w:ascii="Arial" w:hAnsi="Arial" w:cs="Arial"/>
                <w:sz w:val="20"/>
                <w:szCs w:val="20"/>
                <w:lang w:eastAsia="ko-KR"/>
              </w:rPr>
              <w:t xml:space="preserve"> (1</w:t>
            </w:r>
            <w:r w:rsidRPr="008B0016">
              <w:rPr>
                <w:rFonts w:ascii="Arial" w:hAnsi="Arial" w:cs="Arial"/>
                <w:sz w:val="20"/>
                <w:szCs w:val="20"/>
                <w:lang w:eastAsia="ko-KR"/>
              </w:rPr>
              <w:t xml:space="preserve">1.3 </w:t>
            </w:r>
            <w:r>
              <w:rPr>
                <w:rFonts w:ascii="Arial" w:hAnsi="Arial" w:cs="Arial"/>
                <w:sz w:val="20"/>
                <w:szCs w:val="20"/>
                <w:lang w:val="mn-MN" w:eastAsia="ko-KR"/>
              </w:rPr>
              <w:t>хувь</w:t>
            </w:r>
            <w:r>
              <w:rPr>
                <w:rFonts w:ascii="Arial" w:hAnsi="Arial" w:cs="Arial"/>
                <w:sz w:val="20"/>
                <w:szCs w:val="20"/>
                <w:lang w:eastAsia="ko-KR"/>
              </w:rPr>
              <w:t>)</w:t>
            </w:r>
            <w:r w:rsidRPr="008B0016">
              <w:rPr>
                <w:rFonts w:ascii="Arial" w:hAnsi="Arial" w:cs="Arial"/>
                <w:sz w:val="20"/>
                <w:szCs w:val="20"/>
                <w:lang w:eastAsia="ko-KR"/>
              </w:rPr>
              <w:t xml:space="preserve">. </w:t>
            </w:r>
            <w:r>
              <w:rPr>
                <w:rFonts w:ascii="Arial" w:hAnsi="Arial" w:cs="Arial"/>
                <w:sz w:val="20"/>
                <w:szCs w:val="20"/>
                <w:lang w:val="mn-MN" w:eastAsia="ko-KR"/>
              </w:rPr>
              <w:t xml:space="preserve">Барилгын салбарын өсөлтийн нөлөө нь түүний үржүүлэгч үр нөлөөгөөр </w:t>
            </w:r>
            <w:r>
              <w:rPr>
                <w:rFonts w:ascii="Arial" w:hAnsi="Arial" w:cs="Arial"/>
                <w:sz w:val="20"/>
                <w:szCs w:val="20"/>
                <w:lang w:val="mn-MN" w:eastAsia="ko-KR"/>
              </w:rPr>
              <w:lastRenderedPageBreak/>
              <w:t xml:space="preserve">бусад салбар болох тээвэр болон аж үйлдвэрлэлийн салбар тэлэхэд нөлөөлдөг. </w:t>
            </w:r>
          </w:p>
        </w:tc>
        <w:tc>
          <w:tcPr>
            <w:tcW w:w="427" w:type="dxa"/>
          </w:tcPr>
          <w:p w14:paraId="1DA4E2DB" w14:textId="77777777" w:rsidR="00524F5D" w:rsidRPr="00266CCE" w:rsidRDefault="00524F5D" w:rsidP="00280CBB">
            <w:pPr>
              <w:pStyle w:val="NoSpacing"/>
              <w:jc w:val="both"/>
              <w:rPr>
                <w:i/>
                <w:sz w:val="2"/>
                <w:szCs w:val="18"/>
              </w:rPr>
            </w:pPr>
          </w:p>
        </w:tc>
        <w:tc>
          <w:tcPr>
            <w:tcW w:w="5478" w:type="dxa"/>
            <w:gridSpan w:val="2"/>
          </w:tcPr>
          <w:tbl>
            <w:tblPr>
              <w:tblpPr w:leftFromText="180" w:rightFromText="180" w:vertAnchor="text" w:horzAnchor="margin" w:tblpY="-7597"/>
              <w:tblOverlap w:val="never"/>
              <w:tblW w:w="0" w:type="auto"/>
              <w:tblLook w:val="04A0" w:firstRow="1" w:lastRow="0" w:firstColumn="1" w:lastColumn="0" w:noHBand="0" w:noVBand="1"/>
            </w:tblPr>
            <w:tblGrid>
              <w:gridCol w:w="4876"/>
            </w:tblGrid>
            <w:tr w:rsidR="007C5849" w:rsidRPr="000A2BAB" w14:paraId="62F046D8" w14:textId="77777777" w:rsidTr="00630B23">
              <w:trPr>
                <w:trHeight w:val="198"/>
              </w:trPr>
              <w:tc>
                <w:tcPr>
                  <w:tcW w:w="4876" w:type="dxa"/>
                  <w:tcBorders>
                    <w:bottom w:val="single" w:sz="4" w:space="0" w:color="984806" w:themeColor="accent6" w:themeShade="80"/>
                  </w:tcBorders>
                </w:tcPr>
                <w:p w14:paraId="24CCE169" w14:textId="49B251E1" w:rsidR="007C5849" w:rsidRPr="00660167" w:rsidRDefault="00C1094B" w:rsidP="00630B23">
                  <w:pPr>
                    <w:pStyle w:val="Caption"/>
                    <w:spacing w:after="0"/>
                    <w:rPr>
                      <w:sz w:val="16"/>
                      <w:szCs w:val="16"/>
                    </w:rPr>
                  </w:pPr>
                  <w:bookmarkStart w:id="22" w:name="_Toc371338617"/>
                  <w:r>
                    <w:rPr>
                      <w:sz w:val="16"/>
                      <w:szCs w:val="16"/>
                      <w:lang w:val="mn-MN"/>
                    </w:rPr>
                    <w:t>Зураг</w:t>
                  </w:r>
                  <w:r w:rsidR="007C5849" w:rsidRPr="00660167">
                    <w:rPr>
                      <w:sz w:val="16"/>
                      <w:szCs w:val="16"/>
                    </w:rPr>
                    <w:t xml:space="preserve"> </w:t>
                  </w:r>
                  <w:r w:rsidR="007C5849">
                    <w:rPr>
                      <w:sz w:val="16"/>
                      <w:szCs w:val="16"/>
                    </w:rPr>
                    <w:fldChar w:fldCharType="begin"/>
                  </w:r>
                  <w:r w:rsidR="007C5849">
                    <w:rPr>
                      <w:sz w:val="16"/>
                      <w:szCs w:val="16"/>
                    </w:rPr>
                    <w:instrText xml:space="preserve"> SEQ Figure \* ARABIC </w:instrText>
                  </w:r>
                  <w:r w:rsidR="007C5849">
                    <w:rPr>
                      <w:sz w:val="16"/>
                      <w:szCs w:val="16"/>
                    </w:rPr>
                    <w:fldChar w:fldCharType="separate"/>
                  </w:r>
                  <w:r w:rsidR="007C5849">
                    <w:rPr>
                      <w:noProof/>
                      <w:sz w:val="16"/>
                      <w:szCs w:val="16"/>
                    </w:rPr>
                    <w:t>8</w:t>
                  </w:r>
                  <w:r w:rsidR="007C5849">
                    <w:rPr>
                      <w:sz w:val="16"/>
                      <w:szCs w:val="16"/>
                    </w:rPr>
                    <w:fldChar w:fldCharType="end"/>
                  </w:r>
                  <w:r w:rsidR="007C5849" w:rsidRPr="00660167">
                    <w:rPr>
                      <w:sz w:val="16"/>
                      <w:szCs w:val="16"/>
                    </w:rPr>
                    <w:t>.</w:t>
                  </w:r>
                  <w:r>
                    <w:rPr>
                      <w:sz w:val="16"/>
                      <w:szCs w:val="16"/>
                      <w:lang w:val="mn-MN"/>
                    </w:rPr>
                    <w:t xml:space="preserve"> Барилгын өсөлт барилга болон замын барилгад гарлаа</w:t>
                  </w:r>
                  <w:bookmarkEnd w:id="22"/>
                </w:p>
              </w:tc>
            </w:tr>
            <w:tr w:rsidR="007C5849" w:rsidRPr="000A2BAB" w14:paraId="7F3EBE71" w14:textId="77777777" w:rsidTr="00630B23">
              <w:trPr>
                <w:trHeight w:val="2715"/>
              </w:trPr>
              <w:tc>
                <w:tcPr>
                  <w:tcW w:w="4876" w:type="dxa"/>
                  <w:tcBorders>
                    <w:top w:val="single" w:sz="4" w:space="0" w:color="984806" w:themeColor="accent6" w:themeShade="80"/>
                  </w:tcBorders>
                </w:tcPr>
                <w:p w14:paraId="36DAB42C" w14:textId="528CD077" w:rsidR="007C5849" w:rsidRPr="006C102E" w:rsidRDefault="007C5849">
                  <w:pPr>
                    <w:pStyle w:val="Caption"/>
                    <w:rPr>
                      <w:noProof/>
                      <w:sz w:val="20"/>
                      <w:lang w:eastAsia="ko-KR"/>
                    </w:rPr>
                  </w:pPr>
                  <w:r>
                    <w:rPr>
                      <w:noProof/>
                    </w:rPr>
                    <w:drawing>
                      <wp:anchor distT="0" distB="0" distL="114300" distR="114300" simplePos="0" relativeHeight="251778560" behindDoc="0" locked="0" layoutInCell="1" allowOverlap="1" wp14:anchorId="055B8176" wp14:editId="12132207">
                        <wp:simplePos x="0" y="0"/>
                        <wp:positionH relativeFrom="column">
                          <wp:posOffset>68580</wp:posOffset>
                        </wp:positionH>
                        <wp:positionV relativeFrom="paragraph">
                          <wp:posOffset>253365</wp:posOffset>
                        </wp:positionV>
                        <wp:extent cx="2945130" cy="1485900"/>
                        <wp:effectExtent l="0" t="0" r="7620" b="0"/>
                        <wp:wrapSquare wrapText="bothSides"/>
                        <wp:docPr id="348" name="Chart 34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page">
                          <wp14:pctWidth>0</wp14:pctWidth>
                        </wp14:sizeRelH>
                        <wp14:sizeRelV relativeFrom="page">
                          <wp14:pctHeight>0</wp14:pctHeight>
                        </wp14:sizeRelV>
                      </wp:anchor>
                    </w:drawing>
                  </w:r>
                  <w:r w:rsidR="00C1094B">
                    <w:rPr>
                      <w:b w:val="0"/>
                      <w:color w:val="auto"/>
                      <w:sz w:val="16"/>
                      <w:lang w:val="mn-MN"/>
                    </w:rPr>
                    <w:t>Барилгын үйлдвэрлэл, төрлөөр</w:t>
                  </w:r>
                  <w:r>
                    <w:rPr>
                      <w:b w:val="0"/>
                      <w:color w:val="auto"/>
                      <w:sz w:val="16"/>
                    </w:rPr>
                    <w:t xml:space="preserve"> (</w:t>
                  </w:r>
                  <w:r w:rsidR="00C1094B">
                    <w:rPr>
                      <w:b w:val="0"/>
                      <w:color w:val="auto"/>
                      <w:sz w:val="16"/>
                      <w:lang w:val="mn-MN"/>
                    </w:rPr>
                    <w:t>тэрбум төгрөгөөр, өнөөгийн үнээр</w:t>
                  </w:r>
                  <w:r>
                    <w:rPr>
                      <w:b w:val="0"/>
                      <w:color w:val="auto"/>
                      <w:sz w:val="16"/>
                    </w:rPr>
                    <w:t>)</w:t>
                  </w:r>
                  <w:r w:rsidRPr="00B369A6">
                    <w:rPr>
                      <w:noProof/>
                      <w:sz w:val="20"/>
                      <w:lang w:eastAsia="ko-KR"/>
                    </w:rPr>
                    <w:t xml:space="preserve"> </w:t>
                  </w:r>
                </w:p>
              </w:tc>
            </w:tr>
            <w:tr w:rsidR="007C5849" w:rsidRPr="000A2BAB" w14:paraId="63A328A7" w14:textId="77777777" w:rsidTr="00630B23">
              <w:trPr>
                <w:trHeight w:val="79"/>
              </w:trPr>
              <w:tc>
                <w:tcPr>
                  <w:tcW w:w="4876" w:type="dxa"/>
                </w:tcPr>
                <w:p w14:paraId="251CF9AD" w14:textId="77777777" w:rsidR="007C5849" w:rsidRPr="004D167B" w:rsidRDefault="007C5849" w:rsidP="007C5849">
                  <w:pPr>
                    <w:pStyle w:val="NoSpacing"/>
                    <w:jc w:val="both"/>
                    <w:rPr>
                      <w:sz w:val="14"/>
                      <w:szCs w:val="18"/>
                    </w:rPr>
                  </w:pPr>
                  <w:r>
                    <w:rPr>
                      <w:i/>
                      <w:sz w:val="14"/>
                      <w:szCs w:val="18"/>
                    </w:rPr>
                    <w:t xml:space="preserve">   </w:t>
                  </w:r>
                  <w:r>
                    <w:rPr>
                      <w:i/>
                      <w:sz w:val="14"/>
                      <w:szCs w:val="18"/>
                      <w:lang w:val="mn-MN"/>
                    </w:rPr>
                    <w:t>Эх үүсвэр</w:t>
                  </w:r>
                  <w:r w:rsidRPr="000A2BAB">
                    <w:rPr>
                      <w:i/>
                      <w:sz w:val="14"/>
                      <w:szCs w:val="18"/>
                    </w:rPr>
                    <w:t>:</w:t>
                  </w:r>
                  <w:r w:rsidRPr="000A2BAB">
                    <w:rPr>
                      <w:sz w:val="14"/>
                      <w:szCs w:val="18"/>
                    </w:rPr>
                    <w:t xml:space="preserve"> </w:t>
                  </w:r>
                  <w:r>
                    <w:rPr>
                      <w:sz w:val="14"/>
                      <w:szCs w:val="18"/>
                      <w:lang w:val="mn-MN"/>
                    </w:rPr>
                    <w:t>ҮСХ эмхэтгэл, ДБ-ны мэргэжилтнүүдийн тооцоо</w:t>
                  </w:r>
                </w:p>
              </w:tc>
            </w:tr>
          </w:tbl>
          <w:p w14:paraId="599FBCB4" w14:textId="77777777" w:rsidR="00524F5D" w:rsidRPr="000A2BAB" w:rsidRDefault="00524F5D" w:rsidP="00280CBB">
            <w:pPr>
              <w:pStyle w:val="NoSpacing"/>
              <w:jc w:val="both"/>
              <w:rPr>
                <w:sz w:val="14"/>
              </w:rPr>
            </w:pPr>
          </w:p>
        </w:tc>
      </w:tr>
    </w:tbl>
    <w:p w14:paraId="35B19E0B" w14:textId="0AA72A21" w:rsidR="008369F9" w:rsidRDefault="00C1094B" w:rsidP="00F85A9F">
      <w:pPr>
        <w:jc w:val="both"/>
        <w:rPr>
          <w:rFonts w:ascii="Arial" w:hAnsi="Arial" w:cs="Arial"/>
          <w:noProof/>
          <w:sz w:val="20"/>
          <w:szCs w:val="20"/>
          <w:lang w:eastAsia="ko-KR"/>
        </w:rPr>
      </w:pPr>
      <w:r>
        <w:rPr>
          <w:rFonts w:ascii="Arial" w:hAnsi="Arial" w:cs="Arial"/>
          <w:sz w:val="20"/>
          <w:szCs w:val="20"/>
          <w:lang w:val="mn-MN" w:eastAsia="ko-KR"/>
        </w:rPr>
        <w:lastRenderedPageBreak/>
        <w:t>Э</w:t>
      </w:r>
      <w:r w:rsidR="00AF5F26">
        <w:rPr>
          <w:rFonts w:ascii="Arial" w:hAnsi="Arial" w:cs="Arial"/>
          <w:sz w:val="20"/>
          <w:szCs w:val="20"/>
          <w:lang w:val="mn-MN" w:eastAsia="ko-KR"/>
        </w:rPr>
        <w:t xml:space="preserve">хний улиралд 8.3 хувийн өсөлт үзүүлсний дараагаар, барилгын салбар нь хоёр дахь улиралд бодит утгаараа </w:t>
      </w:r>
      <w:r w:rsidR="00923A22" w:rsidRPr="008B0016">
        <w:rPr>
          <w:rFonts w:ascii="Arial" w:hAnsi="Arial" w:cs="Arial"/>
          <w:sz w:val="20"/>
          <w:szCs w:val="20"/>
          <w:lang w:eastAsia="ko-KR"/>
        </w:rPr>
        <w:t xml:space="preserve">154 </w:t>
      </w:r>
      <w:r w:rsidR="00AF5F26">
        <w:rPr>
          <w:rFonts w:ascii="Arial" w:hAnsi="Arial" w:cs="Arial"/>
          <w:sz w:val="20"/>
          <w:szCs w:val="20"/>
          <w:lang w:val="mn-MN" w:eastAsia="ko-KR"/>
        </w:rPr>
        <w:t xml:space="preserve">хувиар өссөн нь мөнгөний болон төсвийн урамшуулах бодлогын үр нөлөө юм. Монгол банк </w:t>
      </w:r>
      <w:r w:rsidR="00AF5F26">
        <w:rPr>
          <w:rFonts w:ascii="Arial" w:hAnsi="Arial" w:cs="Arial"/>
          <w:sz w:val="20"/>
          <w:szCs w:val="20"/>
          <w:lang w:eastAsia="ko-KR"/>
        </w:rPr>
        <w:t>(</w:t>
      </w:r>
      <w:r w:rsidR="00AF5F26">
        <w:rPr>
          <w:rFonts w:ascii="Arial" w:hAnsi="Arial" w:cs="Arial"/>
          <w:sz w:val="20"/>
          <w:szCs w:val="20"/>
          <w:lang w:val="mn-MN" w:eastAsia="ko-KR"/>
        </w:rPr>
        <w:t>МБ</w:t>
      </w:r>
      <w:r w:rsidR="00AF5F26">
        <w:rPr>
          <w:rFonts w:ascii="Arial" w:hAnsi="Arial" w:cs="Arial"/>
          <w:sz w:val="20"/>
          <w:szCs w:val="20"/>
          <w:lang w:eastAsia="ko-KR"/>
        </w:rPr>
        <w:t>)</w:t>
      </w:r>
      <w:r w:rsidR="00AF5F26">
        <w:rPr>
          <w:rFonts w:ascii="Arial" w:hAnsi="Arial" w:cs="Arial"/>
          <w:sz w:val="20"/>
          <w:szCs w:val="20"/>
          <w:lang w:val="mn-MN" w:eastAsia="ko-KR"/>
        </w:rPr>
        <w:t xml:space="preserve"> нь 1.8 их наяад төгрөг хүртэлх</w:t>
      </w:r>
      <w:r w:rsidR="00B30594">
        <w:rPr>
          <w:rFonts w:ascii="Arial" w:hAnsi="Arial" w:cs="Arial"/>
          <w:sz w:val="20"/>
          <w:szCs w:val="20"/>
          <w:lang w:eastAsia="ko-KR"/>
        </w:rPr>
        <w:t xml:space="preserve"> </w:t>
      </w:r>
      <w:r w:rsidR="005D0BF2">
        <w:rPr>
          <w:rFonts w:ascii="Arial" w:hAnsi="Arial" w:cs="Arial"/>
          <w:sz w:val="20"/>
          <w:szCs w:val="20"/>
          <w:lang w:eastAsia="ko-KR"/>
        </w:rPr>
        <w:t xml:space="preserve">– </w:t>
      </w:r>
      <w:r w:rsidR="00E53D62">
        <w:rPr>
          <w:rFonts w:ascii="Arial" w:hAnsi="Arial" w:cs="Arial"/>
          <w:sz w:val="20"/>
          <w:szCs w:val="20"/>
          <w:lang w:val="mn-MN" w:eastAsia="ko-KR"/>
        </w:rPr>
        <w:t>томоохон хэмжээний хөнгөлөлттэй бодлогын зээлийг</w:t>
      </w:r>
      <w:r w:rsidR="005D0BF2">
        <w:rPr>
          <w:rFonts w:ascii="Arial" w:hAnsi="Arial" w:cs="Arial"/>
          <w:sz w:val="20"/>
          <w:szCs w:val="20"/>
          <w:lang w:eastAsia="ko-KR"/>
        </w:rPr>
        <w:t xml:space="preserve">– </w:t>
      </w:r>
      <w:r w:rsidR="00E53D62">
        <w:rPr>
          <w:rFonts w:ascii="Arial" w:hAnsi="Arial" w:cs="Arial"/>
          <w:sz w:val="20"/>
          <w:szCs w:val="20"/>
          <w:lang w:val="mn-MN" w:eastAsia="ko-KR"/>
        </w:rPr>
        <w:t>Үнийг тогтворжуулах хөтөлбөр болон орон сууцыг хөгжүүлэх хөтөлбөрийн хүрээнд барилгын болон орон сууцны салбаруудад олгосон</w:t>
      </w:r>
      <w:r w:rsidR="005D0BF2">
        <w:rPr>
          <w:rFonts w:ascii="Arial" w:hAnsi="Arial" w:cs="Arial"/>
          <w:sz w:val="20"/>
          <w:szCs w:val="20"/>
          <w:lang w:eastAsia="ko-KR"/>
        </w:rPr>
        <w:t xml:space="preserve"> (</w:t>
      </w:r>
      <w:r w:rsidR="00E53D62">
        <w:rPr>
          <w:rFonts w:ascii="Arial" w:hAnsi="Arial" w:cs="Arial"/>
          <w:sz w:val="20"/>
          <w:szCs w:val="20"/>
          <w:lang w:val="mn-MN" w:eastAsia="ko-KR"/>
        </w:rPr>
        <w:t>Хайрцаг</w:t>
      </w:r>
      <w:r w:rsidR="00E53D62">
        <w:rPr>
          <w:rFonts w:ascii="Arial" w:hAnsi="Arial" w:cs="Arial"/>
          <w:sz w:val="20"/>
          <w:szCs w:val="20"/>
          <w:lang w:eastAsia="ko-KR"/>
        </w:rPr>
        <w:t xml:space="preserve"> </w:t>
      </w:r>
      <w:r w:rsidR="005D0BF2">
        <w:rPr>
          <w:rFonts w:ascii="Arial" w:hAnsi="Arial" w:cs="Arial"/>
          <w:sz w:val="20"/>
          <w:szCs w:val="20"/>
          <w:lang w:eastAsia="ko-KR"/>
        </w:rPr>
        <w:t>6)</w:t>
      </w:r>
      <w:r w:rsidR="00B30594">
        <w:rPr>
          <w:rFonts w:ascii="Arial" w:hAnsi="Arial" w:cs="Arial"/>
          <w:sz w:val="20"/>
          <w:szCs w:val="20"/>
          <w:lang w:eastAsia="ko-KR"/>
        </w:rPr>
        <w:t xml:space="preserve">. </w:t>
      </w:r>
      <w:r w:rsidR="00E53D62">
        <w:rPr>
          <w:rFonts w:ascii="Arial" w:hAnsi="Arial" w:cs="Arial"/>
          <w:sz w:val="20"/>
          <w:szCs w:val="20"/>
          <w:lang w:val="mn-MN" w:eastAsia="ko-KR"/>
        </w:rPr>
        <w:t xml:space="preserve">Барилгын салбарын энэхүү огцом сэргэлт нь төсвөөс гадуурхи дэд бүтцийн хөтөлбөрүүдээс мөн үүдэлтэй. Монгол улсын хөгжлийн банк нь Чингис бондын орлогоор 4 дүгээр сараас эхлэн зам барилгын ажилд голдуу анхаарлаа хандуулж улсын дэд бүтцийн хөтөлбөрүүдийг санхүүжүүлсэн. Ийнхүү хүчтэй бодлогын дэмжлэгийн үр дүнд, орон сууцны болон арилжааны зориулалттай барилга байшин, мөн замын ажлууд хоёрдугаар улирлын туршид огцом нэмэгдсэн байна. </w:t>
      </w:r>
      <w:r w:rsidR="00CD55F7">
        <w:rPr>
          <w:rFonts w:ascii="Arial" w:hAnsi="Arial" w:cs="Arial"/>
          <w:sz w:val="20"/>
          <w:szCs w:val="20"/>
          <w:lang w:eastAsia="ko-KR"/>
        </w:rPr>
        <w:t>(</w:t>
      </w:r>
      <w:r w:rsidR="00E53D62">
        <w:rPr>
          <w:rFonts w:ascii="Arial" w:hAnsi="Arial" w:cs="Arial"/>
          <w:sz w:val="20"/>
          <w:szCs w:val="20"/>
          <w:lang w:val="mn-MN" w:eastAsia="ko-KR"/>
        </w:rPr>
        <w:t>Зураг</w:t>
      </w:r>
      <w:r w:rsidR="00E53D62">
        <w:rPr>
          <w:rFonts w:ascii="Arial" w:hAnsi="Arial" w:cs="Arial"/>
          <w:sz w:val="20"/>
          <w:szCs w:val="20"/>
          <w:lang w:eastAsia="ko-KR"/>
        </w:rPr>
        <w:t xml:space="preserve"> </w:t>
      </w:r>
      <w:r w:rsidR="00CD55F7">
        <w:rPr>
          <w:rFonts w:ascii="Arial" w:hAnsi="Arial" w:cs="Arial"/>
          <w:sz w:val="20"/>
          <w:szCs w:val="20"/>
          <w:lang w:eastAsia="ko-KR"/>
        </w:rPr>
        <w:t>8)</w:t>
      </w:r>
      <w:r w:rsidR="00C63BB6">
        <w:rPr>
          <w:rFonts w:ascii="Arial" w:hAnsi="Arial" w:cs="Arial"/>
          <w:sz w:val="20"/>
          <w:szCs w:val="20"/>
          <w:lang w:eastAsia="ko-KR"/>
        </w:rPr>
        <w:t xml:space="preserve"> </w:t>
      </w:r>
      <w:r w:rsidR="00836547">
        <w:rPr>
          <w:rFonts w:ascii="Arial" w:hAnsi="Arial" w:cs="Arial"/>
          <w:sz w:val="20"/>
          <w:szCs w:val="20"/>
          <w:lang w:val="mn-MN" w:eastAsia="ko-KR"/>
        </w:rPr>
        <w:t>Гэвч хөрөнгийн засварын ажилд өмнөх оноос бодит хэмжээгээр зөвхөн хоёр хувиар өссөн нь шинээр баригдаж байгаа барилга ихээр өсч байгаатай эсрэг зүйлийг үүсгэж байгаа бөгөөд шинэ төсөл хөтөлбөрүүд болон засварын үйлчилгээнд бага зарцуулдаг зөрүү үүсч байна</w:t>
      </w:r>
      <w:r w:rsidR="007B2A33" w:rsidRPr="008B0016">
        <w:rPr>
          <w:rFonts w:ascii="Arial" w:hAnsi="Arial" w:cs="Arial"/>
          <w:noProof/>
          <w:sz w:val="20"/>
          <w:szCs w:val="20"/>
          <w:lang w:eastAsia="ko-KR"/>
        </w:rPr>
        <w:t>.</w:t>
      </w:r>
    </w:p>
    <w:p w14:paraId="229FB87D" w14:textId="2D0B091C" w:rsidR="006C102E" w:rsidRDefault="00836547" w:rsidP="006C102E">
      <w:pPr>
        <w:jc w:val="both"/>
        <w:rPr>
          <w:rFonts w:ascii="Arial" w:hAnsi="Arial" w:cs="Arial"/>
          <w:sz w:val="20"/>
          <w:szCs w:val="20"/>
          <w:lang w:eastAsia="ko-KR"/>
        </w:rPr>
      </w:pPr>
      <w:r>
        <w:rPr>
          <w:rFonts w:ascii="Arial" w:hAnsi="Arial" w:cs="Arial"/>
          <w:b/>
          <w:sz w:val="20"/>
          <w:szCs w:val="20"/>
          <w:lang w:val="mn-MN" w:eastAsia="ko-KR"/>
        </w:rPr>
        <w:t xml:space="preserve">Энэ жилийн цаг агаарын тааламжтай нөхцөл байдлын улмаас хөдөө аж ахуйн салбар нь эхний хагаст 20.6 хувиар өслөө. </w:t>
      </w:r>
      <w:r>
        <w:rPr>
          <w:rFonts w:ascii="Arial" w:hAnsi="Arial" w:cs="Arial"/>
          <w:sz w:val="20"/>
          <w:szCs w:val="20"/>
          <w:lang w:val="mn-MN" w:eastAsia="ko-KR"/>
        </w:rPr>
        <w:t xml:space="preserve">Хөдөө аж ахуй нь 2010 болон 2011 оны ширүүн өвлийн дараагаар </w:t>
      </w:r>
      <w:r>
        <w:rPr>
          <w:rFonts w:ascii="Arial" w:hAnsi="Arial" w:cs="Arial"/>
          <w:sz w:val="20"/>
          <w:szCs w:val="20"/>
          <w:lang w:eastAsia="ko-KR"/>
        </w:rPr>
        <w:t>(</w:t>
      </w:r>
      <w:r>
        <w:rPr>
          <w:rFonts w:ascii="Arial" w:hAnsi="Arial" w:cs="Arial"/>
          <w:sz w:val="20"/>
          <w:szCs w:val="20"/>
          <w:lang w:val="mn-MN" w:eastAsia="ko-KR"/>
        </w:rPr>
        <w:t>зудын</w:t>
      </w:r>
      <w:r>
        <w:rPr>
          <w:rFonts w:ascii="Arial" w:hAnsi="Arial" w:cs="Arial"/>
          <w:sz w:val="20"/>
          <w:szCs w:val="20"/>
          <w:lang w:eastAsia="ko-KR"/>
        </w:rPr>
        <w:t>)</w:t>
      </w:r>
      <w:r>
        <w:rPr>
          <w:rFonts w:ascii="Arial" w:hAnsi="Arial" w:cs="Arial"/>
          <w:sz w:val="20"/>
          <w:szCs w:val="20"/>
          <w:lang w:val="mn-MN" w:eastAsia="ko-KR"/>
        </w:rPr>
        <w:t xml:space="preserve"> хүчтэй уналтад орсон ч зургаан улирал дараалан </w:t>
      </w:r>
      <w:r w:rsidR="006C102E" w:rsidRPr="008B0016">
        <w:rPr>
          <w:rFonts w:ascii="Arial" w:hAnsi="Arial" w:cs="Arial"/>
          <w:sz w:val="20"/>
          <w:szCs w:val="20"/>
          <w:lang w:eastAsia="ko-KR"/>
        </w:rPr>
        <w:t xml:space="preserve"> </w:t>
      </w:r>
      <w:r w:rsidR="006C102E">
        <w:rPr>
          <w:rFonts w:ascii="Arial" w:hAnsi="Arial" w:cs="Arial"/>
          <w:sz w:val="20"/>
          <w:szCs w:val="20"/>
          <w:lang w:eastAsia="ko-KR"/>
        </w:rPr>
        <w:t>–</w:t>
      </w:r>
      <w:r w:rsidR="006C102E" w:rsidRPr="008B0016">
        <w:rPr>
          <w:rFonts w:ascii="Arial" w:hAnsi="Arial" w:cs="Arial"/>
          <w:sz w:val="20"/>
          <w:szCs w:val="20"/>
          <w:lang w:eastAsia="ko-KR"/>
        </w:rPr>
        <w:t xml:space="preserve">20 </w:t>
      </w:r>
      <w:r>
        <w:rPr>
          <w:rFonts w:ascii="Arial" w:hAnsi="Arial" w:cs="Arial"/>
          <w:sz w:val="20"/>
          <w:szCs w:val="20"/>
          <w:lang w:val="mn-MN" w:eastAsia="ko-KR"/>
        </w:rPr>
        <w:t>гаран хувийн</w:t>
      </w:r>
      <w:r w:rsidRPr="008B0016">
        <w:rPr>
          <w:rFonts w:ascii="Arial" w:hAnsi="Arial" w:cs="Arial"/>
          <w:sz w:val="20"/>
          <w:szCs w:val="20"/>
          <w:lang w:eastAsia="ko-KR"/>
        </w:rPr>
        <w:t xml:space="preserve"> </w:t>
      </w:r>
      <w:r w:rsidR="006C102E">
        <w:rPr>
          <w:rFonts w:ascii="Arial" w:hAnsi="Arial" w:cs="Arial"/>
          <w:sz w:val="20"/>
          <w:szCs w:val="20"/>
          <w:lang w:eastAsia="ko-KR"/>
        </w:rPr>
        <w:t xml:space="preserve">– </w:t>
      </w:r>
      <w:r>
        <w:rPr>
          <w:rFonts w:ascii="Arial" w:hAnsi="Arial" w:cs="Arial"/>
          <w:sz w:val="20"/>
          <w:szCs w:val="20"/>
          <w:lang w:val="mn-MN" w:eastAsia="ko-KR"/>
        </w:rPr>
        <w:t>хүчтэй өсөлтийг бий болголоо</w:t>
      </w:r>
      <w:r w:rsidR="006C102E" w:rsidRPr="008B0016">
        <w:rPr>
          <w:rFonts w:ascii="Arial" w:hAnsi="Arial" w:cs="Arial"/>
          <w:sz w:val="20"/>
          <w:szCs w:val="20"/>
          <w:lang w:eastAsia="ko-KR"/>
        </w:rPr>
        <w:t xml:space="preserve">. </w:t>
      </w:r>
      <w:r>
        <w:rPr>
          <w:rFonts w:ascii="Arial" w:hAnsi="Arial" w:cs="Arial"/>
          <w:sz w:val="20"/>
          <w:szCs w:val="20"/>
          <w:lang w:val="mn-MN" w:eastAsia="ko-KR"/>
        </w:rPr>
        <w:t>ДНБ-ий бараг 16 хувийг бүрдүүлдэг хөдөө аж ахуйн үйлдвэрлэл нь нийт өсөлтий</w:t>
      </w:r>
      <w:r w:rsidR="00C1094B">
        <w:rPr>
          <w:rFonts w:ascii="Arial" w:hAnsi="Arial" w:cs="Arial"/>
          <w:sz w:val="20"/>
          <w:szCs w:val="20"/>
          <w:lang w:val="mn-MN" w:eastAsia="ko-KR"/>
        </w:rPr>
        <w:t>н</w:t>
      </w:r>
      <w:r>
        <w:rPr>
          <w:rFonts w:ascii="Arial" w:hAnsi="Arial" w:cs="Arial"/>
          <w:sz w:val="20"/>
          <w:szCs w:val="20"/>
          <w:lang w:val="mn-MN" w:eastAsia="ko-KR"/>
        </w:rPr>
        <w:t xml:space="preserve"> бараг дөрөвний нэг</w:t>
      </w:r>
      <w:r w:rsidR="00C1094B">
        <w:rPr>
          <w:rFonts w:ascii="Arial" w:hAnsi="Arial" w:cs="Arial"/>
          <w:sz w:val="20"/>
          <w:szCs w:val="20"/>
          <w:lang w:val="mn-MN" w:eastAsia="ko-KR"/>
        </w:rPr>
        <w:t>ийг</w:t>
      </w:r>
      <w:r>
        <w:rPr>
          <w:rFonts w:ascii="Arial" w:hAnsi="Arial" w:cs="Arial"/>
          <w:sz w:val="20"/>
          <w:szCs w:val="20"/>
          <w:lang w:val="mn-MN" w:eastAsia="ko-KR"/>
        </w:rPr>
        <w:t xml:space="preserve"> бий болгожээ. Хэдийгээр уг салбарын үйлдвэрлэлийн бүтцийн талаархи дэлгэрэнгүй тоо мэдээлэл байхгүй байгаа боловч улирлын хөдөө аж ахуйн ДНБ нь 2012 онд төрсөн их хэмжээний жижиг мал 2013 онд их насанд хүрснээр цаашид өндөр өсөлттэй байна. Энэ жилийн эцсээр хийгдэх </w:t>
      </w:r>
      <w:r w:rsidR="00C1094B">
        <w:rPr>
          <w:rFonts w:ascii="Arial" w:hAnsi="Arial" w:cs="Arial"/>
          <w:sz w:val="20"/>
          <w:szCs w:val="20"/>
          <w:lang w:val="mn-MN" w:eastAsia="ko-KR"/>
        </w:rPr>
        <w:t xml:space="preserve">малын тооллогын </w:t>
      </w:r>
      <w:r>
        <w:rPr>
          <w:rFonts w:ascii="Arial" w:hAnsi="Arial" w:cs="Arial"/>
          <w:sz w:val="20"/>
          <w:szCs w:val="20"/>
          <w:lang w:val="mn-MN" w:eastAsia="ko-KR"/>
        </w:rPr>
        <w:t xml:space="preserve">судалгааны үндсэн дээр хөдөө аж ахуйн бүтээгдэхүүний тоо мэдээ нь дахин шинэчлэгдэн гарна. </w:t>
      </w:r>
      <w:r w:rsidR="00A63097">
        <w:rPr>
          <w:rFonts w:ascii="Arial" w:hAnsi="Arial" w:cs="Arial"/>
          <w:sz w:val="20"/>
          <w:szCs w:val="20"/>
          <w:lang w:val="mn-MN" w:eastAsia="ko-KR"/>
        </w:rPr>
        <w:t xml:space="preserve">ҮСХ-ны мэдээлж байгаагаар малын тоо нь хөдөө аж ахуйн үйлдвэрлэлийн бараг 80 хувийг бүрдүүлдэг байна. </w:t>
      </w:r>
    </w:p>
    <w:p w14:paraId="3F6F368E" w14:textId="01909137" w:rsidR="00254951" w:rsidRPr="00531A13" w:rsidRDefault="00A63097" w:rsidP="00D3171B">
      <w:pPr>
        <w:jc w:val="both"/>
        <w:rPr>
          <w:rFonts w:ascii="Arial" w:hAnsi="Arial" w:cs="Arial"/>
          <w:sz w:val="20"/>
          <w:szCs w:val="20"/>
          <w:lang w:eastAsia="ko-KR"/>
        </w:rPr>
      </w:pPr>
      <w:r>
        <w:rPr>
          <w:rFonts w:ascii="Arial" w:hAnsi="Arial" w:cs="Arial"/>
          <w:b/>
          <w:sz w:val="20"/>
          <w:szCs w:val="20"/>
          <w:lang w:val="mn-MN" w:eastAsia="ko-KR"/>
        </w:rPr>
        <w:t xml:space="preserve">Аж үйлдвэрлэлийн салбар болон бөөний/жижиглэнгийн худалдааны салбар нь эхний хагас жилд </w:t>
      </w:r>
      <w:r w:rsidR="00254951">
        <w:rPr>
          <w:rFonts w:ascii="Arial" w:hAnsi="Arial" w:cs="Arial"/>
          <w:b/>
          <w:sz w:val="20"/>
          <w:szCs w:val="20"/>
          <w:lang w:eastAsia="ko-KR"/>
        </w:rPr>
        <w:t xml:space="preserve">6.6 </w:t>
      </w:r>
      <w:r>
        <w:rPr>
          <w:rFonts w:ascii="Arial" w:hAnsi="Arial" w:cs="Arial"/>
          <w:b/>
          <w:sz w:val="20"/>
          <w:szCs w:val="20"/>
          <w:lang w:val="mn-MN" w:eastAsia="ko-KR"/>
        </w:rPr>
        <w:t xml:space="preserve">хувь болон </w:t>
      </w:r>
      <w:r w:rsidR="00254951">
        <w:rPr>
          <w:rFonts w:ascii="Arial" w:hAnsi="Arial" w:cs="Arial"/>
          <w:b/>
          <w:sz w:val="20"/>
          <w:szCs w:val="20"/>
          <w:lang w:eastAsia="ko-KR"/>
        </w:rPr>
        <w:t xml:space="preserve">3.1 </w:t>
      </w:r>
      <w:r>
        <w:rPr>
          <w:rFonts w:ascii="Arial" w:hAnsi="Arial" w:cs="Arial"/>
          <w:b/>
          <w:sz w:val="20"/>
          <w:szCs w:val="20"/>
          <w:lang w:val="mn-MN" w:eastAsia="ko-KR"/>
        </w:rPr>
        <w:t xml:space="preserve">хувиар тус тус өссөн байна. </w:t>
      </w:r>
      <w:r>
        <w:rPr>
          <w:rFonts w:ascii="Arial" w:hAnsi="Arial" w:cs="Arial"/>
          <w:sz w:val="20"/>
          <w:szCs w:val="20"/>
          <w:lang w:val="mn-MN" w:eastAsia="ko-KR"/>
        </w:rPr>
        <w:t>Аж үйлдвэрлэлийн салбар нь энэ хугацаанд дотоодын нийт бүтээгдэхүүний 5 хувийг харин бөөний/жижиглэнгийн худалдааны салбар нь 11 хувийг бүрдүүлсэн. Дотоодын аж үйлдвэрлэлийн хязгаарлагдмал хүчин чадал мөн төрөлжөөгүй байдлаас үүдэж уг салбар хүнс, ундаа, нэхмэл эдлэлээс дийлэнх нь бүрдэж байгаа бөгөөд</w:t>
      </w:r>
      <w:r w:rsidR="00D3171B">
        <w:rPr>
          <w:rFonts w:ascii="Arial" w:hAnsi="Arial" w:cs="Arial"/>
          <w:sz w:val="20"/>
          <w:szCs w:val="20"/>
          <w:lang w:eastAsia="ko-KR"/>
        </w:rPr>
        <w:t xml:space="preserve">– </w:t>
      </w:r>
      <w:r>
        <w:rPr>
          <w:rFonts w:ascii="Arial" w:hAnsi="Arial" w:cs="Arial"/>
          <w:sz w:val="20"/>
          <w:szCs w:val="20"/>
          <w:lang w:val="mn-MN" w:eastAsia="ko-KR"/>
        </w:rPr>
        <w:t xml:space="preserve">энэ нь аж үйлдвэрлэлийн бараг хагасыг </w:t>
      </w:r>
      <w:r w:rsidR="00C90033">
        <w:rPr>
          <w:rFonts w:ascii="Arial" w:hAnsi="Arial" w:cs="Arial"/>
          <w:sz w:val="20"/>
          <w:szCs w:val="20"/>
          <w:lang w:eastAsia="ko-KR"/>
        </w:rPr>
        <w:t>(</w:t>
      </w:r>
      <w:r>
        <w:rPr>
          <w:rFonts w:ascii="Arial" w:hAnsi="Arial" w:cs="Arial"/>
          <w:sz w:val="20"/>
          <w:szCs w:val="20"/>
          <w:lang w:val="mn-MN" w:eastAsia="ko-KR"/>
        </w:rPr>
        <w:t>хүнс, ундаа</w:t>
      </w:r>
      <w:r w:rsidR="00C90033">
        <w:rPr>
          <w:rFonts w:ascii="Arial" w:hAnsi="Arial" w:cs="Arial"/>
          <w:sz w:val="20"/>
          <w:szCs w:val="20"/>
          <w:lang w:eastAsia="ko-KR"/>
        </w:rPr>
        <w:t>)</w:t>
      </w:r>
      <w:r>
        <w:rPr>
          <w:rFonts w:ascii="Arial" w:hAnsi="Arial" w:cs="Arial"/>
          <w:sz w:val="20"/>
          <w:szCs w:val="20"/>
          <w:lang w:val="mn-MN" w:eastAsia="ko-KR"/>
        </w:rPr>
        <w:t xml:space="preserve"> мөн</w:t>
      </w:r>
      <w:r w:rsidR="003A6C82">
        <w:rPr>
          <w:rFonts w:ascii="Arial" w:hAnsi="Arial" w:cs="Arial"/>
          <w:sz w:val="20"/>
          <w:szCs w:val="20"/>
          <w:lang w:eastAsia="ko-KR"/>
        </w:rPr>
        <w:t xml:space="preserve"> </w:t>
      </w:r>
      <w:r w:rsidR="00D3171B">
        <w:rPr>
          <w:rFonts w:ascii="Arial" w:hAnsi="Arial" w:cs="Arial"/>
          <w:sz w:val="20"/>
          <w:szCs w:val="20"/>
          <w:lang w:eastAsia="ko-KR"/>
        </w:rPr>
        <w:t>1</w:t>
      </w:r>
      <w:r w:rsidR="00C90033">
        <w:rPr>
          <w:rFonts w:ascii="Arial" w:hAnsi="Arial" w:cs="Arial"/>
          <w:sz w:val="20"/>
          <w:szCs w:val="20"/>
          <w:lang w:eastAsia="ko-KR"/>
        </w:rPr>
        <w:t>0-15</w:t>
      </w:r>
      <w:r w:rsidR="00D3171B">
        <w:rPr>
          <w:rFonts w:ascii="Arial" w:hAnsi="Arial" w:cs="Arial"/>
          <w:sz w:val="20"/>
          <w:szCs w:val="20"/>
          <w:lang w:eastAsia="ko-KR"/>
        </w:rPr>
        <w:t xml:space="preserve"> </w:t>
      </w:r>
      <w:r>
        <w:rPr>
          <w:rFonts w:ascii="Arial" w:hAnsi="Arial" w:cs="Arial"/>
          <w:sz w:val="20"/>
          <w:szCs w:val="20"/>
          <w:lang w:val="mn-MN" w:eastAsia="ko-KR"/>
        </w:rPr>
        <w:t xml:space="preserve">хувийг </w:t>
      </w:r>
      <w:r w:rsidR="00C90033">
        <w:rPr>
          <w:rFonts w:ascii="Arial" w:hAnsi="Arial" w:cs="Arial"/>
          <w:sz w:val="20"/>
          <w:szCs w:val="20"/>
          <w:lang w:eastAsia="ko-KR"/>
        </w:rPr>
        <w:t>(</w:t>
      </w:r>
      <w:r>
        <w:rPr>
          <w:rFonts w:ascii="Arial" w:hAnsi="Arial" w:cs="Arial"/>
          <w:sz w:val="20"/>
          <w:szCs w:val="20"/>
          <w:lang w:val="mn-MN" w:eastAsia="ko-KR"/>
        </w:rPr>
        <w:t>нэхмэл бүтээгдэхүүн</w:t>
      </w:r>
      <w:r w:rsidR="00C90033">
        <w:rPr>
          <w:rFonts w:ascii="Arial" w:hAnsi="Arial" w:cs="Arial"/>
          <w:sz w:val="20"/>
          <w:szCs w:val="20"/>
          <w:lang w:eastAsia="ko-KR"/>
        </w:rPr>
        <w:t xml:space="preserve">) </w:t>
      </w:r>
      <w:r>
        <w:rPr>
          <w:rFonts w:ascii="Arial" w:hAnsi="Arial" w:cs="Arial"/>
          <w:sz w:val="20"/>
          <w:szCs w:val="20"/>
          <w:lang w:val="mn-MN" w:eastAsia="ko-KR"/>
        </w:rPr>
        <w:t>бүрдүүлж байна</w:t>
      </w:r>
      <w:r w:rsidR="00D3171B">
        <w:rPr>
          <w:rFonts w:ascii="Arial" w:hAnsi="Arial" w:cs="Arial"/>
          <w:sz w:val="20"/>
          <w:szCs w:val="20"/>
          <w:lang w:eastAsia="ko-KR"/>
        </w:rPr>
        <w:t>.</w:t>
      </w:r>
      <w:r>
        <w:rPr>
          <w:rFonts w:ascii="Arial" w:hAnsi="Arial" w:cs="Arial"/>
          <w:sz w:val="20"/>
          <w:szCs w:val="20"/>
          <w:lang w:val="mn-MN" w:eastAsia="ko-KR"/>
        </w:rPr>
        <w:t xml:space="preserve"> Хоёрдугаар хагаст, хүнс болон ундааны үйлдвэрлэл 6.7 хувь, нэхмэлийн үйлдвэрлэл </w:t>
      </w:r>
      <w:r w:rsidR="00E46C75">
        <w:rPr>
          <w:rFonts w:ascii="Arial" w:hAnsi="Arial" w:cs="Arial"/>
          <w:sz w:val="20"/>
          <w:szCs w:val="20"/>
          <w:lang w:eastAsia="ko-KR"/>
        </w:rPr>
        <w:t>6.</w:t>
      </w:r>
      <w:r w:rsidR="00D168B5">
        <w:rPr>
          <w:rFonts w:ascii="Arial" w:hAnsi="Arial" w:cs="Arial"/>
          <w:sz w:val="20"/>
          <w:szCs w:val="20"/>
          <w:lang w:eastAsia="ko-KR"/>
        </w:rPr>
        <w:t>8 </w:t>
      </w:r>
      <w:r>
        <w:rPr>
          <w:rFonts w:ascii="Arial" w:hAnsi="Arial" w:cs="Arial"/>
          <w:sz w:val="20"/>
          <w:szCs w:val="20"/>
          <w:lang w:val="mn-MN" w:eastAsia="ko-KR"/>
        </w:rPr>
        <w:t>хувь өссөн нь нийт аж үйлдвэрлэлийн өсөлтөд хүргэжээ</w:t>
      </w:r>
      <w:r w:rsidR="00E46C75">
        <w:rPr>
          <w:rFonts w:ascii="Arial" w:hAnsi="Arial" w:cs="Arial"/>
          <w:sz w:val="20"/>
          <w:szCs w:val="20"/>
          <w:lang w:eastAsia="ko-KR"/>
        </w:rPr>
        <w:t xml:space="preserve">. </w:t>
      </w:r>
    </w:p>
    <w:p w14:paraId="288CCCEA" w14:textId="1B6944E0" w:rsidR="00CA5730" w:rsidRPr="00DC7E0F" w:rsidRDefault="00A63097" w:rsidP="00E40BA4">
      <w:pPr>
        <w:spacing w:after="240"/>
        <w:jc w:val="both"/>
        <w:rPr>
          <w:rFonts w:ascii="Arial" w:hAnsi="Arial" w:cs="Arial"/>
          <w:sz w:val="20"/>
          <w:szCs w:val="20"/>
          <w:lang w:eastAsia="ko-KR"/>
        </w:rPr>
      </w:pPr>
      <w:r>
        <w:rPr>
          <w:rFonts w:ascii="Arial" w:hAnsi="Arial" w:cs="Arial"/>
          <w:b/>
          <w:sz w:val="20"/>
          <w:szCs w:val="20"/>
          <w:lang w:val="mn-MN" w:eastAsia="ko-KR"/>
        </w:rPr>
        <w:t>Уул уурхайн үйлдвэрлэл даруухан өсөлт гаргасан буюу нүүрсний үйлдвэрлэл унасан</w:t>
      </w:r>
      <w:r w:rsidR="00C1094B">
        <w:rPr>
          <w:rFonts w:ascii="Arial" w:hAnsi="Arial" w:cs="Arial"/>
          <w:b/>
          <w:sz w:val="20"/>
          <w:szCs w:val="20"/>
          <w:lang w:val="mn-MN" w:eastAsia="ko-KR"/>
        </w:rPr>
        <w:t xml:space="preserve"> ч</w:t>
      </w:r>
      <w:r>
        <w:rPr>
          <w:rFonts w:ascii="Arial" w:hAnsi="Arial" w:cs="Arial"/>
          <w:b/>
          <w:sz w:val="20"/>
          <w:szCs w:val="20"/>
          <w:lang w:val="mn-MN" w:eastAsia="ko-KR"/>
        </w:rPr>
        <w:t xml:space="preserve"> эхний хагаст 6.1 хувийн өсөлтийг</w:t>
      </w:r>
      <w:r>
        <w:rPr>
          <w:rFonts w:ascii="Arial" w:hAnsi="Arial" w:cs="Arial"/>
          <w:b/>
          <w:sz w:val="20"/>
          <w:szCs w:val="20"/>
          <w:lang w:eastAsia="ko-KR"/>
        </w:rPr>
        <w:t xml:space="preserve"> (</w:t>
      </w:r>
      <w:r>
        <w:rPr>
          <w:rFonts w:ascii="Arial" w:hAnsi="Arial" w:cs="Arial"/>
          <w:b/>
          <w:sz w:val="20"/>
          <w:szCs w:val="20"/>
          <w:lang w:val="mn-MN" w:eastAsia="ko-KR"/>
        </w:rPr>
        <w:t>өмнөх онтой харьцуулсан</w:t>
      </w:r>
      <w:r>
        <w:rPr>
          <w:rFonts w:ascii="Arial" w:hAnsi="Arial" w:cs="Arial"/>
          <w:b/>
          <w:sz w:val="20"/>
          <w:szCs w:val="20"/>
          <w:lang w:eastAsia="ko-KR"/>
        </w:rPr>
        <w:t>)</w:t>
      </w:r>
      <w:r>
        <w:rPr>
          <w:rFonts w:ascii="Arial" w:hAnsi="Arial" w:cs="Arial"/>
          <w:b/>
          <w:sz w:val="20"/>
          <w:szCs w:val="20"/>
          <w:lang w:val="mn-MN" w:eastAsia="ko-KR"/>
        </w:rPr>
        <w:t xml:space="preserve"> бий болгожээ, гэвч Оюу толгойн уурхайн зэсийн үйлдвэрлэл огцом нэмэгдснээр хоёрдугаар хагаст нэмэгдэх хандлагатай байна. </w:t>
      </w:r>
    </w:p>
    <w:p w14:paraId="3C9DF2FE" w14:textId="1C4279E7" w:rsidR="007D285B" w:rsidRPr="009E5242" w:rsidRDefault="00FA0A57" w:rsidP="00C90033">
      <w:pPr>
        <w:pStyle w:val="ListParagraph"/>
        <w:numPr>
          <w:ilvl w:val="0"/>
          <w:numId w:val="1"/>
        </w:numPr>
        <w:jc w:val="both"/>
        <w:rPr>
          <w:rFonts w:ascii="Arial" w:hAnsi="Arial" w:cs="Arial"/>
          <w:sz w:val="20"/>
          <w:szCs w:val="20"/>
          <w:lang w:eastAsia="ko-KR"/>
        </w:rPr>
      </w:pPr>
      <w:r>
        <w:rPr>
          <w:rFonts w:ascii="Arial" w:hAnsi="Arial" w:cs="Arial"/>
          <w:b/>
          <w:sz w:val="20"/>
          <w:szCs w:val="20"/>
          <w:lang w:val="mn-MN" w:eastAsia="ko-KR"/>
        </w:rPr>
        <w:t>Нүүрсний үйлдвэрлэл нь эхний 9 сарын хугацаанд 3.5 хувиар буурсан буюу өмнөх жилийн үед 18.9 сая тон</w:t>
      </w:r>
      <w:r w:rsidR="00C1094B">
        <w:rPr>
          <w:rFonts w:ascii="Arial" w:hAnsi="Arial" w:cs="Arial"/>
          <w:b/>
          <w:sz w:val="20"/>
          <w:szCs w:val="20"/>
          <w:lang w:val="mn-MN" w:eastAsia="ko-KR"/>
        </w:rPr>
        <w:t>н</w:t>
      </w:r>
      <w:r>
        <w:rPr>
          <w:rFonts w:ascii="Arial" w:hAnsi="Arial" w:cs="Arial"/>
          <w:b/>
          <w:sz w:val="20"/>
          <w:szCs w:val="20"/>
          <w:lang w:val="mn-MN" w:eastAsia="ko-KR"/>
        </w:rPr>
        <w:t xml:space="preserve"> байснаа 18.2 сая тон</w:t>
      </w:r>
      <w:r w:rsidR="00C1094B">
        <w:rPr>
          <w:rFonts w:ascii="Arial" w:hAnsi="Arial" w:cs="Arial"/>
          <w:b/>
          <w:sz w:val="20"/>
          <w:szCs w:val="20"/>
          <w:lang w:val="mn-MN" w:eastAsia="ko-KR"/>
        </w:rPr>
        <w:t>н</w:t>
      </w:r>
      <w:r>
        <w:rPr>
          <w:rFonts w:ascii="Arial" w:hAnsi="Arial" w:cs="Arial"/>
          <w:b/>
          <w:sz w:val="20"/>
          <w:szCs w:val="20"/>
          <w:lang w:val="mn-MN" w:eastAsia="ko-KR"/>
        </w:rPr>
        <w:t xml:space="preserve"> болжээ. </w:t>
      </w:r>
      <w:r>
        <w:rPr>
          <w:rFonts w:ascii="Arial" w:hAnsi="Arial" w:cs="Arial"/>
          <w:sz w:val="20"/>
          <w:szCs w:val="20"/>
          <w:lang w:val="mn-MN" w:eastAsia="ko-KR"/>
        </w:rPr>
        <w:t>Нүүрсний үйлдвэрлэл буурсан нь Хятад улсад өрсөлдөөн нэмэгдэж байгаа, нүүрний арвин нийлүүлэлт байгаатай холбоотойгоор нүүрсний экспорт суларчээ</w:t>
      </w:r>
      <w:r w:rsidR="00C90033">
        <w:rPr>
          <w:rFonts w:ascii="Arial" w:hAnsi="Arial" w:cs="Arial"/>
          <w:sz w:val="20"/>
          <w:szCs w:val="20"/>
          <w:lang w:eastAsia="ko-KR"/>
        </w:rPr>
        <w:t xml:space="preserve">: </w:t>
      </w:r>
      <w:r>
        <w:rPr>
          <w:rFonts w:ascii="Arial" w:hAnsi="Arial" w:cs="Arial"/>
          <w:sz w:val="20"/>
          <w:szCs w:val="20"/>
          <w:lang w:val="mn-MN" w:eastAsia="ko-KR"/>
        </w:rPr>
        <w:t xml:space="preserve">эхний 9 сард өмнөх жилтэй харьцуулбал нүүрсний экспорт 45 хувиар буурсан байна. </w:t>
      </w:r>
      <w:r w:rsidR="00B9066B">
        <w:rPr>
          <w:rFonts w:ascii="Arial" w:hAnsi="Arial" w:cs="Arial"/>
          <w:sz w:val="20"/>
          <w:szCs w:val="20"/>
          <w:lang w:val="mn-MN" w:eastAsia="ko-KR"/>
        </w:rPr>
        <w:t>Нүүрсний үйлдвэрлэл хүндрэлтэй нөхцөл байдалтай байгаа ба энэ оны эхээр голлох нүүрсний уурхайнуудад нүүрний үйлдвэрлэл зогссон, гол уул уурхайн компаний зээлжих зэрэглэлийг бууруулсан зэрэг нөхцөл байдал</w:t>
      </w:r>
      <w:r w:rsidR="00C1094B">
        <w:rPr>
          <w:rFonts w:ascii="Arial" w:hAnsi="Arial" w:cs="Arial"/>
          <w:sz w:val="20"/>
          <w:szCs w:val="20"/>
          <w:lang w:val="mn-MN" w:eastAsia="ko-KR"/>
        </w:rPr>
        <w:t>тай</w:t>
      </w:r>
      <w:r w:rsidR="00B9066B">
        <w:rPr>
          <w:rFonts w:ascii="Arial" w:hAnsi="Arial" w:cs="Arial"/>
          <w:sz w:val="20"/>
          <w:szCs w:val="20"/>
          <w:lang w:val="mn-MN" w:eastAsia="ko-KR"/>
        </w:rPr>
        <w:t xml:space="preserve"> байна. </w:t>
      </w:r>
    </w:p>
    <w:p w14:paraId="127FC6C7" w14:textId="77777777" w:rsidR="00422D59" w:rsidRDefault="00422D59" w:rsidP="009E5242">
      <w:pPr>
        <w:pStyle w:val="ListParagraph"/>
        <w:ind w:left="360"/>
        <w:jc w:val="both"/>
        <w:rPr>
          <w:rFonts w:ascii="Arial" w:hAnsi="Arial" w:cs="Arial"/>
          <w:sz w:val="20"/>
          <w:szCs w:val="20"/>
          <w:lang w:eastAsia="ko-KR"/>
        </w:rPr>
      </w:pPr>
    </w:p>
    <w:p w14:paraId="4AF9853A" w14:textId="2BCC9445" w:rsidR="009E5242" w:rsidRPr="00010761" w:rsidRDefault="00B9066B" w:rsidP="005B7A69">
      <w:pPr>
        <w:pStyle w:val="ListParagraph"/>
        <w:numPr>
          <w:ilvl w:val="0"/>
          <w:numId w:val="1"/>
        </w:numPr>
        <w:jc w:val="both"/>
        <w:rPr>
          <w:rFonts w:ascii="Arial" w:hAnsi="Arial" w:cs="Arial"/>
          <w:sz w:val="20"/>
          <w:szCs w:val="20"/>
          <w:lang w:eastAsia="ko-KR"/>
        </w:rPr>
      </w:pPr>
      <w:r>
        <w:rPr>
          <w:rFonts w:ascii="Arial" w:hAnsi="Arial" w:cs="Arial"/>
          <w:b/>
          <w:sz w:val="20"/>
          <w:szCs w:val="20"/>
          <w:lang w:val="mn-MN" w:eastAsia="ko-KR"/>
        </w:rPr>
        <w:lastRenderedPageBreak/>
        <w:t xml:space="preserve">Нүүрсний үйлдвэрлэл нь одоо үргэлжилж байгаа бага үнэ, дэлхийн хүчтэй өрсөлдөөний дүнд сул хэвээрээ үлдэхээр байна. </w:t>
      </w:r>
      <w:r>
        <w:rPr>
          <w:rFonts w:ascii="Arial" w:hAnsi="Arial" w:cs="Arial"/>
          <w:sz w:val="20"/>
          <w:szCs w:val="20"/>
          <w:lang w:val="mn-MN" w:eastAsia="ko-KR"/>
        </w:rPr>
        <w:t xml:space="preserve">Гэвч сүүлийн аж үйлдвэрлэлийн тоо мэдээнээс нүүрсний үйлдвэрлэл бага зэргийн сэргэлт гарсан байгаа харагдаж байна. 7 дугаар сар болон 9 дүгээр сарын хооронд нүүрсний үйлдвэрлэл нь 7 сар туршид үргэлжилсэн уналтаас сэргэж </w:t>
      </w:r>
      <w:r w:rsidR="00A543FC">
        <w:rPr>
          <w:rFonts w:ascii="Arial" w:hAnsi="Arial" w:cs="Arial"/>
          <w:sz w:val="20"/>
          <w:szCs w:val="20"/>
          <w:lang w:eastAsia="ko-KR"/>
        </w:rPr>
        <w:t>18</w:t>
      </w:r>
      <w:r w:rsidR="00E02690" w:rsidRPr="00010761">
        <w:rPr>
          <w:rFonts w:ascii="Arial" w:hAnsi="Arial" w:cs="Arial" w:hint="eastAsia"/>
          <w:sz w:val="20"/>
          <w:szCs w:val="20"/>
          <w:lang w:eastAsia="ko-KR"/>
        </w:rPr>
        <w:t xml:space="preserve"> </w:t>
      </w:r>
      <w:r>
        <w:rPr>
          <w:rFonts w:ascii="Arial" w:hAnsi="Arial" w:cs="Arial"/>
          <w:sz w:val="20"/>
          <w:szCs w:val="20"/>
          <w:lang w:val="mn-MN" w:eastAsia="ko-KR"/>
        </w:rPr>
        <w:t>хувийн</w:t>
      </w:r>
      <w:r w:rsidRPr="00010761">
        <w:rPr>
          <w:rFonts w:ascii="Arial" w:hAnsi="Arial" w:cs="Arial" w:hint="eastAsia"/>
          <w:sz w:val="20"/>
          <w:szCs w:val="20"/>
          <w:lang w:eastAsia="ko-KR"/>
        </w:rPr>
        <w:t xml:space="preserve"> </w:t>
      </w:r>
      <w:r w:rsidR="00DF25A9">
        <w:rPr>
          <w:rFonts w:ascii="Arial" w:hAnsi="Arial" w:cs="Arial"/>
          <w:sz w:val="20"/>
          <w:szCs w:val="20"/>
          <w:lang w:eastAsia="ko-KR"/>
        </w:rPr>
        <w:t>(</w:t>
      </w:r>
      <w:r>
        <w:rPr>
          <w:rFonts w:ascii="Arial" w:hAnsi="Arial" w:cs="Arial"/>
          <w:sz w:val="20"/>
          <w:szCs w:val="20"/>
          <w:lang w:val="mn-MN" w:eastAsia="ko-KR"/>
        </w:rPr>
        <w:t>өмнөх оны мөн үетэй харьцуулбал</w:t>
      </w:r>
      <w:r w:rsidR="00DF25A9">
        <w:rPr>
          <w:rFonts w:ascii="Arial" w:hAnsi="Arial" w:cs="Arial"/>
          <w:sz w:val="20"/>
          <w:szCs w:val="20"/>
          <w:lang w:eastAsia="ko-KR"/>
        </w:rPr>
        <w:t>)</w:t>
      </w:r>
      <w:r>
        <w:rPr>
          <w:rFonts w:ascii="Arial" w:hAnsi="Arial" w:cs="Arial"/>
          <w:sz w:val="20"/>
          <w:szCs w:val="20"/>
          <w:lang w:val="mn-MN" w:eastAsia="ko-KR"/>
        </w:rPr>
        <w:t xml:space="preserve"> өсөлтийг гаргажээ. Эрдэнэс Таван Толгой компаний үйлдвэрлэлийн төлөвлөгөө хэрэгжиж эхэлбэл энэ нь энэ оны хоёрдугаар хагаст нүүрний үйлдвэрлэлийн сэргэлтэд нөлөөлнө. </w:t>
      </w:r>
    </w:p>
    <w:p w14:paraId="6178E01B" w14:textId="77777777" w:rsidR="00E02690" w:rsidRPr="00E02690" w:rsidRDefault="00E02690" w:rsidP="00786D41">
      <w:pPr>
        <w:pStyle w:val="ListParagraph"/>
        <w:ind w:left="360"/>
        <w:jc w:val="both"/>
        <w:rPr>
          <w:rFonts w:ascii="Arial" w:hAnsi="Arial" w:cs="Arial"/>
          <w:sz w:val="20"/>
          <w:szCs w:val="20"/>
          <w:lang w:eastAsia="ko-KR"/>
        </w:rPr>
      </w:pPr>
    </w:p>
    <w:p w14:paraId="753A4412" w14:textId="308406B7" w:rsidR="00C34971" w:rsidRPr="004E21C4" w:rsidRDefault="00B9066B" w:rsidP="005B7A69">
      <w:pPr>
        <w:pStyle w:val="ListParagraph"/>
        <w:numPr>
          <w:ilvl w:val="0"/>
          <w:numId w:val="1"/>
        </w:numPr>
        <w:jc w:val="both"/>
        <w:rPr>
          <w:rFonts w:ascii="Arial" w:hAnsi="Arial" w:cs="Arial"/>
          <w:sz w:val="20"/>
          <w:szCs w:val="20"/>
          <w:lang w:eastAsia="ko-KR"/>
        </w:rPr>
      </w:pPr>
      <w:r>
        <w:rPr>
          <w:rFonts w:ascii="Arial" w:hAnsi="Arial" w:cs="Arial"/>
          <w:b/>
          <w:sz w:val="20"/>
          <w:szCs w:val="20"/>
          <w:lang w:val="mn-MN" w:eastAsia="ko-KR"/>
        </w:rPr>
        <w:t xml:space="preserve">Металын хүдрийн үйлдвэрлэлийн өсөлт нь ОТ уурхайн үйлдвэрлэл эхэлсэнтэй холбоотойгоор хүчтэй байна. </w:t>
      </w:r>
      <w:r>
        <w:rPr>
          <w:rFonts w:ascii="Arial" w:hAnsi="Arial" w:cs="Arial"/>
          <w:sz w:val="20"/>
          <w:szCs w:val="20"/>
          <w:lang w:val="mn-MN" w:eastAsia="ko-KR"/>
        </w:rPr>
        <w:t xml:space="preserve">Эхний таван сарын уналтын дараа, металын үйлдвэрлэлийн өсөлт 6 дугаар сард эерэг болж, 7 болон 9 сарын хооронд 44 хувийн өсөлт гаргасан. Зэсийн үйлдвэрлэл нэгдүгээр улиралд 13 хувийн өсөлттэй байсан бол хоёрдугаар улиралд 30 хувиар, гуравдугаар улиралд 92 хувиар нэмэгдсэн. </w:t>
      </w:r>
      <w:r w:rsidR="006467A6">
        <w:rPr>
          <w:rFonts w:ascii="Arial" w:hAnsi="Arial" w:cs="Arial"/>
          <w:sz w:val="20"/>
          <w:szCs w:val="20"/>
          <w:lang w:val="mn-MN" w:eastAsia="ko-KR"/>
        </w:rPr>
        <w:t>ОТ уурхай нь хоёрдугаар улиралд 13.1 мянган тон</w:t>
      </w:r>
      <w:r w:rsidR="00B4087E">
        <w:rPr>
          <w:rFonts w:ascii="Arial" w:hAnsi="Arial" w:cs="Arial"/>
          <w:sz w:val="20"/>
          <w:szCs w:val="20"/>
          <w:lang w:val="mn-MN" w:eastAsia="ko-KR"/>
        </w:rPr>
        <w:t>н</w:t>
      </w:r>
      <w:r w:rsidR="006467A6">
        <w:rPr>
          <w:rFonts w:ascii="Arial" w:hAnsi="Arial" w:cs="Arial"/>
          <w:sz w:val="20"/>
          <w:szCs w:val="20"/>
          <w:lang w:val="mn-MN" w:eastAsia="ko-KR"/>
        </w:rPr>
        <w:t xml:space="preserve"> зэсийн баяжмал үйлдвэрлэсэн бол гуравдугаар улиралд 30.6 мянган тон</w:t>
      </w:r>
      <w:r w:rsidR="00B4087E">
        <w:rPr>
          <w:rFonts w:ascii="Arial" w:hAnsi="Arial" w:cs="Arial"/>
          <w:sz w:val="20"/>
          <w:szCs w:val="20"/>
          <w:lang w:val="mn-MN" w:eastAsia="ko-KR"/>
        </w:rPr>
        <w:t>н</w:t>
      </w:r>
      <w:r w:rsidR="006467A6">
        <w:rPr>
          <w:rFonts w:ascii="Arial" w:hAnsi="Arial" w:cs="Arial"/>
          <w:sz w:val="20"/>
          <w:szCs w:val="20"/>
          <w:lang w:val="mn-MN" w:eastAsia="ko-KR"/>
        </w:rPr>
        <w:t xml:space="preserve"> болж өссөн нь гуравдугаар улиралд зэсийн баяжмалын нийт үйлдвэрлэлийн 19 хувийг бүрдүүлж байна. Уг </w:t>
      </w:r>
      <w:r w:rsidR="00B4087E">
        <w:rPr>
          <w:rFonts w:ascii="Arial" w:hAnsi="Arial" w:cs="Arial"/>
          <w:sz w:val="20"/>
          <w:szCs w:val="20"/>
          <w:lang w:val="mn-MN" w:eastAsia="ko-KR"/>
        </w:rPr>
        <w:t xml:space="preserve">уурхайн </w:t>
      </w:r>
      <w:r w:rsidR="006467A6">
        <w:rPr>
          <w:rFonts w:ascii="Arial" w:hAnsi="Arial" w:cs="Arial"/>
          <w:sz w:val="20"/>
          <w:szCs w:val="20"/>
          <w:lang w:val="mn-MN" w:eastAsia="ko-KR"/>
        </w:rPr>
        <w:t>үйлдвэрлэл</w:t>
      </w:r>
      <w:r w:rsidR="00B4087E">
        <w:rPr>
          <w:rFonts w:ascii="Arial" w:hAnsi="Arial" w:cs="Arial"/>
          <w:sz w:val="20"/>
          <w:szCs w:val="20"/>
          <w:lang w:val="mn-MN" w:eastAsia="ko-KR"/>
        </w:rPr>
        <w:t>ээ</w:t>
      </w:r>
      <w:r w:rsidR="006467A6">
        <w:rPr>
          <w:rFonts w:ascii="Arial" w:hAnsi="Arial" w:cs="Arial"/>
          <w:sz w:val="20"/>
          <w:szCs w:val="20"/>
          <w:lang w:val="mn-MN" w:eastAsia="ko-KR"/>
        </w:rPr>
        <w:t xml:space="preserve"> нэмэгдүүлэх төлөвлөгөөр жилийн сүүлийн хагаст улам өсөхөөр байна. </w:t>
      </w:r>
    </w:p>
    <w:p w14:paraId="575265B1" w14:textId="77777777" w:rsidR="00C34971" w:rsidRPr="003A68D2" w:rsidRDefault="00C34971" w:rsidP="00C34971">
      <w:pPr>
        <w:pStyle w:val="ListParagraph"/>
        <w:rPr>
          <w:rFonts w:ascii="Arial" w:hAnsi="Arial" w:cs="Arial"/>
          <w:sz w:val="2"/>
          <w:szCs w:val="20"/>
          <w:lang w:eastAsia="ko-KR"/>
        </w:rPr>
      </w:pPr>
    </w:p>
    <w:p w14:paraId="20E50DCB" w14:textId="77777777" w:rsidR="001C5D7C" w:rsidRPr="00C34971" w:rsidRDefault="001C5D7C" w:rsidP="00C34971">
      <w:pPr>
        <w:pStyle w:val="ListParagraph"/>
        <w:rPr>
          <w:rFonts w:ascii="Arial" w:hAnsi="Arial" w:cs="Arial"/>
          <w:sz w:val="20"/>
          <w:szCs w:val="20"/>
          <w:lang w:eastAsia="ko-KR"/>
        </w:rPr>
      </w:pPr>
    </w:p>
    <w:p w14:paraId="0F141A96" w14:textId="1C1BB693" w:rsidR="002059DF" w:rsidRDefault="006467A6" w:rsidP="005B7A69">
      <w:pPr>
        <w:pStyle w:val="ListParagraph"/>
        <w:numPr>
          <w:ilvl w:val="0"/>
          <w:numId w:val="1"/>
        </w:numPr>
        <w:jc w:val="both"/>
        <w:rPr>
          <w:rFonts w:ascii="Arial" w:hAnsi="Arial" w:cs="Arial"/>
          <w:sz w:val="20"/>
          <w:szCs w:val="20"/>
          <w:lang w:eastAsia="ko-KR"/>
        </w:rPr>
      </w:pPr>
      <w:r>
        <w:rPr>
          <w:rFonts w:ascii="Arial" w:hAnsi="Arial" w:cs="Arial"/>
          <w:b/>
          <w:sz w:val="20"/>
          <w:szCs w:val="20"/>
          <w:lang w:val="mn-MN" w:eastAsia="ko-KR"/>
        </w:rPr>
        <w:t xml:space="preserve">Газрын тос болон алтны үйлдвэрлэл хүчтэй өссөн нь уул уурхайн эерэг өсөлтийг үзүүлэхэд тусаллаа. </w:t>
      </w:r>
      <w:r>
        <w:rPr>
          <w:rFonts w:ascii="Arial" w:hAnsi="Arial" w:cs="Arial"/>
          <w:sz w:val="20"/>
          <w:szCs w:val="20"/>
          <w:lang w:val="mn-MN" w:eastAsia="ko-KR"/>
        </w:rPr>
        <w:t xml:space="preserve">Газрын тосны үйлдвэрлэл нь өмнөх оны мөн үеийнхээс 1-ээс 9 дүгээр сарын хооронд 39 хувиар өссөн. Алтны үйлдвэрлэл 9 сарын хугацаанд 67.8 хувиар мөн нэмэгджээ. </w:t>
      </w:r>
    </w:p>
    <w:tbl>
      <w:tblPr>
        <w:tblW w:w="0" w:type="auto"/>
        <w:tblInd w:w="108" w:type="dxa"/>
        <w:tblLayout w:type="fixed"/>
        <w:tblLook w:val="04A0" w:firstRow="1" w:lastRow="0" w:firstColumn="1" w:lastColumn="0" w:noHBand="0" w:noVBand="1"/>
      </w:tblPr>
      <w:tblGrid>
        <w:gridCol w:w="4144"/>
        <w:gridCol w:w="420"/>
        <w:gridCol w:w="358"/>
        <w:gridCol w:w="4492"/>
      </w:tblGrid>
      <w:tr w:rsidR="003A68D2" w:rsidRPr="000A2BAB" w14:paraId="571A7B20" w14:textId="77777777" w:rsidTr="004E21C4">
        <w:trPr>
          <w:trHeight w:val="377"/>
        </w:trPr>
        <w:tc>
          <w:tcPr>
            <w:tcW w:w="4564" w:type="dxa"/>
            <w:gridSpan w:val="2"/>
            <w:tcBorders>
              <w:bottom w:val="single" w:sz="4" w:space="0" w:color="984806" w:themeColor="accent6" w:themeShade="80"/>
            </w:tcBorders>
          </w:tcPr>
          <w:p w14:paraId="6AD83F69" w14:textId="2B46332B" w:rsidR="003A68D2" w:rsidRPr="00660167" w:rsidRDefault="003A68D2" w:rsidP="00630B23">
            <w:pPr>
              <w:pStyle w:val="Caption"/>
              <w:spacing w:after="0"/>
              <w:rPr>
                <w:color w:val="auto"/>
                <w:sz w:val="16"/>
                <w:szCs w:val="16"/>
              </w:rPr>
            </w:pPr>
            <w:r>
              <w:rPr>
                <w:color w:val="auto"/>
                <w:sz w:val="16"/>
              </w:rPr>
              <w:t xml:space="preserve"> </w:t>
            </w:r>
            <w:r w:rsidR="006467A6">
              <w:rPr>
                <w:sz w:val="16"/>
                <w:szCs w:val="16"/>
                <w:lang w:val="mn-MN"/>
              </w:rPr>
              <w:t>Зураг</w:t>
            </w:r>
            <w:r w:rsidR="00D81D24" w:rsidRPr="00660167">
              <w:rPr>
                <w:sz w:val="16"/>
                <w:szCs w:val="16"/>
              </w:rPr>
              <w:t xml:space="preserve"> </w:t>
            </w:r>
            <w:r w:rsidR="002E38E0">
              <w:rPr>
                <w:sz w:val="16"/>
                <w:szCs w:val="16"/>
              </w:rPr>
              <w:fldChar w:fldCharType="begin"/>
            </w:r>
            <w:r w:rsidR="002E38E0">
              <w:rPr>
                <w:sz w:val="16"/>
                <w:szCs w:val="16"/>
              </w:rPr>
              <w:instrText xml:space="preserve"> SEQ Figure \* ARABIC </w:instrText>
            </w:r>
            <w:r w:rsidR="002E38E0">
              <w:rPr>
                <w:sz w:val="16"/>
                <w:szCs w:val="16"/>
              </w:rPr>
              <w:fldChar w:fldCharType="separate"/>
            </w:r>
            <w:r w:rsidR="002E38E0">
              <w:rPr>
                <w:noProof/>
                <w:sz w:val="16"/>
                <w:szCs w:val="16"/>
              </w:rPr>
              <w:t>9</w:t>
            </w:r>
            <w:r w:rsidR="002E38E0">
              <w:rPr>
                <w:sz w:val="16"/>
                <w:szCs w:val="16"/>
              </w:rPr>
              <w:fldChar w:fldCharType="end"/>
            </w:r>
            <w:r w:rsidR="00D81D24" w:rsidRPr="00660167">
              <w:rPr>
                <w:sz w:val="16"/>
                <w:szCs w:val="16"/>
              </w:rPr>
              <w:t xml:space="preserve">. </w:t>
            </w:r>
            <w:r w:rsidR="006467A6">
              <w:rPr>
                <w:sz w:val="16"/>
                <w:szCs w:val="16"/>
                <w:lang w:val="mn-MN"/>
              </w:rPr>
              <w:t>Уул уурхайн салбар багахан хэмжээгээр өсч, уул уурхайн бус салбарын ДНБ нь хоёр оронтой өсөлтийг бий болголоо</w:t>
            </w:r>
            <w:r w:rsidR="006467A6" w:rsidRPr="00ED4F8B" w:rsidDel="00D81D24">
              <w:rPr>
                <w:color w:val="auto"/>
                <w:sz w:val="16"/>
                <w:szCs w:val="16"/>
              </w:rPr>
              <w:t xml:space="preserve"> </w:t>
            </w:r>
          </w:p>
        </w:tc>
        <w:tc>
          <w:tcPr>
            <w:tcW w:w="358" w:type="dxa"/>
          </w:tcPr>
          <w:p w14:paraId="0505A1C0" w14:textId="77777777" w:rsidR="003A68D2" w:rsidRPr="00266CCE" w:rsidRDefault="003A68D2" w:rsidP="00630B23">
            <w:pPr>
              <w:pStyle w:val="Caption"/>
              <w:spacing w:after="0"/>
              <w:jc w:val="center"/>
              <w:rPr>
                <w:color w:val="auto"/>
                <w:sz w:val="2"/>
              </w:rPr>
            </w:pPr>
          </w:p>
        </w:tc>
        <w:tc>
          <w:tcPr>
            <w:tcW w:w="4492" w:type="dxa"/>
            <w:tcBorders>
              <w:bottom w:val="single" w:sz="4" w:space="0" w:color="984806" w:themeColor="accent6" w:themeShade="80"/>
            </w:tcBorders>
          </w:tcPr>
          <w:p w14:paraId="441AE6F1" w14:textId="473979F6" w:rsidR="003A68D2" w:rsidRPr="00660167" w:rsidRDefault="003A68D2" w:rsidP="00630B23">
            <w:pPr>
              <w:pStyle w:val="Caption"/>
              <w:keepNext/>
              <w:spacing w:after="0"/>
              <w:rPr>
                <w:sz w:val="16"/>
                <w:szCs w:val="16"/>
              </w:rPr>
            </w:pPr>
            <w:r w:rsidRPr="000A2BAB">
              <w:rPr>
                <w:color w:val="auto"/>
                <w:sz w:val="16"/>
              </w:rPr>
              <w:t xml:space="preserve"> </w:t>
            </w:r>
            <w:r w:rsidRPr="00ED4F8B">
              <w:rPr>
                <w:color w:val="auto"/>
                <w:sz w:val="16"/>
                <w:szCs w:val="16"/>
              </w:rPr>
              <w:t xml:space="preserve"> </w:t>
            </w:r>
            <w:bookmarkStart w:id="23" w:name="_Toc371338618"/>
            <w:r w:rsidR="006467A6">
              <w:rPr>
                <w:sz w:val="16"/>
                <w:szCs w:val="16"/>
                <w:lang w:val="mn-MN"/>
              </w:rPr>
              <w:t>Зураг</w:t>
            </w:r>
            <w:r w:rsidR="00D81D24" w:rsidRPr="00660167">
              <w:rPr>
                <w:sz w:val="16"/>
                <w:szCs w:val="16"/>
              </w:rPr>
              <w:t xml:space="preserve"> </w:t>
            </w:r>
            <w:r w:rsidR="002E38E0">
              <w:rPr>
                <w:sz w:val="16"/>
                <w:szCs w:val="16"/>
              </w:rPr>
              <w:fldChar w:fldCharType="begin"/>
            </w:r>
            <w:r w:rsidR="002E38E0">
              <w:rPr>
                <w:sz w:val="16"/>
                <w:szCs w:val="16"/>
              </w:rPr>
              <w:instrText xml:space="preserve"> SEQ Figure \* ARABIC </w:instrText>
            </w:r>
            <w:r w:rsidR="002E38E0">
              <w:rPr>
                <w:sz w:val="16"/>
                <w:szCs w:val="16"/>
              </w:rPr>
              <w:fldChar w:fldCharType="separate"/>
            </w:r>
            <w:r w:rsidR="002E38E0">
              <w:rPr>
                <w:noProof/>
                <w:sz w:val="16"/>
                <w:szCs w:val="16"/>
              </w:rPr>
              <w:t>10</w:t>
            </w:r>
            <w:r w:rsidR="002E38E0">
              <w:rPr>
                <w:sz w:val="16"/>
                <w:szCs w:val="16"/>
              </w:rPr>
              <w:fldChar w:fldCharType="end"/>
            </w:r>
            <w:r w:rsidR="00D81D24" w:rsidRPr="00660167">
              <w:rPr>
                <w:sz w:val="16"/>
                <w:szCs w:val="16"/>
              </w:rPr>
              <w:t xml:space="preserve">. </w:t>
            </w:r>
            <w:r w:rsidR="006467A6">
              <w:rPr>
                <w:sz w:val="16"/>
                <w:szCs w:val="16"/>
                <w:lang w:val="mn-MN"/>
              </w:rPr>
              <w:t>Сүүлийн саруудад уул уурхайн үйлдвэрлэл нэмэгдэж байна</w:t>
            </w:r>
            <w:bookmarkEnd w:id="23"/>
            <w:r w:rsidR="006467A6" w:rsidRPr="00ED4F8B" w:rsidDel="00D81D24">
              <w:rPr>
                <w:color w:val="auto"/>
                <w:sz w:val="16"/>
                <w:szCs w:val="16"/>
              </w:rPr>
              <w:t xml:space="preserve"> </w:t>
            </w:r>
          </w:p>
        </w:tc>
      </w:tr>
      <w:tr w:rsidR="003A68D2" w:rsidRPr="000A2BAB" w14:paraId="58A479D9" w14:textId="77777777" w:rsidTr="002E0109">
        <w:trPr>
          <w:trHeight w:val="2765"/>
        </w:trPr>
        <w:tc>
          <w:tcPr>
            <w:tcW w:w="4564" w:type="dxa"/>
            <w:gridSpan w:val="2"/>
            <w:tcBorders>
              <w:top w:val="single" w:sz="4" w:space="0" w:color="984806" w:themeColor="accent6" w:themeShade="80"/>
            </w:tcBorders>
          </w:tcPr>
          <w:p w14:paraId="2DF250B8" w14:textId="00E2867D" w:rsidR="003A68D2" w:rsidRPr="000A2BAB" w:rsidRDefault="003A68D2">
            <w:pPr>
              <w:pStyle w:val="NoSpacing"/>
              <w:jc w:val="both"/>
            </w:pPr>
            <w:r>
              <w:rPr>
                <w:noProof/>
              </w:rPr>
              <w:drawing>
                <wp:anchor distT="0" distB="0" distL="114300" distR="114300" simplePos="0" relativeHeight="251722240" behindDoc="0" locked="0" layoutInCell="1" allowOverlap="1" wp14:anchorId="4AD58256" wp14:editId="7A492852">
                  <wp:simplePos x="0" y="0"/>
                  <wp:positionH relativeFrom="column">
                    <wp:posOffset>-33655</wp:posOffset>
                  </wp:positionH>
                  <wp:positionV relativeFrom="paragraph">
                    <wp:posOffset>207010</wp:posOffset>
                  </wp:positionV>
                  <wp:extent cx="2865755" cy="1943100"/>
                  <wp:effectExtent l="0" t="0" r="0" b="0"/>
                  <wp:wrapSquare wrapText="bothSides"/>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r w:rsidR="006467A6">
              <w:rPr>
                <w:sz w:val="16"/>
                <w:lang w:val="mn-MN"/>
              </w:rPr>
              <w:t>Уул уурхайн болон уул уурхайн бус ДНБ өсөлт</w:t>
            </w:r>
            <w:r>
              <w:rPr>
                <w:sz w:val="16"/>
              </w:rPr>
              <w:t xml:space="preserve"> (%, </w:t>
            </w:r>
            <w:r w:rsidR="006467A6">
              <w:rPr>
                <w:sz w:val="16"/>
                <w:lang w:val="mn-MN"/>
              </w:rPr>
              <w:t>өмнөх жил.</w:t>
            </w:r>
            <w:r>
              <w:rPr>
                <w:sz w:val="16"/>
              </w:rPr>
              <w:t>)</w:t>
            </w:r>
          </w:p>
        </w:tc>
        <w:tc>
          <w:tcPr>
            <w:tcW w:w="358" w:type="dxa"/>
          </w:tcPr>
          <w:p w14:paraId="440F715E" w14:textId="77777777" w:rsidR="003A68D2" w:rsidRDefault="003A68D2" w:rsidP="00280CBB">
            <w:pPr>
              <w:pStyle w:val="NoSpacing"/>
              <w:jc w:val="both"/>
              <w:rPr>
                <w:noProof/>
                <w:sz w:val="2"/>
                <w:lang w:eastAsia="ko-KR"/>
              </w:rPr>
            </w:pPr>
          </w:p>
          <w:p w14:paraId="1F7D0AC7" w14:textId="77777777" w:rsidR="003A68D2" w:rsidRPr="00266CCE" w:rsidRDefault="003A68D2" w:rsidP="00280CBB">
            <w:pPr>
              <w:pStyle w:val="NoSpacing"/>
              <w:jc w:val="both"/>
              <w:rPr>
                <w:noProof/>
                <w:sz w:val="2"/>
                <w:lang w:eastAsia="ko-KR"/>
              </w:rPr>
            </w:pPr>
          </w:p>
        </w:tc>
        <w:tc>
          <w:tcPr>
            <w:tcW w:w="4492" w:type="dxa"/>
            <w:tcBorders>
              <w:top w:val="single" w:sz="4" w:space="0" w:color="984806" w:themeColor="accent6" w:themeShade="80"/>
            </w:tcBorders>
          </w:tcPr>
          <w:p w14:paraId="1B132FCA" w14:textId="19037885" w:rsidR="003A68D2" w:rsidRDefault="006467A6" w:rsidP="00280CBB">
            <w:pPr>
              <w:pStyle w:val="NoSpacing"/>
              <w:jc w:val="both"/>
              <w:rPr>
                <w:sz w:val="16"/>
                <w:szCs w:val="18"/>
              </w:rPr>
            </w:pPr>
            <w:r>
              <w:rPr>
                <w:sz w:val="16"/>
                <w:szCs w:val="18"/>
                <w:lang w:val="mn-MN"/>
              </w:rPr>
              <w:t>Уул уурхайн гол нэрийн бүтээгдэхүүний өсөлт</w:t>
            </w:r>
            <w:r w:rsidR="003A68D2">
              <w:rPr>
                <w:sz w:val="16"/>
                <w:szCs w:val="18"/>
              </w:rPr>
              <w:t xml:space="preserve"> (3 </w:t>
            </w:r>
            <w:r>
              <w:rPr>
                <w:sz w:val="16"/>
                <w:szCs w:val="18"/>
                <w:lang w:val="mn-MN"/>
              </w:rPr>
              <w:t>сарын гулсмал дундаж</w:t>
            </w:r>
            <w:r w:rsidR="003A68D2">
              <w:rPr>
                <w:sz w:val="16"/>
                <w:szCs w:val="18"/>
              </w:rPr>
              <w:t xml:space="preserve">, %, </w:t>
            </w:r>
            <w:r>
              <w:rPr>
                <w:sz w:val="16"/>
                <w:szCs w:val="18"/>
                <w:lang w:val="mn-MN"/>
              </w:rPr>
              <w:t>өм. жилийн мөн үетэй</w:t>
            </w:r>
            <w:r w:rsidR="003A68D2">
              <w:rPr>
                <w:sz w:val="16"/>
                <w:szCs w:val="18"/>
              </w:rPr>
              <w:t>)</w:t>
            </w:r>
          </w:p>
          <w:p w14:paraId="741ECC78" w14:textId="7C30061E" w:rsidR="00E40BA4" w:rsidRDefault="00E40BA4" w:rsidP="00280CBB">
            <w:pPr>
              <w:pStyle w:val="NoSpacing"/>
              <w:jc w:val="both"/>
              <w:rPr>
                <w:sz w:val="16"/>
                <w:szCs w:val="18"/>
              </w:rPr>
            </w:pPr>
          </w:p>
          <w:p w14:paraId="4A1D1466" w14:textId="54025CF1" w:rsidR="003A68D2" w:rsidRPr="000A2BAB" w:rsidRDefault="002E0109" w:rsidP="00280CBB">
            <w:pPr>
              <w:pStyle w:val="NoSpacing"/>
              <w:jc w:val="both"/>
            </w:pPr>
            <w:r>
              <w:rPr>
                <w:noProof/>
              </w:rPr>
              <w:drawing>
                <wp:inline distT="0" distB="0" distL="0" distR="0" wp14:anchorId="435E4519" wp14:editId="794C761C">
                  <wp:extent cx="2774950" cy="1778000"/>
                  <wp:effectExtent l="0" t="0" r="6350" b="0"/>
                  <wp:docPr id="356" name="Chart 35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c>
      </w:tr>
      <w:tr w:rsidR="003A68D2" w:rsidRPr="000A2BAB" w14:paraId="78074B02" w14:textId="77777777" w:rsidTr="00106963">
        <w:trPr>
          <w:trHeight w:val="70"/>
        </w:trPr>
        <w:tc>
          <w:tcPr>
            <w:tcW w:w="4144" w:type="dxa"/>
          </w:tcPr>
          <w:p w14:paraId="38E37025" w14:textId="22E3EBEE" w:rsidR="003A68D2" w:rsidRPr="000A2BAB" w:rsidRDefault="006467A6" w:rsidP="00280CBB">
            <w:pPr>
              <w:pStyle w:val="NoSpacing"/>
              <w:jc w:val="both"/>
              <w:rPr>
                <w:sz w:val="14"/>
                <w:szCs w:val="18"/>
              </w:rPr>
            </w:pPr>
            <w:r>
              <w:rPr>
                <w:i/>
                <w:sz w:val="14"/>
                <w:szCs w:val="18"/>
                <w:lang w:val="mn-MN"/>
              </w:rPr>
              <w:t>Эх үүсвэр</w:t>
            </w:r>
            <w:r w:rsidRPr="000A2BAB">
              <w:rPr>
                <w:i/>
                <w:sz w:val="14"/>
                <w:szCs w:val="18"/>
              </w:rPr>
              <w:t>:</w:t>
            </w:r>
            <w:r w:rsidRPr="000A2BAB">
              <w:rPr>
                <w:sz w:val="14"/>
                <w:szCs w:val="18"/>
              </w:rPr>
              <w:t xml:space="preserve"> </w:t>
            </w:r>
            <w:r>
              <w:rPr>
                <w:sz w:val="14"/>
                <w:szCs w:val="18"/>
                <w:lang w:val="mn-MN"/>
              </w:rPr>
              <w:t>ҮСХ эмхэтгэл, ДБ-ны мэргэжилтнүүдийн тооцоо</w:t>
            </w:r>
          </w:p>
        </w:tc>
        <w:tc>
          <w:tcPr>
            <w:tcW w:w="420" w:type="dxa"/>
          </w:tcPr>
          <w:p w14:paraId="08520E04" w14:textId="77777777" w:rsidR="003A68D2" w:rsidRPr="00266CCE" w:rsidRDefault="003A68D2" w:rsidP="00280CBB">
            <w:pPr>
              <w:pStyle w:val="NoSpacing"/>
              <w:jc w:val="both"/>
              <w:rPr>
                <w:i/>
                <w:sz w:val="2"/>
                <w:szCs w:val="18"/>
              </w:rPr>
            </w:pPr>
          </w:p>
        </w:tc>
        <w:tc>
          <w:tcPr>
            <w:tcW w:w="4850" w:type="dxa"/>
            <w:gridSpan w:val="2"/>
          </w:tcPr>
          <w:p w14:paraId="4EF0695F" w14:textId="77777777" w:rsidR="003A68D2" w:rsidRPr="000A2BAB" w:rsidRDefault="003A68D2" w:rsidP="00280CBB">
            <w:pPr>
              <w:pStyle w:val="NoSpacing"/>
              <w:jc w:val="both"/>
              <w:rPr>
                <w:sz w:val="14"/>
              </w:rPr>
            </w:pPr>
          </w:p>
        </w:tc>
      </w:tr>
    </w:tbl>
    <w:p w14:paraId="1B98EEFA" w14:textId="77777777" w:rsidR="003A68D2" w:rsidRDefault="003A68D2" w:rsidP="00524F5D">
      <w:pPr>
        <w:jc w:val="both"/>
        <w:rPr>
          <w:rFonts w:ascii="Arial" w:hAnsi="Arial" w:cs="Arial"/>
          <w:b/>
          <w:sz w:val="20"/>
          <w:szCs w:val="20"/>
          <w:lang w:eastAsia="ko-KR"/>
        </w:rPr>
      </w:pPr>
      <w:bookmarkStart w:id="24" w:name="_Toc351755533"/>
    </w:p>
    <w:p w14:paraId="1B493D3F" w14:textId="4090ADAC" w:rsidR="00524F5D" w:rsidRDefault="006467A6" w:rsidP="00E40BA4">
      <w:pPr>
        <w:spacing w:before="240"/>
        <w:jc w:val="both"/>
        <w:rPr>
          <w:rFonts w:ascii="Arial" w:hAnsi="Arial" w:cs="Arial"/>
          <w:b/>
          <w:sz w:val="20"/>
          <w:szCs w:val="20"/>
          <w:lang w:eastAsia="ko-KR"/>
        </w:rPr>
      </w:pPr>
      <w:r>
        <w:rPr>
          <w:rFonts w:ascii="Arial" w:hAnsi="Arial" w:cs="Arial"/>
          <w:b/>
          <w:sz w:val="20"/>
          <w:szCs w:val="20"/>
          <w:lang w:val="mn-MN" w:eastAsia="ko-KR"/>
        </w:rPr>
        <w:t xml:space="preserve">Зардлын талаас нь харвал, хүчтэй урамшууллын арга хэмжээний үр дүнд дотоодын хэрэглээгээр дамжин өндөр өсөлтөд хүрсэн. </w:t>
      </w:r>
      <w:r>
        <w:rPr>
          <w:rFonts w:ascii="Arial" w:hAnsi="Arial" w:cs="Arial"/>
          <w:sz w:val="20"/>
          <w:szCs w:val="20"/>
          <w:lang w:val="mn-MN"/>
        </w:rPr>
        <w:t xml:space="preserve">2013 оны эхний хагаст эцсийн хэрэглээ нь 16.5 хувь өссөн нь </w:t>
      </w:r>
      <w:r>
        <w:rPr>
          <w:rFonts w:ascii="Arial" w:hAnsi="Arial" w:cs="Arial"/>
          <w:sz w:val="20"/>
          <w:szCs w:val="20"/>
        </w:rPr>
        <w:t>(</w:t>
      </w:r>
      <w:r>
        <w:rPr>
          <w:rFonts w:ascii="Arial" w:hAnsi="Arial" w:cs="Arial"/>
          <w:sz w:val="20"/>
          <w:szCs w:val="20"/>
          <w:lang w:val="mn-MN"/>
        </w:rPr>
        <w:t>өмнөх оны мөн үетэй харьцуулбал</w:t>
      </w:r>
      <w:r>
        <w:rPr>
          <w:rFonts w:ascii="Arial" w:hAnsi="Arial" w:cs="Arial"/>
          <w:sz w:val="20"/>
          <w:szCs w:val="20"/>
        </w:rPr>
        <w:t>)</w:t>
      </w:r>
      <w:r>
        <w:rPr>
          <w:rFonts w:ascii="Arial" w:hAnsi="Arial" w:cs="Arial"/>
          <w:sz w:val="20"/>
          <w:szCs w:val="20"/>
          <w:lang w:val="mn-MN"/>
        </w:rPr>
        <w:t xml:space="preserve"> хоёрдугаар улиралд 25.8 хувийн өсөлт гаргасантай холбоотой</w:t>
      </w:r>
      <w:r w:rsidR="00524F5D">
        <w:rPr>
          <w:rFonts w:ascii="Arial" w:hAnsi="Arial" w:cs="Arial"/>
          <w:sz w:val="20"/>
          <w:szCs w:val="20"/>
        </w:rPr>
        <w:t xml:space="preserve"> – </w:t>
      </w:r>
      <w:r>
        <w:rPr>
          <w:rFonts w:ascii="Arial" w:hAnsi="Arial" w:cs="Arial"/>
          <w:sz w:val="20"/>
          <w:szCs w:val="20"/>
          <w:lang w:val="mn-MN"/>
        </w:rPr>
        <w:t>энэ нь 2008 оноос хойших улирлын хамгийн өндөр өсөлт</w:t>
      </w:r>
      <w:r w:rsidR="00524F5D">
        <w:rPr>
          <w:rFonts w:ascii="Arial" w:hAnsi="Arial" w:cs="Arial"/>
          <w:sz w:val="20"/>
          <w:szCs w:val="20"/>
        </w:rPr>
        <w:t xml:space="preserve"> – </w:t>
      </w:r>
      <w:r>
        <w:rPr>
          <w:rFonts w:ascii="Arial" w:hAnsi="Arial" w:cs="Arial"/>
          <w:sz w:val="20"/>
          <w:szCs w:val="20"/>
          <w:lang w:val="mn-MN"/>
        </w:rPr>
        <w:t>бөгөөд нэгдүгээр улирал</w:t>
      </w:r>
      <w:r w:rsidR="00B4087E">
        <w:rPr>
          <w:rFonts w:ascii="Arial" w:hAnsi="Arial" w:cs="Arial"/>
          <w:sz w:val="20"/>
          <w:szCs w:val="20"/>
          <w:lang w:val="mn-MN"/>
        </w:rPr>
        <w:t>д</w:t>
      </w:r>
      <w:r>
        <w:rPr>
          <w:rFonts w:ascii="Arial" w:hAnsi="Arial" w:cs="Arial"/>
          <w:sz w:val="20"/>
          <w:szCs w:val="20"/>
          <w:lang w:val="mn-MN"/>
        </w:rPr>
        <w:t xml:space="preserve"> түүний өсөлт нь </w:t>
      </w:r>
      <w:r w:rsidR="00524F5D">
        <w:rPr>
          <w:rFonts w:ascii="Arial" w:hAnsi="Arial" w:cs="Arial"/>
          <w:sz w:val="20"/>
          <w:szCs w:val="20"/>
        </w:rPr>
        <w:t xml:space="preserve">6.6 </w:t>
      </w:r>
      <w:r>
        <w:rPr>
          <w:rFonts w:ascii="Arial" w:hAnsi="Arial" w:cs="Arial"/>
          <w:sz w:val="20"/>
          <w:szCs w:val="20"/>
          <w:lang w:val="mn-MN"/>
        </w:rPr>
        <w:t>хувь байсан</w:t>
      </w:r>
      <w:r w:rsidR="00106963">
        <w:rPr>
          <w:rFonts w:ascii="Arial" w:hAnsi="Arial" w:cs="Arial"/>
          <w:sz w:val="20"/>
          <w:szCs w:val="20"/>
        </w:rPr>
        <w:t xml:space="preserve"> (</w:t>
      </w:r>
      <w:r>
        <w:rPr>
          <w:rFonts w:ascii="Arial" w:hAnsi="Arial" w:cs="Arial"/>
          <w:sz w:val="20"/>
          <w:szCs w:val="20"/>
          <w:lang w:val="mn-MN"/>
        </w:rPr>
        <w:t>Зураг</w:t>
      </w:r>
      <w:r>
        <w:rPr>
          <w:rFonts w:ascii="Arial" w:hAnsi="Arial" w:cs="Arial"/>
          <w:sz w:val="20"/>
          <w:szCs w:val="20"/>
        </w:rPr>
        <w:t xml:space="preserve"> </w:t>
      </w:r>
      <w:r w:rsidR="00106963">
        <w:rPr>
          <w:rFonts w:ascii="Arial" w:hAnsi="Arial" w:cs="Arial"/>
          <w:sz w:val="20"/>
          <w:szCs w:val="20"/>
        </w:rPr>
        <w:t xml:space="preserve">11). </w:t>
      </w:r>
      <w:r>
        <w:rPr>
          <w:rFonts w:ascii="Arial" w:hAnsi="Arial" w:cs="Arial"/>
          <w:sz w:val="20"/>
          <w:szCs w:val="20"/>
          <w:lang w:val="mn-MN"/>
        </w:rPr>
        <w:t xml:space="preserve">Түүнчлэн дотоодын хөрөнгө оруулалт нь </w:t>
      </w:r>
      <w:r w:rsidR="00524F5D" w:rsidRPr="00C67A76">
        <w:rPr>
          <w:rFonts w:ascii="Arial" w:hAnsi="Arial" w:cs="Arial"/>
          <w:sz w:val="20"/>
          <w:szCs w:val="20"/>
        </w:rPr>
        <w:t xml:space="preserve">– </w:t>
      </w:r>
      <w:r>
        <w:rPr>
          <w:rFonts w:ascii="Arial" w:hAnsi="Arial" w:cs="Arial"/>
          <w:sz w:val="20"/>
          <w:szCs w:val="20"/>
          <w:lang w:val="mn-MN"/>
        </w:rPr>
        <w:t xml:space="preserve">сүүлийн хоёр жилд өндөр өсөлтөд хүргэж байсан бол </w:t>
      </w:r>
      <w:r w:rsidR="00524F5D" w:rsidRPr="00C67A76">
        <w:rPr>
          <w:rFonts w:ascii="Arial" w:hAnsi="Arial" w:cs="Arial"/>
          <w:sz w:val="20"/>
          <w:szCs w:val="20"/>
        </w:rPr>
        <w:t xml:space="preserve">– </w:t>
      </w:r>
      <w:r>
        <w:rPr>
          <w:rFonts w:ascii="Arial" w:hAnsi="Arial" w:cs="Arial"/>
          <w:sz w:val="20"/>
          <w:szCs w:val="20"/>
          <w:lang w:val="mn-MN"/>
        </w:rPr>
        <w:t xml:space="preserve">гадаадын хөрөнгө оруулалт буурсны улмаас эрчээ алдсан байна. </w:t>
      </w:r>
      <w:r w:rsidR="006200E5">
        <w:rPr>
          <w:rFonts w:ascii="Arial" w:hAnsi="Arial" w:cs="Arial"/>
          <w:sz w:val="20"/>
          <w:szCs w:val="20"/>
          <w:lang w:val="mn-MN"/>
        </w:rPr>
        <w:t xml:space="preserve">Оны эхээр ОТ уурхайн хөрөнгө оруулалтын эхний үе шат дууссантай холбоотойгоор хоёрдугаар улиралд барилгын салбарт өндөр өсөлт гарсан ч эхний </w:t>
      </w:r>
      <w:r w:rsidR="006200E5">
        <w:rPr>
          <w:rFonts w:ascii="Arial" w:hAnsi="Arial" w:cs="Arial"/>
          <w:sz w:val="20"/>
          <w:szCs w:val="20"/>
          <w:lang w:val="mn-MN"/>
        </w:rPr>
        <w:lastRenderedPageBreak/>
        <w:t xml:space="preserve">хагаст дотоодын хөрөнгө оруулалт 16 хувиар буурчээ. </w:t>
      </w:r>
      <w:r w:rsidR="00524F5D">
        <w:rPr>
          <w:rFonts w:ascii="Arial" w:hAnsi="Arial" w:cs="Arial"/>
          <w:sz w:val="20"/>
          <w:szCs w:val="20"/>
        </w:rPr>
        <w:t xml:space="preserve">2011 </w:t>
      </w:r>
      <w:r w:rsidR="006200E5">
        <w:rPr>
          <w:rFonts w:ascii="Arial" w:hAnsi="Arial" w:cs="Arial"/>
          <w:sz w:val="20"/>
          <w:szCs w:val="20"/>
          <w:lang w:val="mn-MN"/>
        </w:rPr>
        <w:t>болон</w:t>
      </w:r>
      <w:r w:rsidR="006200E5">
        <w:rPr>
          <w:rFonts w:ascii="Arial" w:hAnsi="Arial" w:cs="Arial"/>
          <w:sz w:val="20"/>
          <w:szCs w:val="20"/>
        </w:rPr>
        <w:t xml:space="preserve"> </w:t>
      </w:r>
      <w:r w:rsidR="00524F5D">
        <w:rPr>
          <w:rFonts w:ascii="Arial" w:hAnsi="Arial" w:cs="Arial"/>
          <w:sz w:val="20"/>
          <w:szCs w:val="20"/>
        </w:rPr>
        <w:t>2012</w:t>
      </w:r>
      <w:r w:rsidR="006200E5">
        <w:rPr>
          <w:rFonts w:ascii="Arial" w:hAnsi="Arial" w:cs="Arial"/>
          <w:sz w:val="20"/>
          <w:szCs w:val="20"/>
          <w:lang w:val="mn-MN"/>
        </w:rPr>
        <w:t xml:space="preserve"> онуудад</w:t>
      </w:r>
      <w:r w:rsidR="00524F5D">
        <w:rPr>
          <w:rFonts w:ascii="Arial" w:hAnsi="Arial" w:cs="Arial"/>
          <w:sz w:val="20"/>
          <w:szCs w:val="20"/>
        </w:rPr>
        <w:t xml:space="preserve">, </w:t>
      </w:r>
      <w:r w:rsidR="006200E5">
        <w:rPr>
          <w:rFonts w:ascii="Arial" w:hAnsi="Arial" w:cs="Arial"/>
          <w:sz w:val="20"/>
          <w:szCs w:val="20"/>
          <w:lang w:val="mn-MN"/>
        </w:rPr>
        <w:t xml:space="preserve">дотоодын хөрөнгө оруулалт 2011 онд 64 хувиар, 2012 онд 24 хувиар нэмэгдэж өсөлтөд нөлөөлж байжээ. </w:t>
      </w:r>
    </w:p>
    <w:p w14:paraId="63BF5E5F" w14:textId="568F347E" w:rsidR="00106963" w:rsidRDefault="000D45D7" w:rsidP="00E40BA4">
      <w:pPr>
        <w:spacing w:before="240"/>
        <w:jc w:val="both"/>
        <w:rPr>
          <w:rFonts w:ascii="Arial" w:hAnsi="Arial" w:cs="Arial"/>
          <w:sz w:val="20"/>
          <w:szCs w:val="20"/>
        </w:rPr>
      </w:pPr>
      <w:r>
        <w:rPr>
          <w:rFonts w:ascii="Arial" w:hAnsi="Arial" w:cs="Arial"/>
          <w:b/>
          <w:sz w:val="20"/>
          <w:szCs w:val="20"/>
          <w:lang w:val="mn-MN" w:eastAsia="ko-KR"/>
        </w:rPr>
        <w:t xml:space="preserve">Барилгын салбарын өсөлтөөр бий болсон, хэрэглээнд чиглэсэн хоёр оронтой өсөлт нь төлбөрийн тэнцлийн дарамт нэмэгдэж буй энэ үед эдийн засгийн тогтвортой өсөлтөд санаа зовох асуудлыг бий болгож байна. </w:t>
      </w:r>
      <w:r>
        <w:rPr>
          <w:rFonts w:ascii="Arial" w:hAnsi="Arial" w:cs="Arial"/>
          <w:sz w:val="20"/>
          <w:szCs w:val="20"/>
          <w:lang w:val="mn-MN"/>
        </w:rPr>
        <w:t>Дотоодын аж үйлдвэрлэл нийлүүлэлтийн хүчин чадал багатай боловч уул уурхайн экспорт сул байгаа үед дотоодын эрэлт нэмэгдэх нь ойлгомжтой зайлшгүй үр дагаварт хүргэ</w:t>
      </w:r>
      <w:r w:rsidR="00B4087E">
        <w:rPr>
          <w:rFonts w:ascii="Arial" w:hAnsi="Arial" w:cs="Arial"/>
          <w:sz w:val="20"/>
          <w:szCs w:val="20"/>
          <w:lang w:val="mn-MN"/>
        </w:rPr>
        <w:t>дэг</w:t>
      </w:r>
      <w:r>
        <w:rPr>
          <w:rFonts w:ascii="Arial" w:hAnsi="Arial" w:cs="Arial"/>
          <w:sz w:val="20"/>
          <w:szCs w:val="20"/>
          <w:lang w:val="mn-MN"/>
        </w:rPr>
        <w:t xml:space="preserve"> нь </w:t>
      </w:r>
      <w:r w:rsidR="001C46CC">
        <w:rPr>
          <w:rFonts w:ascii="Arial" w:hAnsi="Arial" w:cs="Arial"/>
          <w:sz w:val="20"/>
          <w:szCs w:val="20"/>
        </w:rPr>
        <w:t>–</w:t>
      </w:r>
      <w:r w:rsidR="00524F5D">
        <w:rPr>
          <w:rFonts w:ascii="Arial" w:hAnsi="Arial" w:cs="Arial"/>
          <w:sz w:val="20"/>
          <w:szCs w:val="20"/>
        </w:rPr>
        <w:t xml:space="preserve"> </w:t>
      </w:r>
      <w:r>
        <w:rPr>
          <w:rFonts w:ascii="Arial" w:hAnsi="Arial" w:cs="Arial"/>
          <w:sz w:val="20"/>
          <w:szCs w:val="20"/>
          <w:lang w:val="mn-MN"/>
        </w:rPr>
        <w:t xml:space="preserve">ихээхэн хэмжээний урсгал дансны алдагдал </w:t>
      </w:r>
      <w:r w:rsidR="00B4087E">
        <w:rPr>
          <w:rFonts w:ascii="Arial" w:hAnsi="Arial" w:cs="Arial"/>
          <w:sz w:val="20"/>
          <w:szCs w:val="20"/>
          <w:lang w:val="mn-MN"/>
        </w:rPr>
        <w:t>юм</w:t>
      </w:r>
      <w:r>
        <w:rPr>
          <w:rFonts w:ascii="Arial" w:hAnsi="Arial" w:cs="Arial"/>
          <w:sz w:val="20"/>
          <w:szCs w:val="20"/>
          <w:lang w:val="mn-MN"/>
        </w:rPr>
        <w:t xml:space="preserve">. 2011 оноос эхлэн эдийн засаг хоёр оронтой тоогоор өсөхөд, уул уурхайн экспортын өсөлт нь </w:t>
      </w:r>
      <w:r w:rsidR="00B4087E">
        <w:rPr>
          <w:rFonts w:ascii="Arial" w:hAnsi="Arial" w:cs="Arial"/>
          <w:sz w:val="20"/>
          <w:szCs w:val="20"/>
          <w:lang w:val="mn-MN"/>
        </w:rPr>
        <w:t xml:space="preserve">улам </w:t>
      </w:r>
      <w:r>
        <w:rPr>
          <w:rFonts w:ascii="Arial" w:hAnsi="Arial" w:cs="Arial"/>
          <w:sz w:val="20"/>
          <w:szCs w:val="20"/>
          <w:lang w:val="mn-MN"/>
        </w:rPr>
        <w:t>нэмэгдэж байгаа импортын өсөлтөө гүйцэхгүй урсгал дансны алдагдлыг ДНБ-ий 30 гаран хувьд хүргэж байсан</w:t>
      </w:r>
      <w:r w:rsidR="00E40BA4">
        <w:rPr>
          <w:rFonts w:ascii="Arial" w:hAnsi="Arial" w:cs="Arial"/>
          <w:sz w:val="20"/>
          <w:szCs w:val="20"/>
        </w:rPr>
        <w:t xml:space="preserve"> (</w:t>
      </w:r>
      <w:r>
        <w:rPr>
          <w:rFonts w:ascii="Arial" w:hAnsi="Arial" w:cs="Arial"/>
          <w:sz w:val="20"/>
          <w:szCs w:val="20"/>
          <w:lang w:val="mn-MN"/>
        </w:rPr>
        <w:t>Зураг</w:t>
      </w:r>
      <w:r>
        <w:rPr>
          <w:rFonts w:ascii="Arial" w:hAnsi="Arial" w:cs="Arial"/>
          <w:sz w:val="20"/>
          <w:szCs w:val="20"/>
        </w:rPr>
        <w:t xml:space="preserve"> </w:t>
      </w:r>
      <w:r w:rsidR="00E40BA4">
        <w:rPr>
          <w:rFonts w:ascii="Arial" w:hAnsi="Arial" w:cs="Arial"/>
          <w:sz w:val="20"/>
          <w:szCs w:val="20"/>
        </w:rPr>
        <w:t xml:space="preserve">12). </w:t>
      </w:r>
      <w:r>
        <w:rPr>
          <w:rFonts w:ascii="Arial" w:hAnsi="Arial" w:cs="Arial"/>
          <w:sz w:val="20"/>
          <w:szCs w:val="20"/>
          <w:lang w:val="mn-MN"/>
        </w:rPr>
        <w:t xml:space="preserve">Одоогийн өндөр өсөлт нь дунд болон урт хугацаанд тогтворгүй бөгөөд гадаадын хөрөнгийн дотогшлох урсгалд томоохон сэргэлт гарахгүй эсвэл дэлхийн уул уурхайн зах зээл сэргэхгүй бол урсгал дансны алдагдал үргэлжлэх нь хэвээрээ байна. </w:t>
      </w:r>
    </w:p>
    <w:tbl>
      <w:tblPr>
        <w:tblpPr w:leftFromText="180" w:rightFromText="180" w:vertAnchor="text" w:horzAnchor="margin" w:tblpY="378"/>
        <w:tblW w:w="0" w:type="auto"/>
        <w:tblLook w:val="04A0" w:firstRow="1" w:lastRow="0" w:firstColumn="1" w:lastColumn="0" w:noHBand="0" w:noVBand="1"/>
      </w:tblPr>
      <w:tblGrid>
        <w:gridCol w:w="3860"/>
        <w:gridCol w:w="507"/>
        <w:gridCol w:w="236"/>
        <w:gridCol w:w="4865"/>
      </w:tblGrid>
      <w:tr w:rsidR="00B4087E" w:rsidRPr="000A2BAB" w14:paraId="6F665B6F" w14:textId="77777777" w:rsidTr="00B4087E">
        <w:tc>
          <w:tcPr>
            <w:tcW w:w="4367" w:type="dxa"/>
            <w:gridSpan w:val="2"/>
            <w:tcBorders>
              <w:bottom w:val="single" w:sz="4" w:space="0" w:color="984806" w:themeColor="accent6" w:themeShade="80"/>
            </w:tcBorders>
          </w:tcPr>
          <w:p w14:paraId="11B60673" w14:textId="77777777" w:rsidR="00B4087E" w:rsidRPr="000A2BAB" w:rsidRDefault="00B4087E" w:rsidP="00630B23">
            <w:pPr>
              <w:pStyle w:val="Caption"/>
              <w:spacing w:after="0"/>
              <w:rPr>
                <w:color w:val="auto"/>
              </w:rPr>
            </w:pPr>
            <w:bookmarkStart w:id="25" w:name="_Toc371338619"/>
            <w:r>
              <w:rPr>
                <w:sz w:val="16"/>
                <w:szCs w:val="16"/>
                <w:lang w:val="mn-MN"/>
              </w:rPr>
              <w:t>Зураг</w:t>
            </w:r>
            <w:r w:rsidRPr="00660167">
              <w:rPr>
                <w:sz w:val="16"/>
                <w:szCs w:val="16"/>
              </w:rPr>
              <w:t xml:space="preserve"> </w:t>
            </w:r>
            <w:r>
              <w:rPr>
                <w:sz w:val="16"/>
                <w:szCs w:val="16"/>
              </w:rPr>
              <w:fldChar w:fldCharType="begin"/>
            </w:r>
            <w:r>
              <w:rPr>
                <w:sz w:val="16"/>
                <w:szCs w:val="16"/>
              </w:rPr>
              <w:instrText xml:space="preserve"> SEQ Figure \* ARABIC </w:instrText>
            </w:r>
            <w:r>
              <w:rPr>
                <w:sz w:val="16"/>
                <w:szCs w:val="16"/>
              </w:rPr>
              <w:fldChar w:fldCharType="separate"/>
            </w:r>
            <w:r>
              <w:rPr>
                <w:noProof/>
                <w:sz w:val="16"/>
                <w:szCs w:val="16"/>
              </w:rPr>
              <w:t>11</w:t>
            </w:r>
            <w:r>
              <w:rPr>
                <w:sz w:val="16"/>
                <w:szCs w:val="16"/>
              </w:rPr>
              <w:fldChar w:fldCharType="end"/>
            </w:r>
            <w:r w:rsidRPr="00660167">
              <w:rPr>
                <w:sz w:val="16"/>
                <w:szCs w:val="16"/>
              </w:rPr>
              <w:t xml:space="preserve">. </w:t>
            </w:r>
            <w:r>
              <w:rPr>
                <w:sz w:val="16"/>
                <w:szCs w:val="16"/>
                <w:lang w:val="mn-MN"/>
              </w:rPr>
              <w:t>Хоёр оронтой өсөлтийг хүчтэй дотоодын хэрэглээнээс бий болгожээ</w:t>
            </w:r>
            <w:r w:rsidRPr="004B523E">
              <w:rPr>
                <w:sz w:val="16"/>
                <w:szCs w:val="16"/>
              </w:rPr>
              <w:t xml:space="preserve"> </w:t>
            </w:r>
            <w:r w:rsidRPr="00660167">
              <w:rPr>
                <w:sz w:val="16"/>
                <w:szCs w:val="16"/>
              </w:rPr>
              <w:t>…</w:t>
            </w:r>
            <w:bookmarkEnd w:id="25"/>
          </w:p>
        </w:tc>
        <w:tc>
          <w:tcPr>
            <w:tcW w:w="236" w:type="dxa"/>
          </w:tcPr>
          <w:p w14:paraId="0F223383" w14:textId="77777777" w:rsidR="00B4087E" w:rsidRPr="00266CCE" w:rsidRDefault="00B4087E" w:rsidP="00630B23">
            <w:pPr>
              <w:pStyle w:val="Caption"/>
              <w:spacing w:after="0"/>
              <w:jc w:val="center"/>
              <w:rPr>
                <w:color w:val="auto"/>
                <w:sz w:val="2"/>
              </w:rPr>
            </w:pPr>
          </w:p>
        </w:tc>
        <w:tc>
          <w:tcPr>
            <w:tcW w:w="4865" w:type="dxa"/>
            <w:tcBorders>
              <w:bottom w:val="single" w:sz="4" w:space="0" w:color="984806" w:themeColor="accent6" w:themeShade="80"/>
            </w:tcBorders>
          </w:tcPr>
          <w:p w14:paraId="2E1ED1E0" w14:textId="77777777" w:rsidR="00B4087E" w:rsidRPr="000A2BAB" w:rsidRDefault="00B4087E" w:rsidP="00630B23">
            <w:pPr>
              <w:pStyle w:val="Caption"/>
              <w:keepNext/>
              <w:spacing w:after="0"/>
              <w:jc w:val="both"/>
            </w:pPr>
            <w:r>
              <w:rPr>
                <w:color w:val="auto"/>
                <w:sz w:val="16"/>
              </w:rPr>
              <w:t xml:space="preserve"> </w:t>
            </w:r>
            <w:bookmarkStart w:id="26" w:name="_Toc371338620"/>
            <w:r>
              <w:rPr>
                <w:sz w:val="16"/>
                <w:szCs w:val="16"/>
                <w:lang w:val="mn-MN"/>
              </w:rPr>
              <w:t>Зураг</w:t>
            </w:r>
            <w:r w:rsidRPr="00660167">
              <w:rPr>
                <w:sz w:val="16"/>
                <w:szCs w:val="16"/>
              </w:rPr>
              <w:t xml:space="preserve"> </w:t>
            </w:r>
            <w:r>
              <w:rPr>
                <w:sz w:val="16"/>
                <w:szCs w:val="16"/>
              </w:rPr>
              <w:fldChar w:fldCharType="begin"/>
            </w:r>
            <w:r>
              <w:rPr>
                <w:sz w:val="16"/>
                <w:szCs w:val="16"/>
              </w:rPr>
              <w:instrText xml:space="preserve"> SEQ Figure \* ARABIC </w:instrText>
            </w:r>
            <w:r>
              <w:rPr>
                <w:sz w:val="16"/>
                <w:szCs w:val="16"/>
              </w:rPr>
              <w:fldChar w:fldCharType="separate"/>
            </w:r>
            <w:r>
              <w:rPr>
                <w:noProof/>
                <w:sz w:val="16"/>
                <w:szCs w:val="16"/>
              </w:rPr>
              <w:t>12</w:t>
            </w:r>
            <w:r>
              <w:rPr>
                <w:sz w:val="16"/>
                <w:szCs w:val="16"/>
              </w:rPr>
              <w:fldChar w:fldCharType="end"/>
            </w:r>
            <w:r w:rsidRPr="00660167">
              <w:rPr>
                <w:sz w:val="16"/>
                <w:szCs w:val="16"/>
              </w:rPr>
              <w:t xml:space="preserve">. … </w:t>
            </w:r>
            <w:r>
              <w:rPr>
                <w:sz w:val="16"/>
                <w:szCs w:val="16"/>
                <w:lang w:val="mn-MN"/>
              </w:rPr>
              <w:t>гэвч томоохон урсгал дансны алдагдлыг дагуулсан байна</w:t>
            </w:r>
            <w:bookmarkEnd w:id="26"/>
          </w:p>
        </w:tc>
      </w:tr>
      <w:tr w:rsidR="00B4087E" w:rsidRPr="000A2BAB" w14:paraId="102E73A1" w14:textId="77777777" w:rsidTr="00B4087E">
        <w:tc>
          <w:tcPr>
            <w:tcW w:w="4367" w:type="dxa"/>
            <w:gridSpan w:val="2"/>
            <w:tcBorders>
              <w:top w:val="single" w:sz="4" w:space="0" w:color="984806" w:themeColor="accent6" w:themeShade="80"/>
            </w:tcBorders>
          </w:tcPr>
          <w:p w14:paraId="44CEA217" w14:textId="77777777" w:rsidR="00B4087E" w:rsidRPr="000A2BAB" w:rsidRDefault="00B4087E" w:rsidP="00B4087E">
            <w:pPr>
              <w:pStyle w:val="NoSpacing"/>
              <w:jc w:val="both"/>
            </w:pPr>
            <w:r>
              <w:rPr>
                <w:noProof/>
              </w:rPr>
              <w:drawing>
                <wp:anchor distT="0" distB="0" distL="114300" distR="114300" simplePos="0" relativeHeight="251780608" behindDoc="0" locked="0" layoutInCell="1" allowOverlap="1" wp14:anchorId="499F6D6B" wp14:editId="066A8A95">
                  <wp:simplePos x="0" y="0"/>
                  <wp:positionH relativeFrom="column">
                    <wp:posOffset>-68580</wp:posOffset>
                  </wp:positionH>
                  <wp:positionV relativeFrom="paragraph">
                    <wp:posOffset>282575</wp:posOffset>
                  </wp:positionV>
                  <wp:extent cx="2525395" cy="1817370"/>
                  <wp:effectExtent l="0" t="0" r="8255" b="0"/>
                  <wp:wrapSquare wrapText="bothSides"/>
                  <wp:docPr id="349" name="Chart 34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page">
                    <wp14:pctWidth>0</wp14:pctWidth>
                  </wp14:sizeRelH>
                  <wp14:sizeRelV relativeFrom="page">
                    <wp14:pctHeight>0</wp14:pctHeight>
                  </wp14:sizeRelV>
                </wp:anchor>
              </w:drawing>
            </w:r>
            <w:r>
              <w:rPr>
                <w:sz w:val="16"/>
                <w:lang w:val="mn-MN"/>
              </w:rPr>
              <w:t>Зардлын бүрэлдэхүүн хэсгүүдийн өсөлтөд үзүүлэх нөлөө</w:t>
            </w:r>
            <w:r>
              <w:rPr>
                <w:sz w:val="16"/>
              </w:rPr>
              <w:t xml:space="preserve"> (</w:t>
            </w:r>
            <w:r>
              <w:rPr>
                <w:sz w:val="16"/>
                <w:lang w:val="mn-MN"/>
              </w:rPr>
              <w:t>2 дугаар улирлын ДНБ-ий өсөлт</w:t>
            </w:r>
            <w:r>
              <w:rPr>
                <w:sz w:val="16"/>
              </w:rPr>
              <w:t>, %)</w:t>
            </w:r>
            <w:r w:rsidRPr="000A2BAB">
              <w:t xml:space="preserve"> </w:t>
            </w:r>
          </w:p>
        </w:tc>
        <w:tc>
          <w:tcPr>
            <w:tcW w:w="236" w:type="dxa"/>
          </w:tcPr>
          <w:p w14:paraId="462D346E" w14:textId="77777777" w:rsidR="00B4087E" w:rsidRDefault="00B4087E" w:rsidP="00B4087E">
            <w:pPr>
              <w:pStyle w:val="NoSpacing"/>
              <w:jc w:val="both"/>
              <w:rPr>
                <w:noProof/>
                <w:sz w:val="2"/>
                <w:lang w:eastAsia="ko-KR"/>
              </w:rPr>
            </w:pPr>
          </w:p>
          <w:p w14:paraId="4F414543" w14:textId="77777777" w:rsidR="00B4087E" w:rsidRPr="00266CCE" w:rsidRDefault="00B4087E" w:rsidP="00B4087E">
            <w:pPr>
              <w:pStyle w:val="NoSpacing"/>
              <w:jc w:val="both"/>
              <w:rPr>
                <w:noProof/>
                <w:sz w:val="2"/>
                <w:lang w:eastAsia="ko-KR"/>
              </w:rPr>
            </w:pPr>
          </w:p>
        </w:tc>
        <w:tc>
          <w:tcPr>
            <w:tcW w:w="4865" w:type="dxa"/>
            <w:tcBorders>
              <w:top w:val="single" w:sz="4" w:space="0" w:color="984806" w:themeColor="accent6" w:themeShade="80"/>
            </w:tcBorders>
          </w:tcPr>
          <w:p w14:paraId="160B0B5C" w14:textId="77777777" w:rsidR="00B4087E" w:rsidRDefault="00B4087E" w:rsidP="00B4087E">
            <w:pPr>
              <w:pStyle w:val="NoSpacing"/>
              <w:jc w:val="both"/>
              <w:rPr>
                <w:sz w:val="16"/>
                <w:szCs w:val="18"/>
              </w:rPr>
            </w:pPr>
            <w:r>
              <w:rPr>
                <w:sz w:val="16"/>
                <w:szCs w:val="18"/>
                <w:lang w:val="mn-MN"/>
              </w:rPr>
              <w:t>Эдийн засгийн өсөлт болон урсгал дансны ДНБ-д харьцуулсан харьцаа</w:t>
            </w:r>
            <w:r>
              <w:rPr>
                <w:sz w:val="16"/>
                <w:szCs w:val="18"/>
              </w:rPr>
              <w:t xml:space="preserve"> (%)</w:t>
            </w:r>
          </w:p>
          <w:p w14:paraId="40BF911A" w14:textId="77777777" w:rsidR="00B4087E" w:rsidRPr="000A2BAB" w:rsidRDefault="00B4087E" w:rsidP="00B4087E">
            <w:pPr>
              <w:pStyle w:val="NoSpacing"/>
              <w:jc w:val="both"/>
            </w:pPr>
            <w:r>
              <w:rPr>
                <w:noProof/>
              </w:rPr>
              <w:drawing>
                <wp:inline distT="0" distB="0" distL="0" distR="0" wp14:anchorId="12A9C8DD" wp14:editId="61418057">
                  <wp:extent cx="2917372" cy="1915885"/>
                  <wp:effectExtent l="0" t="0" r="0" b="8255"/>
                  <wp:docPr id="350" name="Chart 35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c>
      </w:tr>
      <w:tr w:rsidR="00B4087E" w:rsidRPr="000A2BAB" w14:paraId="12FE8776" w14:textId="77777777" w:rsidTr="00B4087E">
        <w:tc>
          <w:tcPr>
            <w:tcW w:w="3860" w:type="dxa"/>
          </w:tcPr>
          <w:p w14:paraId="6116B184" w14:textId="77777777" w:rsidR="00B4087E" w:rsidRPr="000A2BAB" w:rsidRDefault="00B4087E" w:rsidP="00B4087E">
            <w:pPr>
              <w:pStyle w:val="NoSpacing"/>
              <w:jc w:val="both"/>
              <w:rPr>
                <w:sz w:val="14"/>
                <w:szCs w:val="18"/>
              </w:rPr>
            </w:pPr>
            <w:r>
              <w:rPr>
                <w:i/>
                <w:sz w:val="14"/>
                <w:szCs w:val="18"/>
                <w:lang w:val="mn-MN"/>
              </w:rPr>
              <w:t>Эх үүсвэр</w:t>
            </w:r>
            <w:r w:rsidRPr="000A2BAB">
              <w:rPr>
                <w:i/>
                <w:sz w:val="14"/>
                <w:szCs w:val="18"/>
              </w:rPr>
              <w:t>:</w:t>
            </w:r>
            <w:r w:rsidRPr="000A2BAB">
              <w:rPr>
                <w:sz w:val="14"/>
                <w:szCs w:val="18"/>
              </w:rPr>
              <w:t xml:space="preserve"> </w:t>
            </w:r>
            <w:r>
              <w:rPr>
                <w:sz w:val="14"/>
                <w:szCs w:val="18"/>
                <w:lang w:val="mn-MN"/>
              </w:rPr>
              <w:t>ҮСХ эмхэтгэл, ДБ-ны мэргэжилтнүүдийн тооцоо</w:t>
            </w:r>
          </w:p>
        </w:tc>
        <w:tc>
          <w:tcPr>
            <w:tcW w:w="507" w:type="dxa"/>
          </w:tcPr>
          <w:p w14:paraId="3EA5007A" w14:textId="77777777" w:rsidR="00B4087E" w:rsidRPr="00266CCE" w:rsidRDefault="00B4087E" w:rsidP="00B4087E">
            <w:pPr>
              <w:pStyle w:val="NoSpacing"/>
              <w:jc w:val="both"/>
              <w:rPr>
                <w:i/>
                <w:sz w:val="2"/>
                <w:szCs w:val="18"/>
              </w:rPr>
            </w:pPr>
          </w:p>
        </w:tc>
        <w:tc>
          <w:tcPr>
            <w:tcW w:w="5101" w:type="dxa"/>
            <w:gridSpan w:val="2"/>
          </w:tcPr>
          <w:p w14:paraId="5B1014E5" w14:textId="77777777" w:rsidR="00B4087E" w:rsidRPr="000A2BAB" w:rsidRDefault="00B4087E" w:rsidP="00B4087E">
            <w:pPr>
              <w:pStyle w:val="NoSpacing"/>
              <w:jc w:val="both"/>
              <w:rPr>
                <w:sz w:val="14"/>
              </w:rPr>
            </w:pPr>
          </w:p>
        </w:tc>
      </w:tr>
    </w:tbl>
    <w:p w14:paraId="5CE5DFA5" w14:textId="77777777" w:rsidR="00B4087E" w:rsidRDefault="00B4087E" w:rsidP="00B4087E">
      <w:pPr>
        <w:jc w:val="both"/>
        <w:rPr>
          <w:rFonts w:ascii="Arial" w:hAnsi="Arial" w:cs="Arial"/>
          <w:b/>
          <w:color w:val="000000" w:themeColor="text1"/>
          <w:sz w:val="20"/>
          <w:szCs w:val="20"/>
          <w:lang w:val="mn-MN" w:eastAsia="ko-KR"/>
        </w:rPr>
      </w:pPr>
    </w:p>
    <w:p w14:paraId="6B13425D" w14:textId="77777777" w:rsidR="00B4087E" w:rsidRDefault="00B4087E" w:rsidP="00B4087E">
      <w:pPr>
        <w:jc w:val="both"/>
        <w:rPr>
          <w:rFonts w:ascii="Arial" w:hAnsi="Arial" w:cs="Arial"/>
          <w:color w:val="000000" w:themeColor="text1"/>
          <w:sz w:val="20"/>
          <w:szCs w:val="20"/>
          <w:lang w:eastAsia="ko-KR"/>
        </w:rPr>
      </w:pPr>
      <w:r>
        <w:rPr>
          <w:rFonts w:ascii="Arial" w:hAnsi="Arial" w:cs="Arial"/>
          <w:b/>
          <w:color w:val="000000" w:themeColor="text1"/>
          <w:sz w:val="20"/>
          <w:szCs w:val="20"/>
          <w:lang w:val="mn-MN" w:eastAsia="ko-KR"/>
        </w:rPr>
        <w:t>Хэдийгээр гадаад тааламжгүй нөхцөл байдлын эрсдэл байгаа, төлбөрийн тэнцлийн дарамт нэмэгдэж байгаа үед эдийн засгийн өсөлт 2013 онд хоёр оронтой тоонд хэвээрээ байхаар байна</w:t>
      </w:r>
      <w:r>
        <w:rPr>
          <w:rFonts w:ascii="Arial" w:hAnsi="Arial" w:cs="Arial"/>
          <w:b/>
          <w:color w:val="000000" w:themeColor="text1"/>
          <w:sz w:val="20"/>
          <w:szCs w:val="20"/>
          <w:lang w:eastAsia="ko-KR"/>
        </w:rPr>
        <w:t xml:space="preserve">. </w:t>
      </w:r>
      <w:r>
        <w:rPr>
          <w:rFonts w:ascii="Arial" w:hAnsi="Arial" w:cs="Arial"/>
          <w:color w:val="000000" w:themeColor="text1"/>
          <w:sz w:val="20"/>
          <w:szCs w:val="20"/>
          <w:lang w:val="mn-MN" w:eastAsia="ko-KR"/>
        </w:rPr>
        <w:t xml:space="preserve">Дэлхийн банк өмнөх 4 сард гаргасан эдийн засгийн тойм дахь өсөлтийн таамаглалыг </w:t>
      </w:r>
      <w:r w:rsidRPr="008B0016">
        <w:rPr>
          <w:rFonts w:ascii="Arial" w:hAnsi="Arial" w:cs="Arial"/>
          <w:color w:val="000000" w:themeColor="text1"/>
          <w:sz w:val="20"/>
          <w:szCs w:val="20"/>
          <w:lang w:eastAsia="ko-KR"/>
        </w:rPr>
        <w:t xml:space="preserve">(13 </w:t>
      </w:r>
      <w:r>
        <w:rPr>
          <w:rFonts w:ascii="Arial" w:hAnsi="Arial" w:cs="Arial"/>
          <w:color w:val="000000" w:themeColor="text1"/>
          <w:sz w:val="20"/>
          <w:szCs w:val="20"/>
          <w:lang w:val="mn-MN" w:eastAsia="ko-KR"/>
        </w:rPr>
        <w:t>хувь</w:t>
      </w:r>
      <w:r w:rsidRPr="008B0016">
        <w:rPr>
          <w:rFonts w:ascii="Arial" w:hAnsi="Arial" w:cs="Arial"/>
          <w:color w:val="000000" w:themeColor="text1"/>
          <w:sz w:val="20"/>
          <w:szCs w:val="20"/>
          <w:lang w:eastAsia="ko-KR"/>
        </w:rPr>
        <w:t>)</w:t>
      </w:r>
      <w:r>
        <w:rPr>
          <w:rFonts w:ascii="Arial" w:hAnsi="Arial" w:cs="Arial"/>
          <w:color w:val="000000" w:themeColor="text1"/>
          <w:sz w:val="20"/>
          <w:szCs w:val="20"/>
          <w:lang w:val="mn-MN" w:eastAsia="ko-KR"/>
        </w:rPr>
        <w:t xml:space="preserve"> 12.5 хувь болгож шинэчиллээ. 2013 оны өсөлтийг буулгаж шинэчлэн тооцсон нь Хятадын эдийн засгийн өсөлт өмнөх 4 дүгээр сард таамаглаж байснаас сул байгаа мөн нүүрсний үйлдвэрлэлд сэргэлт удаан явагдаж байгааг илэрхийлж байна. Хэдийгээр бага зэрэг бууруулж таамаглаж байгаа ч эдийн засаг төсвийн болон мөнгөний тэлэх бодлогууд болон ОТ уурхайн үйлдвэрлэл нэмэгдэж байгаагаас 2013 онд хоёр оронтой тоонд хэвээрээ байхаар байна. Энэхүү эдийн засгийн өсөлт нь Зүүн Ази болон Номхон далайн бүс нутагтдаа хамгийн өндөр байхаар байна</w:t>
      </w:r>
      <w:r w:rsidRPr="008B0016">
        <w:rPr>
          <w:rFonts w:ascii="Arial" w:hAnsi="Arial" w:cs="Arial"/>
          <w:color w:val="000000" w:themeColor="text1"/>
          <w:sz w:val="20"/>
          <w:szCs w:val="20"/>
          <w:lang w:eastAsia="ko-KR"/>
        </w:rPr>
        <w:t>.</w:t>
      </w:r>
      <w:r>
        <w:rPr>
          <w:rFonts w:ascii="Arial" w:hAnsi="Arial" w:cs="Arial"/>
          <w:color w:val="000000" w:themeColor="text1"/>
          <w:sz w:val="20"/>
          <w:szCs w:val="20"/>
          <w:lang w:eastAsia="ko-KR"/>
        </w:rPr>
        <w:t xml:space="preserve"> (</w:t>
      </w:r>
      <w:r>
        <w:rPr>
          <w:rFonts w:ascii="Arial" w:hAnsi="Arial" w:cs="Arial"/>
          <w:color w:val="000000" w:themeColor="text1"/>
          <w:sz w:val="20"/>
          <w:szCs w:val="20"/>
          <w:lang w:val="mn-MN" w:eastAsia="ko-KR"/>
        </w:rPr>
        <w:t>Зураг</w:t>
      </w:r>
      <w:r>
        <w:rPr>
          <w:rFonts w:ascii="Arial" w:hAnsi="Arial" w:cs="Arial"/>
          <w:color w:val="000000" w:themeColor="text1"/>
          <w:sz w:val="20"/>
          <w:szCs w:val="20"/>
          <w:lang w:eastAsia="ko-KR"/>
        </w:rPr>
        <w:t xml:space="preserve"> 13)</w:t>
      </w:r>
      <w:r w:rsidRPr="008B0016">
        <w:rPr>
          <w:rFonts w:ascii="Arial" w:hAnsi="Arial" w:cs="Arial"/>
          <w:color w:val="000000" w:themeColor="text1"/>
          <w:sz w:val="20"/>
          <w:szCs w:val="20"/>
          <w:lang w:eastAsia="ko-KR"/>
        </w:rPr>
        <w:t xml:space="preserve"> </w:t>
      </w:r>
      <w:r>
        <w:rPr>
          <w:rFonts w:ascii="Arial" w:hAnsi="Arial" w:cs="Arial"/>
          <w:color w:val="000000" w:themeColor="text1"/>
          <w:sz w:val="20"/>
          <w:szCs w:val="20"/>
          <w:lang w:val="mn-MN" w:eastAsia="ko-KR"/>
        </w:rPr>
        <w:t>ОТ уурхайн үйлдвэрлэл нэмэгдэж байгаа болон Чингис бондын орлогоор төсвөөс гадуурхи зарлага үргэлжилэх зэргээс үүдэж эдийн засгийн өсөлт 2014 онд хоёр оронтой тоонд хадгалагдахаар байна. Гэвч дунд хугацаанд дараах томоохон эрсдлүүдтэй учирч болно</w:t>
      </w:r>
      <w:r>
        <w:rPr>
          <w:rFonts w:ascii="Arial" w:hAnsi="Arial" w:cs="Arial"/>
          <w:color w:val="000000" w:themeColor="text1"/>
          <w:sz w:val="20"/>
          <w:szCs w:val="20"/>
          <w:lang w:eastAsia="ko-KR"/>
        </w:rPr>
        <w:t>:</w:t>
      </w:r>
    </w:p>
    <w:p w14:paraId="46984EDE" w14:textId="77777777" w:rsidR="002E0109" w:rsidRDefault="002E0109">
      <w:pPr>
        <w:rPr>
          <w:rFonts w:ascii="Arial" w:hAnsi="Arial" w:cs="Arial"/>
          <w:sz w:val="20"/>
          <w:szCs w:val="20"/>
          <w:lang w:val="mn-MN"/>
        </w:rPr>
      </w:pPr>
    </w:p>
    <w:p w14:paraId="4AF07346" w14:textId="4EDD9845" w:rsidR="00106963" w:rsidRPr="00630B23" w:rsidRDefault="00106963">
      <w:pPr>
        <w:rPr>
          <w:rFonts w:ascii="Arial" w:hAnsi="Arial" w:cs="Arial"/>
          <w:sz w:val="20"/>
          <w:szCs w:val="20"/>
          <w:lang w:val="mn-MN"/>
        </w:rPr>
      </w:pPr>
    </w:p>
    <w:tbl>
      <w:tblPr>
        <w:tblpPr w:leftFromText="180" w:rightFromText="180" w:vertAnchor="text" w:horzAnchor="margin" w:tblpXSpec="right" w:tblpY="103"/>
        <w:tblOverlap w:val="never"/>
        <w:tblW w:w="0" w:type="auto"/>
        <w:tblLook w:val="04A0" w:firstRow="1" w:lastRow="0" w:firstColumn="1" w:lastColumn="0" w:noHBand="0" w:noVBand="1"/>
      </w:tblPr>
      <w:tblGrid>
        <w:gridCol w:w="4899"/>
      </w:tblGrid>
      <w:tr w:rsidR="00B4087E" w:rsidRPr="000A2BAB" w14:paraId="21DBB057" w14:textId="77777777" w:rsidTr="00630B23">
        <w:trPr>
          <w:trHeight w:val="249"/>
        </w:trPr>
        <w:tc>
          <w:tcPr>
            <w:tcW w:w="4899" w:type="dxa"/>
            <w:tcBorders>
              <w:bottom w:val="single" w:sz="4" w:space="0" w:color="984806" w:themeColor="accent6" w:themeShade="80"/>
            </w:tcBorders>
          </w:tcPr>
          <w:p w14:paraId="388A0482" w14:textId="77777777" w:rsidR="00B4087E" w:rsidRPr="00660167" w:rsidRDefault="00B4087E" w:rsidP="00630B23">
            <w:pPr>
              <w:pStyle w:val="Caption"/>
              <w:keepNext/>
              <w:spacing w:after="0"/>
              <w:jc w:val="both"/>
              <w:rPr>
                <w:sz w:val="16"/>
                <w:szCs w:val="16"/>
              </w:rPr>
            </w:pPr>
            <w:r w:rsidRPr="00660167">
              <w:rPr>
                <w:sz w:val="16"/>
                <w:szCs w:val="16"/>
              </w:rPr>
              <w:lastRenderedPageBreak/>
              <w:t xml:space="preserve"> </w:t>
            </w:r>
            <w:r>
              <w:rPr>
                <w:color w:val="auto"/>
                <w:sz w:val="16"/>
                <w:lang w:val="mn-MN"/>
              </w:rPr>
              <w:t>Зураг</w:t>
            </w:r>
            <w:r w:rsidRPr="00660167">
              <w:rPr>
                <w:color w:val="auto"/>
                <w:sz w:val="16"/>
              </w:rPr>
              <w:t xml:space="preserve"> </w:t>
            </w:r>
            <w:r>
              <w:rPr>
                <w:color w:val="auto"/>
                <w:sz w:val="16"/>
              </w:rPr>
              <w:fldChar w:fldCharType="begin"/>
            </w:r>
            <w:r>
              <w:rPr>
                <w:color w:val="auto"/>
                <w:sz w:val="16"/>
              </w:rPr>
              <w:instrText xml:space="preserve"> SEQ Figure \* ARABIC </w:instrText>
            </w:r>
            <w:r>
              <w:rPr>
                <w:color w:val="auto"/>
                <w:sz w:val="16"/>
              </w:rPr>
              <w:fldChar w:fldCharType="separate"/>
            </w:r>
            <w:r>
              <w:rPr>
                <w:noProof/>
                <w:color w:val="auto"/>
                <w:sz w:val="16"/>
              </w:rPr>
              <w:t>13</w:t>
            </w:r>
            <w:r>
              <w:rPr>
                <w:color w:val="auto"/>
                <w:sz w:val="16"/>
              </w:rPr>
              <w:fldChar w:fldCharType="end"/>
            </w:r>
            <w:r w:rsidRPr="00660167">
              <w:rPr>
                <w:color w:val="auto"/>
                <w:sz w:val="16"/>
              </w:rPr>
              <w:t xml:space="preserve">. </w:t>
            </w:r>
            <w:r>
              <w:rPr>
                <w:color w:val="auto"/>
                <w:sz w:val="16"/>
                <w:lang w:val="mn-MN"/>
              </w:rPr>
              <w:t>Тус бүс нутаг дахь хөгжиж буй эдийн засгийн өсөлтийн таамаглал</w:t>
            </w:r>
            <w:r w:rsidRPr="00ED4F8B" w:rsidDel="004B523E">
              <w:rPr>
                <w:color w:val="auto"/>
                <w:sz w:val="16"/>
                <w:szCs w:val="16"/>
              </w:rPr>
              <w:t xml:space="preserve"> </w:t>
            </w:r>
          </w:p>
        </w:tc>
      </w:tr>
      <w:tr w:rsidR="00B4087E" w:rsidRPr="000A2BAB" w14:paraId="79310E04" w14:textId="77777777" w:rsidTr="00630B23">
        <w:trPr>
          <w:trHeight w:val="2996"/>
        </w:trPr>
        <w:tc>
          <w:tcPr>
            <w:tcW w:w="4899" w:type="dxa"/>
            <w:tcBorders>
              <w:top w:val="single" w:sz="4" w:space="0" w:color="984806" w:themeColor="accent6" w:themeShade="80"/>
            </w:tcBorders>
          </w:tcPr>
          <w:p w14:paraId="0408CD87" w14:textId="77777777" w:rsidR="00B4087E" w:rsidRPr="00251053" w:rsidRDefault="00B4087E" w:rsidP="00B4087E">
            <w:pPr>
              <w:pStyle w:val="Caption"/>
              <w:rPr>
                <w:noProof/>
                <w:lang w:eastAsia="ko-KR"/>
              </w:rPr>
            </w:pPr>
            <w:r>
              <w:rPr>
                <w:b w:val="0"/>
                <w:color w:val="auto"/>
                <w:lang w:val="mn-MN"/>
              </w:rPr>
              <w:t>Бодит ДНБ-ий өсөлтийн хандлага, таамаглал</w:t>
            </w:r>
            <w:r w:rsidRPr="00251053">
              <w:rPr>
                <w:b w:val="0"/>
                <w:color w:val="auto"/>
              </w:rPr>
              <w:t xml:space="preserve"> (%)</w:t>
            </w:r>
          </w:p>
          <w:p w14:paraId="60C1784D" w14:textId="77777777" w:rsidR="00B4087E" w:rsidRPr="009F2038" w:rsidRDefault="00B4087E" w:rsidP="00B4087E">
            <w:pPr>
              <w:rPr>
                <w:sz w:val="8"/>
                <w:lang w:eastAsia="ko-KR"/>
              </w:rPr>
            </w:pPr>
            <w:r w:rsidRPr="00630B23">
              <w:rPr>
                <w:rFonts w:ascii="Arial" w:hAnsi="Arial" w:cs="Arial"/>
                <w:noProof/>
                <w:sz w:val="8"/>
              </w:rPr>
              <w:drawing>
                <wp:anchor distT="0" distB="0" distL="114300" distR="114300" simplePos="0" relativeHeight="251782656" behindDoc="0" locked="0" layoutInCell="1" allowOverlap="1" wp14:anchorId="66BFA7CE" wp14:editId="61956C11">
                  <wp:simplePos x="0" y="0"/>
                  <wp:positionH relativeFrom="column">
                    <wp:posOffset>142875</wp:posOffset>
                  </wp:positionH>
                  <wp:positionV relativeFrom="paragraph">
                    <wp:posOffset>57150</wp:posOffset>
                  </wp:positionV>
                  <wp:extent cx="2906395" cy="1784985"/>
                  <wp:effectExtent l="0" t="0" r="0" b="0"/>
                  <wp:wrapSquare wrapText="bothSides"/>
                  <wp:docPr id="351" name="Chart 35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page">
                    <wp14:pctWidth>0</wp14:pctWidth>
                  </wp14:sizeRelH>
                  <wp14:sizeRelV relativeFrom="page">
                    <wp14:pctHeight>0</wp14:pctHeight>
                  </wp14:sizeRelV>
                </wp:anchor>
              </w:drawing>
            </w:r>
          </w:p>
        </w:tc>
      </w:tr>
      <w:tr w:rsidR="00B4087E" w:rsidRPr="000A2BAB" w14:paraId="443956B1" w14:textId="77777777" w:rsidTr="00630B23">
        <w:trPr>
          <w:trHeight w:val="72"/>
        </w:trPr>
        <w:tc>
          <w:tcPr>
            <w:tcW w:w="4899" w:type="dxa"/>
          </w:tcPr>
          <w:p w14:paraId="69F3ACCE" w14:textId="77777777" w:rsidR="00B4087E" w:rsidRPr="004D167B" w:rsidRDefault="00B4087E" w:rsidP="00B4087E">
            <w:pPr>
              <w:pStyle w:val="NoSpacing"/>
              <w:jc w:val="both"/>
              <w:rPr>
                <w:sz w:val="14"/>
                <w:szCs w:val="18"/>
              </w:rPr>
            </w:pPr>
            <w:r>
              <w:rPr>
                <w:i/>
                <w:sz w:val="14"/>
                <w:szCs w:val="18"/>
              </w:rPr>
              <w:t xml:space="preserve">   </w:t>
            </w:r>
            <w:r>
              <w:rPr>
                <w:i/>
                <w:sz w:val="14"/>
                <w:szCs w:val="18"/>
                <w:lang w:val="mn-MN"/>
              </w:rPr>
              <w:t>Эх үүсвэр</w:t>
            </w:r>
            <w:r w:rsidRPr="000A2BAB">
              <w:rPr>
                <w:i/>
                <w:sz w:val="14"/>
                <w:szCs w:val="18"/>
              </w:rPr>
              <w:t>:</w:t>
            </w:r>
            <w:r w:rsidRPr="000A2BAB">
              <w:rPr>
                <w:sz w:val="14"/>
                <w:szCs w:val="18"/>
              </w:rPr>
              <w:t xml:space="preserve"> </w:t>
            </w:r>
            <w:r>
              <w:rPr>
                <w:sz w:val="14"/>
                <w:szCs w:val="18"/>
                <w:lang w:val="mn-MN"/>
              </w:rPr>
              <w:t>ЗАНДБ нутгийн тойм, Дэлхийн банк</w:t>
            </w:r>
            <w:r>
              <w:rPr>
                <w:sz w:val="14"/>
                <w:szCs w:val="18"/>
              </w:rPr>
              <w:t xml:space="preserve"> (2013</w:t>
            </w:r>
            <w:r>
              <w:rPr>
                <w:sz w:val="14"/>
                <w:szCs w:val="18"/>
                <w:lang w:val="mn-MN"/>
              </w:rPr>
              <w:t xml:space="preserve"> оны 10 сар</w:t>
            </w:r>
            <w:r>
              <w:rPr>
                <w:sz w:val="14"/>
                <w:szCs w:val="18"/>
              </w:rPr>
              <w:t>)</w:t>
            </w:r>
          </w:p>
        </w:tc>
      </w:tr>
    </w:tbl>
    <w:p w14:paraId="1EA0883A" w14:textId="0E26B6DC" w:rsidR="00495B9A" w:rsidRPr="008B0016" w:rsidRDefault="00026EA3" w:rsidP="005B7A69">
      <w:pPr>
        <w:pStyle w:val="ListParagraph"/>
        <w:numPr>
          <w:ilvl w:val="0"/>
          <w:numId w:val="3"/>
        </w:numPr>
        <w:tabs>
          <w:tab w:val="left" w:pos="360"/>
        </w:tabs>
        <w:ind w:left="360"/>
        <w:jc w:val="both"/>
        <w:rPr>
          <w:rFonts w:ascii="Arial" w:hAnsi="Arial" w:cs="Arial"/>
          <w:color w:val="000000" w:themeColor="text1"/>
          <w:sz w:val="20"/>
          <w:lang w:eastAsia="ko-KR"/>
        </w:rPr>
      </w:pPr>
      <w:r>
        <w:rPr>
          <w:rFonts w:ascii="Arial" w:hAnsi="Arial" w:cs="Arial"/>
          <w:b/>
          <w:color w:val="000000" w:themeColor="text1"/>
          <w:sz w:val="20"/>
          <w:lang w:val="mn-MN" w:eastAsia="ko-KR"/>
        </w:rPr>
        <w:t>Дэлхийн уул уурхайн зах зээл цаашид суларна</w:t>
      </w:r>
      <w:r w:rsidR="00495B9A" w:rsidRPr="008B0016">
        <w:rPr>
          <w:rFonts w:ascii="Arial" w:hAnsi="Arial" w:cs="Arial"/>
          <w:b/>
          <w:color w:val="000000" w:themeColor="text1"/>
          <w:sz w:val="20"/>
          <w:lang w:eastAsia="ko-KR"/>
        </w:rPr>
        <w:t>.</w:t>
      </w:r>
      <w:r w:rsidR="009C5320" w:rsidRPr="008B0016">
        <w:rPr>
          <w:rFonts w:ascii="Arial" w:hAnsi="Arial" w:cs="Arial"/>
          <w:color w:val="000000" w:themeColor="text1"/>
          <w:sz w:val="20"/>
          <w:lang w:eastAsia="ko-KR"/>
        </w:rPr>
        <w:t xml:space="preserve"> </w:t>
      </w:r>
      <w:r w:rsidR="00204134">
        <w:rPr>
          <w:rFonts w:ascii="Arial" w:hAnsi="Arial" w:cs="Arial"/>
          <w:color w:val="000000" w:themeColor="text1"/>
          <w:sz w:val="20"/>
          <w:lang w:val="mn-MN" w:eastAsia="ko-KR"/>
        </w:rPr>
        <w:t xml:space="preserve">Сүүлийн үеийн уул уурхайн үйлдвэрлэлээс харахад багахан сэргэх хандлага ажиглагдаж байгаа ч дэлхийн нийлүүлэлт өндөр, өрсөлдөгч их байгаа үед Монгол улсын голлох уул уурхайн үйлдвэрлэл болон экспортын төлөв байдалд тодорхой бус байдал үүсгэж байна. </w:t>
      </w:r>
      <w:r w:rsidR="00725543" w:rsidRPr="008B0016">
        <w:rPr>
          <w:rFonts w:ascii="Arial" w:hAnsi="Arial" w:cs="Arial"/>
          <w:color w:val="000000" w:themeColor="text1"/>
          <w:sz w:val="20"/>
          <w:lang w:eastAsia="ko-KR"/>
        </w:rPr>
        <w:t xml:space="preserve"> </w:t>
      </w:r>
    </w:p>
    <w:p w14:paraId="0F96CDC0" w14:textId="77777777" w:rsidR="00FD057C" w:rsidRPr="00892B86" w:rsidRDefault="00FD057C" w:rsidP="00FD057C">
      <w:pPr>
        <w:pStyle w:val="ListParagraph"/>
        <w:tabs>
          <w:tab w:val="left" w:pos="360"/>
        </w:tabs>
        <w:ind w:left="360"/>
        <w:jc w:val="both"/>
        <w:rPr>
          <w:rFonts w:ascii="Arial" w:hAnsi="Arial" w:cs="Arial"/>
          <w:color w:val="000000" w:themeColor="text1"/>
          <w:sz w:val="14"/>
          <w:lang w:eastAsia="ko-KR"/>
        </w:rPr>
      </w:pPr>
    </w:p>
    <w:p w14:paraId="2519210C" w14:textId="5BF49BA6" w:rsidR="004303AF" w:rsidRDefault="00204134" w:rsidP="004303AF">
      <w:pPr>
        <w:pStyle w:val="ListParagraph"/>
        <w:numPr>
          <w:ilvl w:val="0"/>
          <w:numId w:val="3"/>
        </w:numPr>
        <w:tabs>
          <w:tab w:val="left" w:pos="360"/>
        </w:tabs>
        <w:ind w:left="360"/>
        <w:jc w:val="both"/>
        <w:rPr>
          <w:rFonts w:ascii="Arial" w:hAnsi="Arial" w:cs="Arial"/>
          <w:color w:val="000000" w:themeColor="text1"/>
          <w:sz w:val="20"/>
          <w:lang w:eastAsia="ko-KR"/>
        </w:rPr>
      </w:pPr>
      <w:r>
        <w:rPr>
          <w:rFonts w:ascii="Arial" w:hAnsi="Arial" w:cs="Arial"/>
          <w:b/>
          <w:color w:val="000000" w:themeColor="text1"/>
          <w:sz w:val="20"/>
          <w:lang w:val="mn-MN" w:eastAsia="ko-KR"/>
        </w:rPr>
        <w:t xml:space="preserve">Хятадын эдийн засгийн өсөлт суларч байна. </w:t>
      </w:r>
      <w:r>
        <w:rPr>
          <w:rFonts w:ascii="Arial" w:hAnsi="Arial" w:cs="Arial"/>
          <w:color w:val="000000" w:themeColor="text1"/>
          <w:sz w:val="20"/>
          <w:lang w:val="mn-MN" w:eastAsia="ko-KR"/>
        </w:rPr>
        <w:t>Хятадын удирдагчид зээлийн хэт өсөлтийг хязгаарлах, хэрэглээнд илүү суурилсан эдийн засгий</w:t>
      </w:r>
      <w:r w:rsidR="00B4087E">
        <w:rPr>
          <w:rFonts w:ascii="Arial" w:hAnsi="Arial" w:cs="Arial"/>
          <w:color w:val="000000" w:themeColor="text1"/>
          <w:sz w:val="20"/>
          <w:lang w:val="mn-MN" w:eastAsia="ko-KR"/>
        </w:rPr>
        <w:t>г</w:t>
      </w:r>
      <w:r>
        <w:rPr>
          <w:rFonts w:ascii="Arial" w:hAnsi="Arial" w:cs="Arial"/>
          <w:color w:val="000000" w:themeColor="text1"/>
          <w:sz w:val="20"/>
          <w:lang w:val="mn-MN" w:eastAsia="ko-KR"/>
        </w:rPr>
        <w:t xml:space="preserve"> бий болгохоор оролдож байгаа нь Хятад улсад хөрөнгө оруулалтыг бууруулж, эдийн засгийн өсөлтийг цаашид багасгах талтай. Монгол улс</w:t>
      </w:r>
      <w:r w:rsidR="00B4087E">
        <w:rPr>
          <w:rFonts w:ascii="Arial" w:hAnsi="Arial" w:cs="Arial"/>
          <w:color w:val="000000" w:themeColor="text1"/>
          <w:sz w:val="20"/>
          <w:lang w:val="mn-MN" w:eastAsia="ko-KR"/>
        </w:rPr>
        <w:t>ын</w:t>
      </w:r>
      <w:r>
        <w:rPr>
          <w:rFonts w:ascii="Arial" w:hAnsi="Arial" w:cs="Arial"/>
          <w:color w:val="000000" w:themeColor="text1"/>
          <w:sz w:val="20"/>
          <w:lang w:val="mn-MN" w:eastAsia="ko-KR"/>
        </w:rPr>
        <w:t xml:space="preserve"> нийт экспортын бараг 90 гаран хувь нь хятад улс руу хийгддэг тул Монгол улсын эдийн засаг нь Хятадын эдийн засгийн мөчлөгд хамгийн өндөр өртдөг. </w:t>
      </w:r>
      <w:r w:rsidR="00E40BA4">
        <w:rPr>
          <w:rFonts w:ascii="Arial" w:hAnsi="Arial" w:cs="Arial"/>
          <w:color w:val="000000" w:themeColor="text1"/>
          <w:sz w:val="20"/>
          <w:lang w:eastAsia="ko-KR"/>
        </w:rPr>
        <w:t>(</w:t>
      </w:r>
      <w:r>
        <w:rPr>
          <w:rFonts w:ascii="Arial" w:hAnsi="Arial" w:cs="Arial"/>
          <w:color w:val="000000" w:themeColor="text1"/>
          <w:sz w:val="20"/>
          <w:lang w:val="mn-MN" w:eastAsia="ko-KR"/>
        </w:rPr>
        <w:t>Зураг</w:t>
      </w:r>
      <w:r>
        <w:rPr>
          <w:rFonts w:ascii="Arial" w:hAnsi="Arial" w:cs="Arial"/>
          <w:color w:val="000000" w:themeColor="text1"/>
          <w:sz w:val="20"/>
          <w:lang w:eastAsia="ko-KR"/>
        </w:rPr>
        <w:t xml:space="preserve"> </w:t>
      </w:r>
      <w:r w:rsidR="00E40BA4">
        <w:rPr>
          <w:rFonts w:ascii="Arial" w:hAnsi="Arial" w:cs="Arial"/>
          <w:color w:val="000000" w:themeColor="text1"/>
          <w:sz w:val="20"/>
          <w:lang w:eastAsia="ko-KR"/>
        </w:rPr>
        <w:t>5)</w:t>
      </w:r>
      <w:r w:rsidR="000D7EE8" w:rsidRPr="000D7EE8">
        <w:rPr>
          <w:rFonts w:ascii="Arial" w:hAnsi="Arial" w:cs="Arial"/>
          <w:color w:val="000000" w:themeColor="text1"/>
          <w:sz w:val="20"/>
          <w:lang w:eastAsia="ko-KR"/>
        </w:rPr>
        <w:t xml:space="preserve">. </w:t>
      </w:r>
    </w:p>
    <w:p w14:paraId="6963C891" w14:textId="77777777" w:rsidR="000D7EE8" w:rsidRPr="00892B86" w:rsidRDefault="000D7EE8" w:rsidP="000D7EE8">
      <w:pPr>
        <w:pStyle w:val="ListParagraph"/>
        <w:rPr>
          <w:rFonts w:ascii="Arial" w:hAnsi="Arial" w:cs="Arial"/>
          <w:color w:val="000000" w:themeColor="text1"/>
          <w:sz w:val="12"/>
          <w:lang w:eastAsia="ko-KR"/>
        </w:rPr>
      </w:pPr>
    </w:p>
    <w:p w14:paraId="50159D94" w14:textId="7D01315B" w:rsidR="004303AF" w:rsidRDefault="00D0408E" w:rsidP="005B7A69">
      <w:pPr>
        <w:pStyle w:val="ListParagraph"/>
        <w:numPr>
          <w:ilvl w:val="0"/>
          <w:numId w:val="3"/>
        </w:numPr>
        <w:tabs>
          <w:tab w:val="left" w:pos="360"/>
        </w:tabs>
        <w:ind w:left="360"/>
        <w:jc w:val="both"/>
        <w:rPr>
          <w:rFonts w:ascii="Arial" w:hAnsi="Arial" w:cs="Arial"/>
          <w:color w:val="000000" w:themeColor="text1"/>
          <w:sz w:val="20"/>
          <w:lang w:eastAsia="ko-KR"/>
        </w:rPr>
      </w:pPr>
      <w:r>
        <w:rPr>
          <w:rFonts w:ascii="Arial" w:hAnsi="Arial" w:cs="Arial"/>
          <w:b/>
          <w:color w:val="000000" w:themeColor="text1"/>
          <w:sz w:val="20"/>
          <w:lang w:val="mn-MN" w:eastAsia="ko-KR"/>
        </w:rPr>
        <w:t>Дэлхийн тоо хэмжээний сулралтыг байхгүй болгож байгаа</w:t>
      </w:r>
      <w:r w:rsidR="00B4087E">
        <w:rPr>
          <w:rFonts w:ascii="Arial" w:hAnsi="Arial" w:cs="Arial"/>
          <w:b/>
          <w:color w:val="000000" w:themeColor="text1"/>
          <w:sz w:val="20"/>
          <w:lang w:val="mn-MN" w:eastAsia="ko-KR"/>
        </w:rPr>
        <w:t xml:space="preserve"> нь</w:t>
      </w:r>
      <w:r>
        <w:rPr>
          <w:rFonts w:ascii="Arial" w:hAnsi="Arial" w:cs="Arial"/>
          <w:b/>
          <w:color w:val="000000" w:themeColor="text1"/>
          <w:sz w:val="20"/>
          <w:lang w:val="mn-MN" w:eastAsia="ko-KR"/>
        </w:rPr>
        <w:t xml:space="preserve"> сөрөг үр дагавар гарна</w:t>
      </w:r>
      <w:r w:rsidR="004303AF" w:rsidRPr="004303AF">
        <w:rPr>
          <w:rFonts w:ascii="Arial" w:hAnsi="Arial" w:cs="Arial"/>
          <w:b/>
          <w:color w:val="000000" w:themeColor="text1"/>
          <w:sz w:val="20"/>
          <w:lang w:eastAsia="ko-KR"/>
        </w:rPr>
        <w:t>.</w:t>
      </w:r>
      <w:r>
        <w:rPr>
          <w:rFonts w:ascii="Arial" w:hAnsi="Arial" w:cs="Arial"/>
          <w:color w:val="000000" w:themeColor="text1"/>
          <w:sz w:val="20"/>
          <w:lang w:val="mn-MN" w:eastAsia="ko-KR"/>
        </w:rPr>
        <w:t xml:space="preserve"> Хөгжилтэй орнуудад мөнгөний бодлогоо чангаруулж байгаа </w:t>
      </w:r>
      <w:r w:rsidR="00B4087E">
        <w:rPr>
          <w:rFonts w:ascii="Arial" w:hAnsi="Arial" w:cs="Arial"/>
          <w:color w:val="000000" w:themeColor="text1"/>
          <w:sz w:val="20"/>
          <w:lang w:val="mn-MN" w:eastAsia="ko-KR"/>
        </w:rPr>
        <w:t xml:space="preserve">нь </w:t>
      </w:r>
      <w:r>
        <w:rPr>
          <w:rFonts w:ascii="Arial" w:hAnsi="Arial" w:cs="Arial"/>
          <w:color w:val="000000" w:themeColor="text1"/>
          <w:sz w:val="20"/>
          <w:lang w:val="mn-MN" w:eastAsia="ko-KR"/>
        </w:rPr>
        <w:t xml:space="preserve">шинээр үүсч буй эдийн засгуудад хөрөнгийн дотогшлох урсгалыг бууруулж, зээлийн өртөгийг нэмэгдүүлэх талтай. </w:t>
      </w:r>
      <w:r w:rsidR="00703C35">
        <w:rPr>
          <w:rFonts w:ascii="Arial" w:hAnsi="Arial" w:cs="Arial"/>
          <w:color w:val="000000" w:themeColor="text1"/>
          <w:sz w:val="20"/>
          <w:lang w:val="mn-MN" w:eastAsia="ko-KR"/>
        </w:rPr>
        <w:t xml:space="preserve">Дэлхийн хөрвөх чадварын нөхцөл байдал өөрчлөгдөж байгаатай уялдуулж хөрөнгө оруулагчид өөрсдийн бизнес төлөвлөгөөгөө тохируулах бөгөөд энэ нь Монгол улсад орох хөрөнгийн урсгалыг удаашруулах талтай. </w:t>
      </w:r>
    </w:p>
    <w:p w14:paraId="46C6ABF6" w14:textId="77777777" w:rsidR="009F2038" w:rsidRPr="00892B86" w:rsidRDefault="009F2038" w:rsidP="009F2038">
      <w:pPr>
        <w:pStyle w:val="ListParagraph"/>
        <w:rPr>
          <w:rFonts w:ascii="Arial" w:hAnsi="Arial" w:cs="Arial"/>
          <w:color w:val="000000" w:themeColor="text1"/>
          <w:sz w:val="10"/>
          <w:lang w:eastAsia="ko-KR"/>
        </w:rPr>
      </w:pPr>
    </w:p>
    <w:p w14:paraId="0C60ACEC" w14:textId="243F9D5B" w:rsidR="00F0435D" w:rsidRDefault="00703C35" w:rsidP="005B7A69">
      <w:pPr>
        <w:pStyle w:val="ListParagraph"/>
        <w:numPr>
          <w:ilvl w:val="0"/>
          <w:numId w:val="3"/>
        </w:numPr>
        <w:tabs>
          <w:tab w:val="left" w:pos="360"/>
        </w:tabs>
        <w:ind w:left="360"/>
        <w:jc w:val="both"/>
        <w:rPr>
          <w:rFonts w:ascii="Arial" w:hAnsi="Arial" w:cs="Arial"/>
          <w:color w:val="000000" w:themeColor="text1"/>
          <w:sz w:val="20"/>
          <w:lang w:eastAsia="ko-KR"/>
        </w:rPr>
      </w:pPr>
      <w:r>
        <w:rPr>
          <w:rFonts w:ascii="Arial" w:hAnsi="Arial" w:cs="Arial"/>
          <w:b/>
          <w:color w:val="000000" w:themeColor="text1"/>
          <w:sz w:val="20"/>
          <w:lang w:val="mn-MN" w:eastAsia="ko-KR"/>
        </w:rPr>
        <w:t>Эдийн засгийн тэлэх бодлогуудыг үргэлжлүүлэх</w:t>
      </w:r>
      <w:r w:rsidR="009F2038" w:rsidRPr="00F0435D">
        <w:rPr>
          <w:rFonts w:ascii="Arial" w:hAnsi="Arial" w:cs="Arial"/>
          <w:b/>
          <w:color w:val="000000" w:themeColor="text1"/>
          <w:sz w:val="20"/>
          <w:lang w:eastAsia="ko-KR"/>
        </w:rPr>
        <w:t>.</w:t>
      </w:r>
      <w:r w:rsidR="009F2038" w:rsidRPr="00F0435D">
        <w:rPr>
          <w:rFonts w:ascii="Arial" w:hAnsi="Arial" w:cs="Arial"/>
          <w:color w:val="000000" w:themeColor="text1"/>
          <w:sz w:val="20"/>
          <w:lang w:eastAsia="ko-KR"/>
        </w:rPr>
        <w:t xml:space="preserve"> </w:t>
      </w:r>
      <w:r>
        <w:rPr>
          <w:rFonts w:ascii="Arial" w:hAnsi="Arial" w:cs="Arial"/>
          <w:color w:val="000000" w:themeColor="text1"/>
          <w:sz w:val="20"/>
          <w:lang w:val="mn-MN" w:eastAsia="ko-KR"/>
        </w:rPr>
        <w:t>Уул уурхайн ихээхэн нөөцөөс үүдэлтэйгээр урт хугацааны эдийн засгийн төлөв байдал сайн байгаа ч төсвийн болон мөнгөний тэлэх бодлогуудаар дэмжигдсэн хүчтэй дотоодын эрэлт нь төлбөрийн тэнцлийн томоохон дарамтыг нэмэгдүүлж байна. Гадаадын хөрөнгө оруулалтын сул хэвээрээ байгаа энэ үед их хэмжээний урсгал дансны алдагдалтай байх нь эдийн засгийг төлбөрийн тэнцлийн тэнцвэргүй байдлыг эцэстээ шингээх хүчтэй зохицуулалтад оруулах талтай бөгөөд түүний</w:t>
      </w:r>
      <w:r w:rsidR="00491519">
        <w:rPr>
          <w:rFonts w:ascii="Arial" w:hAnsi="Arial" w:cs="Arial"/>
          <w:color w:val="000000" w:themeColor="text1"/>
          <w:sz w:val="20"/>
          <w:lang w:val="mn-MN" w:eastAsia="ko-KR"/>
        </w:rPr>
        <w:t>г</w:t>
      </w:r>
      <w:r>
        <w:rPr>
          <w:rFonts w:ascii="Arial" w:hAnsi="Arial" w:cs="Arial"/>
          <w:color w:val="000000" w:themeColor="text1"/>
          <w:sz w:val="20"/>
          <w:lang w:val="mn-MN" w:eastAsia="ko-KR"/>
        </w:rPr>
        <w:t xml:space="preserve"> валютын ханшны сулралт, дотоодын эрэлтийг огцом бууруулах байдлаар хийгдэх болно.</w:t>
      </w:r>
    </w:p>
    <w:p w14:paraId="684B16E6" w14:textId="77777777" w:rsidR="00FD057C" w:rsidRDefault="00FD057C" w:rsidP="00FD057C">
      <w:pPr>
        <w:pStyle w:val="ListParagraph"/>
        <w:rPr>
          <w:rFonts w:ascii="Times New Roman" w:hAnsi="Times New Roman" w:cs="Times New Roman"/>
          <w:color w:val="000000" w:themeColor="text1"/>
          <w:sz w:val="8"/>
          <w:lang w:eastAsia="ko-KR"/>
        </w:rPr>
      </w:pP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9576"/>
      </w:tblGrid>
      <w:tr w:rsidR="003C640B" w:rsidRPr="008B0016" w14:paraId="2854B6A2" w14:textId="77777777" w:rsidTr="00630B23">
        <w:tc>
          <w:tcPr>
            <w:tcW w:w="9576" w:type="dxa"/>
          </w:tcPr>
          <w:p w14:paraId="5E1F4D25" w14:textId="31CE8BFA" w:rsidR="00030FD0" w:rsidRDefault="00703C35" w:rsidP="00030FD0">
            <w:pPr>
              <w:pStyle w:val="Caption"/>
              <w:keepNext/>
            </w:pPr>
            <w:r>
              <w:rPr>
                <w:lang w:val="mn-MN"/>
              </w:rPr>
              <w:lastRenderedPageBreak/>
              <w:t>Хайрцаг</w:t>
            </w:r>
            <w:r w:rsidR="00030FD0">
              <w:t xml:space="preserve"> </w:t>
            </w:r>
            <w:fldSimple w:instr=" SEQ Box \* ARABIC ">
              <w:r w:rsidR="001919C8">
                <w:rPr>
                  <w:noProof/>
                </w:rPr>
                <w:t>1</w:t>
              </w:r>
            </w:fldSimple>
            <w:r w:rsidR="00030FD0">
              <w:t xml:space="preserve">. </w:t>
            </w:r>
            <w:r>
              <w:rPr>
                <w:lang w:val="mn-MN"/>
              </w:rPr>
              <w:t>Ядуурлын хэмжээ 2012 онд 27.4 хувьд хүрч буурсан</w:t>
            </w:r>
          </w:p>
          <w:p w14:paraId="70F41CA4" w14:textId="52040566" w:rsidR="003C640B" w:rsidRDefault="00703C35" w:rsidP="00827075">
            <w:pPr>
              <w:jc w:val="both"/>
              <w:rPr>
                <w:rFonts w:ascii="Arial" w:hAnsi="Arial" w:cs="Arial"/>
                <w:sz w:val="18"/>
                <w:szCs w:val="20"/>
              </w:rPr>
            </w:pPr>
            <w:r>
              <w:rPr>
                <w:rFonts w:ascii="Arial" w:hAnsi="Arial" w:cs="Arial"/>
                <w:sz w:val="18"/>
                <w:szCs w:val="20"/>
                <w:lang w:val="mn-MN"/>
              </w:rPr>
              <w:t>Дэлхийн банкны техник туслалцаатайгаар, ҮСХ нь ядуурлын шинжилгээг хийсэн бөгөөд үүнд үндэсний хэмжээнд я</w:t>
            </w:r>
            <w:r w:rsidR="00491519">
              <w:rPr>
                <w:rFonts w:ascii="Arial" w:hAnsi="Arial" w:cs="Arial"/>
                <w:sz w:val="18"/>
                <w:szCs w:val="20"/>
                <w:lang w:val="mn-MN"/>
              </w:rPr>
              <w:t>д</w:t>
            </w:r>
            <w:r>
              <w:rPr>
                <w:rFonts w:ascii="Arial" w:hAnsi="Arial" w:cs="Arial"/>
                <w:sz w:val="18"/>
                <w:szCs w:val="20"/>
                <w:lang w:val="mn-MN"/>
              </w:rPr>
              <w:t xml:space="preserve">уурлын хувь 2010 онд </w:t>
            </w:r>
            <w:r w:rsidR="003C640B" w:rsidRPr="008B0016">
              <w:rPr>
                <w:rFonts w:ascii="Arial" w:hAnsi="Arial" w:cs="Arial"/>
                <w:sz w:val="18"/>
                <w:szCs w:val="20"/>
              </w:rPr>
              <w:t>38.7</w:t>
            </w:r>
            <w:r>
              <w:rPr>
                <w:rFonts w:ascii="Arial" w:hAnsi="Arial" w:cs="Arial"/>
                <w:sz w:val="18"/>
                <w:szCs w:val="20"/>
                <w:lang w:val="mn-MN"/>
              </w:rPr>
              <w:t xml:space="preserve"> хувь байснаа</w:t>
            </w:r>
            <w:r w:rsidR="003C640B" w:rsidRPr="008B0016">
              <w:rPr>
                <w:rFonts w:ascii="Arial" w:hAnsi="Arial" w:cs="Arial"/>
                <w:sz w:val="18"/>
                <w:szCs w:val="20"/>
              </w:rPr>
              <w:t xml:space="preserve"> </w:t>
            </w:r>
            <w:r>
              <w:rPr>
                <w:rFonts w:ascii="Arial" w:hAnsi="Arial" w:cs="Arial"/>
                <w:sz w:val="18"/>
                <w:szCs w:val="20"/>
                <w:lang w:val="mn-MN"/>
              </w:rPr>
              <w:t xml:space="preserve">2011 онд </w:t>
            </w:r>
            <w:r w:rsidR="003C640B" w:rsidRPr="008B0016">
              <w:rPr>
                <w:rFonts w:ascii="Arial" w:hAnsi="Arial" w:cs="Arial"/>
                <w:sz w:val="18"/>
                <w:szCs w:val="20"/>
              </w:rPr>
              <w:t xml:space="preserve">33.7 </w:t>
            </w:r>
            <w:r>
              <w:rPr>
                <w:rFonts w:ascii="Arial" w:hAnsi="Arial" w:cs="Arial"/>
                <w:sz w:val="18"/>
                <w:szCs w:val="20"/>
                <w:lang w:val="mn-MN"/>
              </w:rPr>
              <w:t>хувь болж 2012 онд цаашлаад</w:t>
            </w:r>
            <w:r w:rsidR="003C640B" w:rsidRPr="008B0016">
              <w:rPr>
                <w:rFonts w:ascii="Arial" w:hAnsi="Arial" w:cs="Arial"/>
                <w:sz w:val="18"/>
                <w:szCs w:val="20"/>
              </w:rPr>
              <w:t xml:space="preserve"> 27.4 </w:t>
            </w:r>
            <w:r>
              <w:rPr>
                <w:rFonts w:ascii="Arial" w:hAnsi="Arial" w:cs="Arial"/>
                <w:sz w:val="18"/>
                <w:szCs w:val="20"/>
                <w:lang w:val="mn-MN"/>
              </w:rPr>
              <w:t xml:space="preserve">хувь хүртэл буурчээ, жилдээ 5 эсвэл 6 хувийн бууралт гаргасан байна. </w:t>
            </w:r>
            <w:r w:rsidR="00F90C18">
              <w:rPr>
                <w:rFonts w:ascii="Arial" w:hAnsi="Arial" w:cs="Arial"/>
                <w:sz w:val="18"/>
                <w:szCs w:val="20"/>
                <w:lang w:val="mn-MN"/>
              </w:rPr>
              <w:t>Ядуурлын хувь хөдөө</w:t>
            </w:r>
            <w:r w:rsidR="00F645AC">
              <w:rPr>
                <w:rFonts w:ascii="Arial" w:hAnsi="Arial" w:cs="Arial"/>
                <w:sz w:val="18"/>
                <w:szCs w:val="20"/>
              </w:rPr>
              <w:t xml:space="preserve"> </w:t>
            </w:r>
            <w:r w:rsidR="00F645AC">
              <w:rPr>
                <w:rFonts w:ascii="Arial" w:hAnsi="Arial" w:cs="Arial"/>
                <w:sz w:val="18"/>
                <w:szCs w:val="20"/>
                <w:lang w:val="mn-MN"/>
              </w:rPr>
              <w:t xml:space="preserve">нутаг болон хотын бүс нутагт аль алинд нь буурсан. Хотын бүс нутагт, ядуурлын хувьд хоёр жилийн туршид </w:t>
            </w:r>
            <w:r w:rsidR="00827075">
              <w:rPr>
                <w:rFonts w:ascii="Arial" w:hAnsi="Arial" w:cs="Arial"/>
                <w:sz w:val="18"/>
                <w:szCs w:val="20"/>
              </w:rPr>
              <w:t xml:space="preserve">9.9 </w:t>
            </w:r>
            <w:r w:rsidR="00F645AC">
              <w:rPr>
                <w:rFonts w:ascii="Arial" w:hAnsi="Arial" w:cs="Arial"/>
                <w:sz w:val="18"/>
                <w:szCs w:val="20"/>
                <w:lang w:val="mn-MN"/>
              </w:rPr>
              <w:t>хувиар буурлаа. Харин хөдөө нутагт ядуурал илүү өндөр хувиар</w:t>
            </w:r>
            <w:r w:rsidR="00491519">
              <w:rPr>
                <w:rFonts w:ascii="Arial" w:hAnsi="Arial" w:cs="Arial"/>
                <w:sz w:val="18"/>
                <w:szCs w:val="20"/>
                <w:lang w:val="mn-MN"/>
              </w:rPr>
              <w:t xml:space="preserve"> буюу</w:t>
            </w:r>
            <w:r w:rsidR="00F645AC">
              <w:rPr>
                <w:rFonts w:ascii="Arial" w:hAnsi="Arial" w:cs="Arial"/>
                <w:sz w:val="18"/>
                <w:szCs w:val="20"/>
                <w:lang w:val="mn-MN"/>
              </w:rPr>
              <w:t xml:space="preserve"> 13.5 хувиар буурчээ. Өрхийн нийгэм, эдийн засгийн судалгааны тоо мэдээллээс харахад, нэг хүнд ногдох өрхийн хүнсний болон хүнсний бус бараг бүх ангилал өссөн дүнтэй байна. </w:t>
            </w:r>
          </w:p>
          <w:tbl>
            <w:tblPr>
              <w:tblpPr w:leftFromText="180" w:rightFromText="180" w:vertAnchor="text" w:horzAnchor="margin" w:tblpXSpec="right" w:tblpY="-325"/>
              <w:tblOverlap w:val="never"/>
              <w:tblW w:w="0" w:type="auto"/>
              <w:tblLook w:val="04A0" w:firstRow="1" w:lastRow="0" w:firstColumn="1" w:lastColumn="0" w:noHBand="0" w:noVBand="1"/>
            </w:tblPr>
            <w:tblGrid>
              <w:gridCol w:w="4950"/>
            </w:tblGrid>
            <w:tr w:rsidR="00251053" w:rsidRPr="000A2BAB" w14:paraId="0120BE08" w14:textId="77777777" w:rsidTr="00251053">
              <w:trPr>
                <w:trHeight w:val="247"/>
              </w:trPr>
              <w:tc>
                <w:tcPr>
                  <w:tcW w:w="4950" w:type="dxa"/>
                  <w:tcBorders>
                    <w:bottom w:val="single" w:sz="4" w:space="0" w:color="984806" w:themeColor="accent6" w:themeShade="80"/>
                  </w:tcBorders>
                </w:tcPr>
                <w:p w14:paraId="68F459AA" w14:textId="0B2618D3" w:rsidR="00251053" w:rsidRPr="00B369A6" w:rsidRDefault="00A6588B" w:rsidP="00630B23">
                  <w:pPr>
                    <w:pStyle w:val="Caption"/>
                    <w:keepNext/>
                    <w:spacing w:after="0"/>
                  </w:pPr>
                  <w:bookmarkStart w:id="27" w:name="_Toc371338622"/>
                  <w:r>
                    <w:rPr>
                      <w:lang w:val="mn-MN"/>
                    </w:rPr>
                    <w:t>Зураг</w:t>
                  </w:r>
                  <w:r w:rsidR="004B523E">
                    <w:t xml:space="preserve"> </w:t>
                  </w:r>
                  <w:fldSimple w:instr=" SEQ Figure \* ARABIC ">
                    <w:r w:rsidR="002E38E0">
                      <w:rPr>
                        <w:noProof/>
                      </w:rPr>
                      <w:t>14</w:t>
                    </w:r>
                  </w:fldSimple>
                  <w:r w:rsidR="004B523E">
                    <w:t xml:space="preserve">. </w:t>
                  </w:r>
                  <w:r>
                    <w:rPr>
                      <w:lang w:val="mn-MN"/>
                    </w:rPr>
                    <w:t>Ядуурлын түвшин нэлээд буурчээ</w:t>
                  </w:r>
                  <w:bookmarkEnd w:id="27"/>
                </w:p>
              </w:tc>
            </w:tr>
            <w:tr w:rsidR="00251053" w:rsidRPr="000A2BAB" w14:paraId="30E4B40B" w14:textId="77777777" w:rsidTr="00251053">
              <w:trPr>
                <w:trHeight w:val="2974"/>
              </w:trPr>
              <w:tc>
                <w:tcPr>
                  <w:tcW w:w="4950" w:type="dxa"/>
                  <w:tcBorders>
                    <w:top w:val="single" w:sz="4" w:space="0" w:color="984806" w:themeColor="accent6" w:themeShade="80"/>
                  </w:tcBorders>
                </w:tcPr>
                <w:p w14:paraId="6026E244" w14:textId="4F930050" w:rsidR="00251053" w:rsidRPr="00251053" w:rsidRDefault="00A6588B" w:rsidP="00251053">
                  <w:pPr>
                    <w:pStyle w:val="Caption"/>
                    <w:rPr>
                      <w:noProof/>
                      <w:lang w:eastAsia="ko-KR"/>
                    </w:rPr>
                  </w:pPr>
                  <w:r>
                    <w:rPr>
                      <w:b w:val="0"/>
                      <w:color w:val="auto"/>
                      <w:lang w:val="mn-MN"/>
                    </w:rPr>
                    <w:t>Албан ёсны ядуурлын түвшин</w:t>
                  </w:r>
                  <w:r w:rsidR="00251053" w:rsidRPr="00251053">
                    <w:rPr>
                      <w:b w:val="0"/>
                      <w:color w:val="auto"/>
                    </w:rPr>
                    <w:t xml:space="preserve"> (%)</w:t>
                  </w:r>
                </w:p>
                <w:p w14:paraId="4EC32EBC" w14:textId="77777777" w:rsidR="00251053" w:rsidRPr="009F2038" w:rsidRDefault="00251053" w:rsidP="00251053">
                  <w:pPr>
                    <w:rPr>
                      <w:sz w:val="8"/>
                      <w:lang w:eastAsia="ko-KR"/>
                    </w:rPr>
                  </w:pPr>
                  <w:r w:rsidRPr="00251053">
                    <w:rPr>
                      <w:rFonts w:ascii="Arial" w:hAnsi="Arial" w:cs="Arial"/>
                      <w:noProof/>
                      <w:sz w:val="14"/>
                    </w:rPr>
                    <w:drawing>
                      <wp:inline distT="0" distB="0" distL="0" distR="0" wp14:anchorId="4E476A62" wp14:editId="3510F5F8">
                        <wp:extent cx="2721428" cy="1621971"/>
                        <wp:effectExtent l="0" t="0" r="3175" b="0"/>
                        <wp:docPr id="47"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c>
            </w:tr>
            <w:tr w:rsidR="00251053" w:rsidRPr="000A2BAB" w14:paraId="1FBA6F2A" w14:textId="77777777" w:rsidTr="00251053">
              <w:trPr>
                <w:trHeight w:val="71"/>
              </w:trPr>
              <w:tc>
                <w:tcPr>
                  <w:tcW w:w="4950" w:type="dxa"/>
                </w:tcPr>
                <w:p w14:paraId="50DBEA5A" w14:textId="791C2BAE" w:rsidR="00251053" w:rsidRPr="00660167" w:rsidRDefault="00251053">
                  <w:pPr>
                    <w:pStyle w:val="NoSpacing"/>
                    <w:jc w:val="both"/>
                    <w:rPr>
                      <w:sz w:val="14"/>
                      <w:szCs w:val="18"/>
                      <w:lang w:val="mn-MN"/>
                    </w:rPr>
                  </w:pPr>
                  <w:r>
                    <w:rPr>
                      <w:i/>
                      <w:sz w:val="14"/>
                      <w:szCs w:val="18"/>
                    </w:rPr>
                    <w:t xml:space="preserve">   </w:t>
                  </w:r>
                  <w:r w:rsidR="00A6588B">
                    <w:rPr>
                      <w:i/>
                      <w:sz w:val="14"/>
                      <w:szCs w:val="18"/>
                      <w:lang w:val="mn-MN"/>
                    </w:rPr>
                    <w:t>Эх үүсвэр: ҮСХ, ДБ мэргэжилтнүүд</w:t>
                  </w:r>
                </w:p>
              </w:tc>
            </w:tr>
          </w:tbl>
          <w:p w14:paraId="27C33B01" w14:textId="379A5D64" w:rsidR="003C640B" w:rsidRDefault="00F645AC" w:rsidP="00DA0BC7">
            <w:pPr>
              <w:jc w:val="both"/>
              <w:rPr>
                <w:rFonts w:ascii="Arial" w:hAnsi="Arial" w:cs="Arial"/>
                <w:sz w:val="18"/>
                <w:szCs w:val="20"/>
              </w:rPr>
            </w:pPr>
            <w:r>
              <w:rPr>
                <w:rFonts w:ascii="Arial" w:hAnsi="Arial" w:cs="Arial"/>
                <w:sz w:val="18"/>
                <w:szCs w:val="20"/>
                <w:lang w:val="mn-MN"/>
              </w:rPr>
              <w:t xml:space="preserve">Албан ёсны </w:t>
            </w:r>
            <w:r w:rsidR="003C640B" w:rsidRPr="008B0016">
              <w:rPr>
                <w:rFonts w:ascii="Arial" w:hAnsi="Arial" w:cs="Arial"/>
                <w:sz w:val="18"/>
                <w:szCs w:val="20"/>
              </w:rPr>
              <w:t xml:space="preserve">2010-2012 </w:t>
            </w:r>
            <w:r>
              <w:rPr>
                <w:rFonts w:ascii="Arial" w:hAnsi="Arial" w:cs="Arial"/>
                <w:sz w:val="18"/>
                <w:szCs w:val="20"/>
                <w:lang w:val="mn-MN"/>
              </w:rPr>
              <w:t>ядуурлын үнэлгээ нь Монгол улсад ядуурал буурч байгаа дэвшлийг хянах боломж олгож байна. Тэдгээрийг 2010 оны өрхийн нийгэм эдийн засгийн судалгааны тоо мэдээллээс гаргаж авсан ядуурлын шугам дээр үндэслэн цаг хугацааны хувьд харьцуулах боломжтой. Энэхүү цуваа нь хэд хэдэн арга зүйн шинэчлэлийг хийсэн. Нэгдүгээрт, өрхийн нийт хэрэглээнд өрх бүрээс цуглуулж авсан хэрэглээний түлшний тооцсон утгыг багтаасан. Энэ нь хөдөөгийн өрхийн ялангуяа Монголын урт, хүйтэн өв</w:t>
            </w:r>
            <w:r w:rsidR="00A6588B">
              <w:rPr>
                <w:rFonts w:ascii="Arial" w:hAnsi="Arial" w:cs="Arial"/>
                <w:sz w:val="18"/>
                <w:szCs w:val="20"/>
                <w:lang w:val="mn-MN"/>
              </w:rPr>
              <w:t>лийн түлшний хэрэглээг ойролцоолон гаргаж байна.</w:t>
            </w:r>
            <w:r w:rsidR="003C640B" w:rsidRPr="008B0016">
              <w:rPr>
                <w:rFonts w:ascii="Arial" w:hAnsi="Arial" w:cs="Arial"/>
                <w:sz w:val="18"/>
                <w:szCs w:val="20"/>
              </w:rPr>
              <w:t xml:space="preserve"> </w:t>
            </w:r>
            <w:r w:rsidR="00A6588B">
              <w:rPr>
                <w:rFonts w:ascii="Arial" w:hAnsi="Arial" w:cs="Arial"/>
                <w:sz w:val="18"/>
                <w:szCs w:val="20"/>
                <w:lang w:val="mn-MN"/>
              </w:rPr>
              <w:t>Хоёрдугаарт</w:t>
            </w:r>
            <w:r w:rsidR="003C640B" w:rsidRPr="008B0016">
              <w:rPr>
                <w:rFonts w:ascii="Arial" w:hAnsi="Arial" w:cs="Arial"/>
                <w:sz w:val="18"/>
                <w:szCs w:val="20"/>
              </w:rPr>
              <w:t xml:space="preserve">, </w:t>
            </w:r>
            <w:r w:rsidR="00A6588B">
              <w:rPr>
                <w:rFonts w:ascii="Arial" w:hAnsi="Arial" w:cs="Arial"/>
                <w:sz w:val="18"/>
                <w:szCs w:val="20"/>
                <w:lang w:val="mn-MN"/>
              </w:rPr>
              <w:t>шинэ үнэлгээ нь өмнөх үеийнхийг бодвол одоогийн хүн амын тархалтын талаар илүү бодитой мэдээлэл дээр үндэслэсэн. Судалгааны түүврийн жин нь 2010 оны хүн амын судалгаанаас үндэслэн хот-хөдөө болон аймагийн хүн амын тархалтыг илүү харуулж</w:t>
            </w:r>
            <w:r w:rsidR="00491519">
              <w:rPr>
                <w:rFonts w:ascii="Arial" w:hAnsi="Arial" w:cs="Arial"/>
                <w:sz w:val="18"/>
                <w:szCs w:val="20"/>
                <w:lang w:val="mn-MN"/>
              </w:rPr>
              <w:t xml:space="preserve"> чадсан</w:t>
            </w:r>
            <w:r w:rsidR="00A6588B">
              <w:rPr>
                <w:rFonts w:ascii="Arial" w:hAnsi="Arial" w:cs="Arial"/>
                <w:sz w:val="18"/>
                <w:szCs w:val="20"/>
                <w:lang w:val="mn-MN"/>
              </w:rPr>
              <w:t>, сайжруулсан. Гуравдугаарт</w:t>
            </w:r>
            <w:r w:rsidR="003C640B" w:rsidRPr="008B0016">
              <w:rPr>
                <w:rFonts w:ascii="Arial" w:hAnsi="Arial" w:cs="Arial"/>
                <w:sz w:val="18"/>
                <w:szCs w:val="20"/>
              </w:rPr>
              <w:t>,</w:t>
            </w:r>
            <w:r w:rsidR="00A6588B">
              <w:rPr>
                <w:rFonts w:ascii="Arial" w:hAnsi="Arial" w:cs="Arial"/>
                <w:sz w:val="18"/>
                <w:szCs w:val="20"/>
                <w:lang w:val="mn-MN"/>
              </w:rPr>
              <w:t xml:space="preserve"> шинэ үнэлгээ нь 2010 оны суурь үнээр хүнсний бус ядуурлын шугамыг сүүлийн жилүүдэд тохируулга хийж шинэ албан ёсны ХҮИ-ийн тоог </w:t>
            </w:r>
            <w:r w:rsidR="00A6588B">
              <w:rPr>
                <w:rFonts w:ascii="Arial" w:hAnsi="Arial" w:cs="Arial"/>
                <w:sz w:val="18"/>
                <w:szCs w:val="20"/>
              </w:rPr>
              <w:t>(</w:t>
            </w:r>
            <w:r w:rsidR="00A6588B">
              <w:rPr>
                <w:rFonts w:ascii="Arial" w:hAnsi="Arial" w:cs="Arial"/>
                <w:sz w:val="18"/>
                <w:szCs w:val="20"/>
                <w:lang w:val="mn-MN"/>
              </w:rPr>
              <w:t>2012 онд гаргасан</w:t>
            </w:r>
            <w:r w:rsidR="00A6588B">
              <w:rPr>
                <w:rFonts w:ascii="Arial" w:hAnsi="Arial" w:cs="Arial"/>
                <w:sz w:val="18"/>
                <w:szCs w:val="20"/>
              </w:rPr>
              <w:t>)</w:t>
            </w:r>
            <w:r w:rsidR="00A6588B">
              <w:rPr>
                <w:rFonts w:ascii="Arial" w:hAnsi="Arial" w:cs="Arial"/>
                <w:sz w:val="18"/>
                <w:szCs w:val="20"/>
                <w:lang w:val="mn-MN"/>
              </w:rPr>
              <w:t xml:space="preserve"> хэрэглэсэн. Фишерийн хүнсний индекс нь</w:t>
            </w:r>
            <w:r w:rsidR="003C640B" w:rsidRPr="008B0016">
              <w:rPr>
                <w:rStyle w:val="FootnoteReference"/>
                <w:rFonts w:ascii="Arial" w:hAnsi="Arial" w:cs="Arial"/>
                <w:sz w:val="18"/>
                <w:szCs w:val="20"/>
              </w:rPr>
              <w:footnoteReference w:id="5"/>
            </w:r>
            <w:r w:rsidR="00A6588B">
              <w:rPr>
                <w:rFonts w:ascii="Arial" w:hAnsi="Arial" w:cs="Arial"/>
                <w:sz w:val="18"/>
                <w:szCs w:val="20"/>
                <w:lang w:val="mn-MN"/>
              </w:rPr>
              <w:t xml:space="preserve"> хүнсний ядуурлы</w:t>
            </w:r>
            <w:r w:rsidR="00491519">
              <w:rPr>
                <w:rFonts w:ascii="Arial" w:hAnsi="Arial" w:cs="Arial"/>
                <w:sz w:val="18"/>
                <w:szCs w:val="20"/>
                <w:lang w:val="mn-MN"/>
              </w:rPr>
              <w:t>н</w:t>
            </w:r>
            <w:r w:rsidR="00A6588B">
              <w:rPr>
                <w:rFonts w:ascii="Arial" w:hAnsi="Arial" w:cs="Arial"/>
                <w:sz w:val="18"/>
                <w:szCs w:val="20"/>
                <w:lang w:val="mn-MN"/>
              </w:rPr>
              <w:t xml:space="preserve"> шугам</w:t>
            </w:r>
            <w:r w:rsidR="00491519">
              <w:rPr>
                <w:rFonts w:ascii="Arial" w:hAnsi="Arial" w:cs="Arial"/>
                <w:sz w:val="18"/>
                <w:szCs w:val="20"/>
                <w:lang w:val="mn-MN"/>
              </w:rPr>
              <w:t>д</w:t>
            </w:r>
            <w:r w:rsidR="00A6588B">
              <w:rPr>
                <w:rFonts w:ascii="Arial" w:hAnsi="Arial" w:cs="Arial"/>
                <w:sz w:val="18"/>
                <w:szCs w:val="20"/>
                <w:lang w:val="mn-MN"/>
              </w:rPr>
              <w:t xml:space="preserve"> тохируулга хийхэд ашиглагдан хэрэглэгдэж байна. </w:t>
            </w:r>
          </w:p>
          <w:p w14:paraId="3BBFF9E9" w14:textId="2842F0D4" w:rsidR="003C640B" w:rsidRPr="008B0016" w:rsidRDefault="00A6588B" w:rsidP="00DA0BC7">
            <w:pPr>
              <w:jc w:val="both"/>
              <w:rPr>
                <w:rFonts w:ascii="Arial" w:hAnsi="Arial" w:cs="Arial"/>
                <w:sz w:val="18"/>
                <w:szCs w:val="20"/>
              </w:rPr>
            </w:pPr>
            <w:r>
              <w:rPr>
                <w:rFonts w:ascii="Arial" w:hAnsi="Arial" w:cs="Arial"/>
                <w:sz w:val="18"/>
                <w:szCs w:val="20"/>
                <w:lang w:val="mn-MN"/>
              </w:rPr>
              <w:t>Ядуурлын шинжилгээний энэхүү аргачлал нь цаг хугацааны туршид ядуурлыг үнэлэхэд олон улсын стандарт практиктай уялдуулах боломжийг олгосон. Эдгээр шинэч</w:t>
            </w:r>
            <w:r w:rsidR="00491519">
              <w:rPr>
                <w:rFonts w:ascii="Arial" w:hAnsi="Arial" w:cs="Arial"/>
                <w:sz w:val="18"/>
                <w:szCs w:val="20"/>
                <w:lang w:val="mn-MN"/>
              </w:rPr>
              <w:t>илсэ</w:t>
            </w:r>
            <w:r>
              <w:rPr>
                <w:rFonts w:ascii="Arial" w:hAnsi="Arial" w:cs="Arial"/>
                <w:sz w:val="18"/>
                <w:szCs w:val="20"/>
                <w:lang w:val="mn-MN"/>
              </w:rPr>
              <w:t>н тооцоонууд нь өрхийн хэрэглээний үнэн бодит байдлыг сайжруулж, өнөөгийн хүн ам зүйн өөрчлөлтийг илэрхийлнэ. Ийм сайжруулалт гарснаар бодлого боловсруулагчдад нийгмийн дэвшил хөгжлийг хянах, ядууралын талаарх төрийн бодлого, өсөлтийн нөлөөг тооцоход илүү бодитой үзүүлэлт</w:t>
            </w:r>
            <w:r w:rsidR="00491519">
              <w:rPr>
                <w:rFonts w:ascii="Arial" w:hAnsi="Arial" w:cs="Arial"/>
                <w:sz w:val="18"/>
                <w:szCs w:val="20"/>
                <w:lang w:val="mn-MN"/>
              </w:rPr>
              <w:t>ийг</w:t>
            </w:r>
            <w:r>
              <w:rPr>
                <w:rFonts w:ascii="Arial" w:hAnsi="Arial" w:cs="Arial"/>
                <w:sz w:val="18"/>
                <w:szCs w:val="20"/>
                <w:lang w:val="mn-MN"/>
              </w:rPr>
              <w:t xml:space="preserve"> хангаж өглөө.</w:t>
            </w:r>
            <w:r w:rsidR="003C640B" w:rsidRPr="008B0016">
              <w:rPr>
                <w:rFonts w:ascii="Arial" w:hAnsi="Arial" w:cs="Arial"/>
                <w:sz w:val="18"/>
                <w:szCs w:val="20"/>
              </w:rPr>
              <w:t xml:space="preserve">  </w:t>
            </w:r>
          </w:p>
          <w:p w14:paraId="7BB9F764" w14:textId="7676D37C" w:rsidR="00892B86" w:rsidRPr="00660167" w:rsidRDefault="00A6588B" w:rsidP="00660167">
            <w:pPr>
              <w:keepNext/>
              <w:jc w:val="both"/>
              <w:rPr>
                <w:rFonts w:ascii="Arial" w:hAnsi="Arial" w:cs="Arial"/>
                <w:sz w:val="16"/>
                <w:szCs w:val="20"/>
                <w:lang w:val="mn-MN"/>
              </w:rPr>
            </w:pPr>
            <w:r>
              <w:rPr>
                <w:rFonts w:ascii="Arial" w:hAnsi="Arial" w:cs="Arial"/>
                <w:sz w:val="16"/>
                <w:szCs w:val="20"/>
                <w:lang w:val="mn-MN"/>
              </w:rPr>
              <w:t>Эх үүсвэр: ДБ-ны мэргэжилтнүүд</w:t>
            </w:r>
          </w:p>
        </w:tc>
        <w:bookmarkStart w:id="28" w:name="_GoBack"/>
        <w:bookmarkEnd w:id="28"/>
      </w:tr>
    </w:tbl>
    <w:p w14:paraId="5A04897A" w14:textId="2AC51F7E" w:rsidR="00030FD0" w:rsidRDefault="00030FD0">
      <w:pPr>
        <w:pStyle w:val="Caption"/>
      </w:pPr>
      <w:bookmarkStart w:id="29" w:name="_Toc370981668"/>
      <w:bookmarkEnd w:id="24"/>
    </w:p>
    <w:p w14:paraId="54EF2FB4" w14:textId="4F027D88" w:rsidR="00E95E5E" w:rsidRPr="00660167" w:rsidRDefault="00A6588B" w:rsidP="00E95E5E">
      <w:pPr>
        <w:pStyle w:val="Heading2"/>
        <w:pBdr>
          <w:bottom w:val="single" w:sz="4" w:space="1" w:color="auto"/>
        </w:pBdr>
        <w:rPr>
          <w:rFonts w:asciiTheme="minorHAnsi" w:hAnsiTheme="minorHAnsi" w:cstheme="minorHAnsi"/>
          <w:color w:val="002060"/>
          <w:sz w:val="28"/>
          <w:lang w:eastAsia="ko-KR"/>
        </w:rPr>
      </w:pPr>
      <w:bookmarkStart w:id="30" w:name="_Toc371338277"/>
      <w:bookmarkEnd w:id="29"/>
      <w:r>
        <w:rPr>
          <w:rFonts w:asciiTheme="minorHAnsi" w:hAnsiTheme="minorHAnsi" w:cstheme="minorHAnsi"/>
          <w:color w:val="002060"/>
          <w:sz w:val="28"/>
          <w:lang w:val="mn-MN" w:eastAsia="ko-KR"/>
        </w:rPr>
        <w:t>Инфляци</w:t>
      </w:r>
      <w:bookmarkEnd w:id="30"/>
      <w:r w:rsidRPr="00660167">
        <w:rPr>
          <w:rFonts w:asciiTheme="minorHAnsi" w:hAnsiTheme="minorHAnsi" w:cstheme="minorHAnsi"/>
          <w:color w:val="002060"/>
          <w:sz w:val="28"/>
          <w:lang w:eastAsia="ko-KR"/>
        </w:rPr>
        <w:t xml:space="preserve"> </w:t>
      </w:r>
    </w:p>
    <w:p w14:paraId="7705F7D6" w14:textId="77777777" w:rsidR="00023C81" w:rsidRPr="00023C81" w:rsidRDefault="00023C81" w:rsidP="00023C81">
      <w:pPr>
        <w:pStyle w:val="NoSpacing"/>
        <w:rPr>
          <w:lang w:eastAsia="ko-KR"/>
        </w:rPr>
      </w:pPr>
    </w:p>
    <w:p w14:paraId="3B01B8B7" w14:textId="3C84B96D" w:rsidR="006C0AC3" w:rsidRDefault="00A6588B" w:rsidP="008745D3">
      <w:pPr>
        <w:jc w:val="both"/>
        <w:rPr>
          <w:rFonts w:ascii="Arial" w:hAnsi="Arial" w:cs="Arial"/>
          <w:sz w:val="20"/>
          <w:szCs w:val="20"/>
        </w:rPr>
      </w:pPr>
      <w:bookmarkStart w:id="31" w:name="_Toc353414331"/>
      <w:r>
        <w:rPr>
          <w:rFonts w:ascii="Arial" w:hAnsi="Arial" w:cs="Arial"/>
          <w:b/>
          <w:sz w:val="20"/>
          <w:szCs w:val="20"/>
          <w:lang w:val="mn-MN"/>
        </w:rPr>
        <w:t xml:space="preserve">Инфляци жилийн туршид нэг оронтой тоонд байгаа боловч инфляцийн дарамт нэмэгдэж байгаа хандлага байна. </w:t>
      </w:r>
      <w:r w:rsidR="00C1750B">
        <w:rPr>
          <w:rFonts w:ascii="Arial" w:hAnsi="Arial" w:cs="Arial"/>
          <w:sz w:val="20"/>
          <w:szCs w:val="20"/>
          <w:lang w:val="mn-MN"/>
        </w:rPr>
        <w:t xml:space="preserve">Нэгдүгээр сард 13.0 хувь байсан улсын инфляци 7 дугаар сард </w:t>
      </w:r>
      <w:r w:rsidR="00827075" w:rsidRPr="008D5045">
        <w:rPr>
          <w:rFonts w:ascii="Arial" w:hAnsi="Arial" w:cs="Arial"/>
          <w:sz w:val="20"/>
          <w:szCs w:val="20"/>
        </w:rPr>
        <w:t>8.3</w:t>
      </w:r>
      <w:r w:rsidR="00C1750B">
        <w:rPr>
          <w:rFonts w:ascii="Arial" w:hAnsi="Arial" w:cs="Arial"/>
          <w:sz w:val="20"/>
          <w:szCs w:val="20"/>
          <w:lang w:val="mn-MN"/>
        </w:rPr>
        <w:t xml:space="preserve"> хувь хүртэл буурч байсан бол 8 дугаар сард </w:t>
      </w:r>
      <w:r w:rsidR="006C0AC3" w:rsidRPr="008D5045">
        <w:rPr>
          <w:rFonts w:ascii="Arial" w:hAnsi="Arial" w:cs="Arial"/>
          <w:sz w:val="20"/>
          <w:szCs w:val="20"/>
        </w:rPr>
        <w:t>9.4</w:t>
      </w:r>
      <w:r w:rsidR="00C1750B">
        <w:rPr>
          <w:rFonts w:ascii="Arial" w:hAnsi="Arial" w:cs="Arial"/>
          <w:sz w:val="20"/>
          <w:szCs w:val="20"/>
          <w:lang w:val="mn-MN"/>
        </w:rPr>
        <w:t xml:space="preserve"> хувь, 9 дүгээр сард өмнөх жилтэй харьцуулбал 9.9 хувь </w:t>
      </w:r>
      <w:r w:rsidR="00C1750B">
        <w:rPr>
          <w:rFonts w:ascii="Arial" w:hAnsi="Arial" w:cs="Arial"/>
          <w:sz w:val="20"/>
          <w:szCs w:val="20"/>
          <w:lang w:val="mn-MN"/>
        </w:rPr>
        <w:lastRenderedPageBreak/>
        <w:t xml:space="preserve">болжээ. Харин нийслэл хотын инфляцийн түвшин нь 1 дүгээр сард 12.7 хувиас буурч 7 дугаар сард 7.0 хувь хүрэн буурч 8 болон 9 дүгээр саруудад </w:t>
      </w:r>
      <w:r w:rsidR="00422506" w:rsidRPr="008D5045">
        <w:rPr>
          <w:rFonts w:ascii="Arial" w:hAnsi="Arial" w:cs="Arial"/>
          <w:sz w:val="20"/>
          <w:szCs w:val="20"/>
        </w:rPr>
        <w:t xml:space="preserve">8.4 </w:t>
      </w:r>
      <w:r w:rsidR="00C1750B">
        <w:rPr>
          <w:rFonts w:ascii="Arial" w:hAnsi="Arial" w:cs="Arial"/>
          <w:sz w:val="20"/>
          <w:szCs w:val="20"/>
          <w:lang w:val="mn-MN"/>
        </w:rPr>
        <w:t>хувь болон хурдассан байна.</w:t>
      </w:r>
      <w:r w:rsidR="006C0AC3" w:rsidRPr="008D5045">
        <w:rPr>
          <w:rFonts w:ascii="Arial" w:hAnsi="Arial" w:cs="Arial"/>
          <w:sz w:val="20"/>
          <w:szCs w:val="20"/>
        </w:rPr>
        <w:t xml:space="preserve">  </w:t>
      </w:r>
      <w:r w:rsidR="00B6378E">
        <w:rPr>
          <w:rFonts w:ascii="Arial" w:hAnsi="Arial" w:cs="Arial"/>
          <w:sz w:val="20"/>
          <w:szCs w:val="20"/>
        </w:rPr>
        <w:t>(</w:t>
      </w:r>
      <w:r w:rsidR="00C1750B">
        <w:rPr>
          <w:rFonts w:ascii="Arial" w:hAnsi="Arial" w:cs="Arial"/>
          <w:sz w:val="20"/>
          <w:szCs w:val="20"/>
          <w:lang w:val="mn-MN"/>
        </w:rPr>
        <w:t>Зураг</w:t>
      </w:r>
      <w:r w:rsidR="00C1750B">
        <w:rPr>
          <w:rFonts w:ascii="Arial" w:hAnsi="Arial" w:cs="Arial"/>
          <w:sz w:val="20"/>
          <w:szCs w:val="20"/>
        </w:rPr>
        <w:t xml:space="preserve"> </w:t>
      </w:r>
      <w:r w:rsidR="00B6378E">
        <w:rPr>
          <w:rFonts w:ascii="Arial" w:hAnsi="Arial" w:cs="Arial"/>
          <w:sz w:val="20"/>
          <w:szCs w:val="20"/>
        </w:rPr>
        <w:t>15)</w:t>
      </w:r>
    </w:p>
    <w:tbl>
      <w:tblPr>
        <w:tblW w:w="0" w:type="auto"/>
        <w:tblInd w:w="108" w:type="dxa"/>
        <w:tblLook w:val="04A0" w:firstRow="1" w:lastRow="0" w:firstColumn="1" w:lastColumn="0" w:noHBand="0" w:noVBand="1"/>
      </w:tblPr>
      <w:tblGrid>
        <w:gridCol w:w="3959"/>
        <w:gridCol w:w="646"/>
        <w:gridCol w:w="222"/>
        <w:gridCol w:w="4641"/>
      </w:tblGrid>
      <w:tr w:rsidR="00B6378E" w:rsidRPr="000A2BAB" w14:paraId="740E64EC" w14:textId="77777777" w:rsidTr="00B6378E">
        <w:tc>
          <w:tcPr>
            <w:tcW w:w="4587" w:type="dxa"/>
            <w:gridSpan w:val="2"/>
            <w:tcBorders>
              <w:bottom w:val="single" w:sz="4" w:space="0" w:color="984806" w:themeColor="accent6" w:themeShade="80"/>
            </w:tcBorders>
          </w:tcPr>
          <w:p w14:paraId="63F0627D" w14:textId="24921EAB" w:rsidR="00B6378E" w:rsidRPr="00B6378E" w:rsidRDefault="00B6378E" w:rsidP="00630B23">
            <w:pPr>
              <w:pStyle w:val="Caption"/>
              <w:spacing w:after="0"/>
              <w:rPr>
                <w:color w:val="auto"/>
              </w:rPr>
            </w:pPr>
            <w:r w:rsidRPr="00B6378E">
              <w:rPr>
                <w:color w:val="auto"/>
              </w:rPr>
              <w:t xml:space="preserve"> </w:t>
            </w:r>
            <w:bookmarkStart w:id="32" w:name="_Toc371338623"/>
            <w:r w:rsidR="00C1750B">
              <w:rPr>
                <w:lang w:val="mn-MN"/>
              </w:rPr>
              <w:t>Зураг</w:t>
            </w:r>
            <w:r w:rsidR="004B523E">
              <w:t xml:space="preserve"> </w:t>
            </w:r>
            <w:fldSimple w:instr=" SEQ Figure \* ARABIC ">
              <w:r w:rsidR="002E38E0">
                <w:rPr>
                  <w:noProof/>
                </w:rPr>
                <w:t>15</w:t>
              </w:r>
            </w:fldSimple>
            <w:r w:rsidR="004B523E">
              <w:t>.</w:t>
            </w:r>
            <w:r w:rsidR="00C1750B">
              <w:rPr>
                <w:lang w:val="mn-MN"/>
              </w:rPr>
              <w:t xml:space="preserve"> Сүүлийн саруудад инфляци өсч байна</w:t>
            </w:r>
            <w:r w:rsidR="00C1750B" w:rsidRPr="00D04D0F">
              <w:t xml:space="preserve"> </w:t>
            </w:r>
            <w:r w:rsidR="004B523E" w:rsidRPr="00D04D0F">
              <w:t>…</w:t>
            </w:r>
            <w:bookmarkEnd w:id="32"/>
          </w:p>
        </w:tc>
        <w:tc>
          <w:tcPr>
            <w:tcW w:w="236" w:type="dxa"/>
          </w:tcPr>
          <w:p w14:paraId="17FF39AB" w14:textId="77777777" w:rsidR="00B6378E" w:rsidRPr="00266CCE" w:rsidRDefault="00B6378E" w:rsidP="00630B23">
            <w:pPr>
              <w:pStyle w:val="Caption"/>
              <w:spacing w:after="0"/>
              <w:jc w:val="center"/>
              <w:rPr>
                <w:color w:val="auto"/>
                <w:sz w:val="2"/>
              </w:rPr>
            </w:pPr>
          </w:p>
        </w:tc>
        <w:tc>
          <w:tcPr>
            <w:tcW w:w="4645" w:type="dxa"/>
            <w:tcBorders>
              <w:bottom w:val="single" w:sz="4" w:space="0" w:color="984806" w:themeColor="accent6" w:themeShade="80"/>
            </w:tcBorders>
          </w:tcPr>
          <w:p w14:paraId="355409F2" w14:textId="22A100CA" w:rsidR="00B6378E" w:rsidRPr="00B6378E" w:rsidRDefault="00B6378E" w:rsidP="00630B23">
            <w:pPr>
              <w:pStyle w:val="Caption"/>
              <w:spacing w:after="0"/>
            </w:pPr>
            <w:r w:rsidRPr="00B6378E">
              <w:rPr>
                <w:color w:val="auto"/>
              </w:rPr>
              <w:t xml:space="preserve">  </w:t>
            </w:r>
            <w:bookmarkStart w:id="33" w:name="_Toc371338624"/>
            <w:r w:rsidR="00C1750B">
              <w:rPr>
                <w:lang w:val="mn-MN"/>
              </w:rPr>
              <w:t>Зураг</w:t>
            </w:r>
            <w:r w:rsidR="004B523E">
              <w:t xml:space="preserve"> </w:t>
            </w:r>
            <w:fldSimple w:instr=" SEQ Figure \* ARABIC ">
              <w:r w:rsidR="002E38E0">
                <w:rPr>
                  <w:noProof/>
                </w:rPr>
                <w:t>16</w:t>
              </w:r>
            </w:fldSimple>
            <w:r w:rsidR="004B523E">
              <w:t xml:space="preserve">. </w:t>
            </w:r>
            <w:r w:rsidR="00C1750B">
              <w:rPr>
                <w:lang w:val="mn-MN"/>
              </w:rPr>
              <w:t>Хүнсний гол нэрийн бүтээгдэхүүний үнүүд дахин өсч байна</w:t>
            </w:r>
            <w:bookmarkEnd w:id="33"/>
            <w:r w:rsidR="00C1750B" w:rsidRPr="00B6378E" w:rsidDel="004B523E">
              <w:rPr>
                <w:color w:val="auto"/>
              </w:rPr>
              <w:t xml:space="preserve"> </w:t>
            </w:r>
          </w:p>
        </w:tc>
      </w:tr>
      <w:tr w:rsidR="00B6378E" w:rsidRPr="000A2BAB" w14:paraId="43B718F1" w14:textId="77777777" w:rsidTr="00B6378E">
        <w:tc>
          <w:tcPr>
            <w:tcW w:w="4587" w:type="dxa"/>
            <w:gridSpan w:val="2"/>
            <w:tcBorders>
              <w:top w:val="single" w:sz="4" w:space="0" w:color="984806" w:themeColor="accent6" w:themeShade="80"/>
            </w:tcBorders>
          </w:tcPr>
          <w:p w14:paraId="6742B408" w14:textId="636691D7" w:rsidR="00B6378E" w:rsidRPr="000A2BAB" w:rsidRDefault="00661F55">
            <w:pPr>
              <w:pStyle w:val="NoSpacing"/>
              <w:jc w:val="both"/>
            </w:pPr>
            <w:r>
              <w:rPr>
                <w:noProof/>
              </w:rPr>
              <mc:AlternateContent>
                <mc:Choice Requires="wps">
                  <w:drawing>
                    <wp:anchor distT="0" distB="0" distL="114300" distR="114300" simplePos="0" relativeHeight="251788800" behindDoc="0" locked="0" layoutInCell="1" allowOverlap="1" wp14:anchorId="70F5C396" wp14:editId="16219EDE">
                      <wp:simplePos x="0" y="0"/>
                      <wp:positionH relativeFrom="column">
                        <wp:posOffset>560070</wp:posOffset>
                      </wp:positionH>
                      <wp:positionV relativeFrom="paragraph">
                        <wp:posOffset>174625</wp:posOffset>
                      </wp:positionV>
                      <wp:extent cx="793750" cy="165100"/>
                      <wp:effectExtent l="0" t="0" r="6350" b="6350"/>
                      <wp:wrapNone/>
                      <wp:docPr id="355" name="Text Box 355"/>
                      <wp:cNvGraphicFramePr/>
                      <a:graphic xmlns:a="http://schemas.openxmlformats.org/drawingml/2006/main">
                        <a:graphicData uri="http://schemas.microsoft.com/office/word/2010/wordprocessingShape">
                          <wps:wsp>
                            <wps:cNvSpPr txBox="1"/>
                            <wps:spPr>
                              <a:xfrm>
                                <a:off x="0" y="0"/>
                                <a:ext cx="793750" cy="165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E1872E7" w14:textId="26BE2BA5" w:rsidR="00661F55" w:rsidRPr="00630B23" w:rsidRDefault="00661F55">
                                  <w:pPr>
                                    <w:rPr>
                                      <w:sz w:val="10"/>
                                      <w:szCs w:val="10"/>
                                      <w:lang w:val="mn-MN"/>
                                    </w:rPr>
                                  </w:pPr>
                                  <w:r>
                                    <w:rPr>
                                      <w:sz w:val="10"/>
                                      <w:szCs w:val="10"/>
                                      <w:lang w:val="mn-MN"/>
                                    </w:rPr>
                                    <w:t>Эрчим хүч, түлш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55" o:spid="_x0000_s1026" type="#_x0000_t202" style="position:absolute;left:0;text-align:left;margin-left:44.1pt;margin-top:13.75pt;width:62.5pt;height:13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" fillcolor="white [3201]" stroked="f" strokeweight=".5pt">
                      <v:textbox>
                        <w:txbxContent>
                          <w:p w14:paraId="0E1872E7" w14:textId="26BE2BA5" w:rsidR="00661F55" w:rsidRPr="00630B23" w:rsidRDefault="00661F55">
                            <w:pPr>
                              <w:rPr>
                                <w:sz w:val="10"/>
                                <w:szCs w:val="10"/>
                                <w:lang w:val="mn-MN"/>
                              </w:rPr>
                            </w:pPr>
                            <w:r>
                              <w:rPr>
                                <w:sz w:val="10"/>
                                <w:szCs w:val="10"/>
                                <w:lang w:val="mn-MN"/>
                              </w:rPr>
                              <w:t>Эрчим хүч, түлш</w:t>
                            </w:r>
                          </w:p>
                        </w:txbxContent>
                      </v:textbox>
                    </v:shape>
                  </w:pict>
                </mc:Fallback>
              </mc:AlternateContent>
            </w:r>
            <w:r w:rsidR="00B6378E">
              <w:rPr>
                <w:noProof/>
              </w:rPr>
              <w:drawing>
                <wp:anchor distT="0" distB="0" distL="114300" distR="114300" simplePos="0" relativeHeight="251727360" behindDoc="0" locked="0" layoutInCell="1" allowOverlap="1" wp14:anchorId="6A5D5959" wp14:editId="4DAEAFBC">
                  <wp:simplePos x="0" y="0"/>
                  <wp:positionH relativeFrom="column">
                    <wp:posOffset>-24765</wp:posOffset>
                  </wp:positionH>
                  <wp:positionV relativeFrom="paragraph">
                    <wp:posOffset>224790</wp:posOffset>
                  </wp:positionV>
                  <wp:extent cx="2910205" cy="1837055"/>
                  <wp:effectExtent l="0" t="0" r="4445" b="0"/>
                  <wp:wrapSquare wrapText="bothSides"/>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page">
                    <wp14:pctWidth>0</wp14:pctWidth>
                  </wp14:sizeRelH>
                  <wp14:sizeRelV relativeFrom="page">
                    <wp14:pctHeight>0</wp14:pctHeight>
                  </wp14:sizeRelV>
                </wp:anchor>
              </w:drawing>
            </w:r>
            <w:r w:rsidR="00D50E48">
              <w:rPr>
                <w:sz w:val="16"/>
                <w:lang w:val="mn-MN"/>
              </w:rPr>
              <w:t>Хэрэглээний үнийн индекс</w:t>
            </w:r>
            <w:r w:rsidR="00B6378E">
              <w:rPr>
                <w:sz w:val="16"/>
              </w:rPr>
              <w:t xml:space="preserve"> (</w:t>
            </w:r>
            <w:r w:rsidR="00D50E48">
              <w:rPr>
                <w:sz w:val="16"/>
                <w:lang w:val="mn-MN"/>
              </w:rPr>
              <w:t>өжх</w:t>
            </w:r>
            <w:r w:rsidR="00B6378E">
              <w:rPr>
                <w:sz w:val="16"/>
              </w:rPr>
              <w:t>, %)</w:t>
            </w:r>
            <w:r w:rsidR="00B6378E" w:rsidRPr="000A2BAB">
              <w:t xml:space="preserve"> </w:t>
            </w:r>
          </w:p>
        </w:tc>
        <w:tc>
          <w:tcPr>
            <w:tcW w:w="236" w:type="dxa"/>
          </w:tcPr>
          <w:p w14:paraId="05019251" w14:textId="77777777" w:rsidR="00B6378E" w:rsidRDefault="00B6378E" w:rsidP="00280CBB">
            <w:pPr>
              <w:pStyle w:val="NoSpacing"/>
              <w:jc w:val="both"/>
              <w:rPr>
                <w:noProof/>
                <w:sz w:val="2"/>
                <w:lang w:eastAsia="ko-KR"/>
              </w:rPr>
            </w:pPr>
          </w:p>
          <w:p w14:paraId="2856E71F" w14:textId="77777777" w:rsidR="00B6378E" w:rsidRPr="00266CCE" w:rsidRDefault="00B6378E" w:rsidP="00280CBB">
            <w:pPr>
              <w:pStyle w:val="NoSpacing"/>
              <w:jc w:val="both"/>
              <w:rPr>
                <w:noProof/>
                <w:sz w:val="2"/>
                <w:lang w:eastAsia="ko-KR"/>
              </w:rPr>
            </w:pPr>
          </w:p>
        </w:tc>
        <w:tc>
          <w:tcPr>
            <w:tcW w:w="4645" w:type="dxa"/>
            <w:tcBorders>
              <w:top w:val="single" w:sz="4" w:space="0" w:color="984806" w:themeColor="accent6" w:themeShade="80"/>
            </w:tcBorders>
          </w:tcPr>
          <w:p w14:paraId="3643022C" w14:textId="256762E3" w:rsidR="00B6378E" w:rsidRPr="000A2BAB" w:rsidRDefault="00B6378E">
            <w:pPr>
              <w:pStyle w:val="NoSpacing"/>
              <w:jc w:val="both"/>
            </w:pPr>
            <w:r>
              <w:rPr>
                <w:noProof/>
              </w:rPr>
              <w:drawing>
                <wp:anchor distT="0" distB="0" distL="114300" distR="114300" simplePos="0" relativeHeight="251729408" behindDoc="0" locked="0" layoutInCell="1" allowOverlap="1" wp14:anchorId="25E040BF" wp14:editId="5CF950E7">
                  <wp:simplePos x="0" y="0"/>
                  <wp:positionH relativeFrom="column">
                    <wp:posOffset>-74295</wp:posOffset>
                  </wp:positionH>
                  <wp:positionV relativeFrom="paragraph">
                    <wp:posOffset>215900</wp:posOffset>
                  </wp:positionV>
                  <wp:extent cx="2945130" cy="1889760"/>
                  <wp:effectExtent l="0" t="0" r="0" b="0"/>
                  <wp:wrapSquare wrapText="bothSides"/>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page">
                    <wp14:pctWidth>0</wp14:pctWidth>
                  </wp14:sizeRelH>
                  <wp14:sizeRelV relativeFrom="page">
                    <wp14:pctHeight>0</wp14:pctHeight>
                  </wp14:sizeRelV>
                </wp:anchor>
              </w:drawing>
            </w:r>
            <w:r w:rsidR="00D50E48">
              <w:rPr>
                <w:sz w:val="16"/>
                <w:szCs w:val="18"/>
                <w:lang w:val="mn-MN"/>
              </w:rPr>
              <w:t>Хүнсний гол нэрийн бүтээгдэхүүний өөрчлөлт</w:t>
            </w:r>
            <w:r>
              <w:rPr>
                <w:sz w:val="16"/>
                <w:szCs w:val="18"/>
              </w:rPr>
              <w:t xml:space="preserve"> (</w:t>
            </w:r>
            <w:r w:rsidR="00D50E48">
              <w:rPr>
                <w:sz w:val="16"/>
                <w:szCs w:val="18"/>
                <w:lang w:val="mn-MN"/>
              </w:rPr>
              <w:t>өжх</w:t>
            </w:r>
            <w:r>
              <w:rPr>
                <w:sz w:val="16"/>
                <w:szCs w:val="18"/>
              </w:rPr>
              <w:t>, %)</w:t>
            </w:r>
          </w:p>
        </w:tc>
      </w:tr>
      <w:tr w:rsidR="00B6378E" w:rsidRPr="000A2BAB" w14:paraId="410CF9F9" w14:textId="77777777" w:rsidTr="00B6378E">
        <w:tc>
          <w:tcPr>
            <w:tcW w:w="3953" w:type="dxa"/>
          </w:tcPr>
          <w:p w14:paraId="6244AFEA" w14:textId="4AE83679" w:rsidR="00B6378E" w:rsidRPr="000A2BAB" w:rsidRDefault="00D50E48" w:rsidP="00280CBB">
            <w:pPr>
              <w:pStyle w:val="NoSpacing"/>
              <w:jc w:val="both"/>
              <w:rPr>
                <w:sz w:val="14"/>
                <w:szCs w:val="18"/>
              </w:rPr>
            </w:pPr>
            <w:r>
              <w:rPr>
                <w:i/>
                <w:sz w:val="14"/>
                <w:szCs w:val="18"/>
                <w:lang w:val="mn-MN"/>
              </w:rPr>
              <w:t>Эх үүсвэр</w:t>
            </w:r>
            <w:r w:rsidRPr="000A2BAB">
              <w:rPr>
                <w:i/>
                <w:sz w:val="14"/>
                <w:szCs w:val="18"/>
              </w:rPr>
              <w:t>:</w:t>
            </w:r>
            <w:r w:rsidRPr="000A2BAB">
              <w:rPr>
                <w:sz w:val="14"/>
                <w:szCs w:val="18"/>
              </w:rPr>
              <w:t xml:space="preserve"> </w:t>
            </w:r>
            <w:r>
              <w:rPr>
                <w:sz w:val="14"/>
                <w:szCs w:val="18"/>
                <w:lang w:val="mn-MN"/>
              </w:rPr>
              <w:t>ҮСХ эмхэтгэл, ДБ-ны мэргэжилтнүүдийн тооцоо</w:t>
            </w:r>
          </w:p>
        </w:tc>
        <w:tc>
          <w:tcPr>
            <w:tcW w:w="634" w:type="dxa"/>
          </w:tcPr>
          <w:p w14:paraId="001D8019" w14:textId="77777777" w:rsidR="00B6378E" w:rsidRPr="00266CCE" w:rsidRDefault="00B6378E" w:rsidP="00280CBB">
            <w:pPr>
              <w:pStyle w:val="NoSpacing"/>
              <w:jc w:val="both"/>
              <w:rPr>
                <w:i/>
                <w:sz w:val="2"/>
                <w:szCs w:val="18"/>
              </w:rPr>
            </w:pPr>
          </w:p>
        </w:tc>
        <w:tc>
          <w:tcPr>
            <w:tcW w:w="4881" w:type="dxa"/>
            <w:gridSpan w:val="2"/>
          </w:tcPr>
          <w:p w14:paraId="06C7FBA1" w14:textId="77777777" w:rsidR="00B6378E" w:rsidRPr="000A2BAB" w:rsidRDefault="00B6378E" w:rsidP="00280CBB">
            <w:pPr>
              <w:pStyle w:val="NoSpacing"/>
              <w:jc w:val="both"/>
              <w:rPr>
                <w:sz w:val="14"/>
              </w:rPr>
            </w:pPr>
          </w:p>
        </w:tc>
      </w:tr>
    </w:tbl>
    <w:p w14:paraId="2B407C61" w14:textId="77777777" w:rsidR="00B6378E" w:rsidRPr="008D5045" w:rsidRDefault="00B6378E" w:rsidP="008745D3">
      <w:pPr>
        <w:jc w:val="both"/>
        <w:rPr>
          <w:rFonts w:ascii="Arial" w:hAnsi="Arial" w:cs="Arial"/>
          <w:sz w:val="20"/>
          <w:szCs w:val="20"/>
        </w:rPr>
      </w:pPr>
    </w:p>
    <w:p w14:paraId="4C181494" w14:textId="196A1DB6" w:rsidR="00993A29" w:rsidRDefault="00266E3F" w:rsidP="0015403D">
      <w:pPr>
        <w:jc w:val="both"/>
        <w:rPr>
          <w:noProof/>
          <w:lang w:eastAsia="ko-KR"/>
        </w:rPr>
      </w:pPr>
      <w:r>
        <w:rPr>
          <w:rFonts w:ascii="Arial" w:hAnsi="Arial" w:cs="Arial"/>
          <w:b/>
          <w:sz w:val="20"/>
          <w:szCs w:val="20"/>
          <w:lang w:val="mn-MN"/>
        </w:rPr>
        <w:t xml:space="preserve">Хүнсний бүтээгдэхүүний инфляци 8 дугаар сард 5.6 хувь байснаа 9 дүгээр сард 9.7 хувьд хүрэн хурдасч, өмнөх саруудад байсан тогтвортой удааширч байсан хандлагаас эргэсэн байна. </w:t>
      </w:r>
      <w:r w:rsidR="00B6378E" w:rsidRPr="00B6378E">
        <w:rPr>
          <w:rFonts w:ascii="Arial" w:hAnsi="Arial" w:cs="Arial"/>
          <w:sz w:val="20"/>
          <w:szCs w:val="20"/>
        </w:rPr>
        <w:t>(</w:t>
      </w:r>
      <w:r>
        <w:rPr>
          <w:rFonts w:ascii="Arial" w:hAnsi="Arial" w:cs="Arial"/>
          <w:sz w:val="20"/>
          <w:szCs w:val="20"/>
          <w:lang w:val="mn-MN"/>
        </w:rPr>
        <w:t>Зураг</w:t>
      </w:r>
      <w:r w:rsidRPr="00B6378E">
        <w:rPr>
          <w:rFonts w:ascii="Arial" w:hAnsi="Arial" w:cs="Arial"/>
          <w:sz w:val="20"/>
          <w:szCs w:val="20"/>
        </w:rPr>
        <w:t xml:space="preserve"> </w:t>
      </w:r>
      <w:r w:rsidR="00B6378E" w:rsidRPr="00B6378E">
        <w:rPr>
          <w:rFonts w:ascii="Arial" w:hAnsi="Arial" w:cs="Arial"/>
          <w:sz w:val="20"/>
          <w:szCs w:val="20"/>
        </w:rPr>
        <w:t xml:space="preserve">16) </w:t>
      </w:r>
      <w:r>
        <w:rPr>
          <w:rFonts w:ascii="Arial" w:hAnsi="Arial" w:cs="Arial"/>
          <w:sz w:val="20"/>
          <w:szCs w:val="20"/>
          <w:lang w:val="mn-MN"/>
        </w:rPr>
        <w:t>Хүнсний бүтээгдэхүүний инфляцийг 8 дугаар сард 5.1 хувь байснаа 9 дүгээр сард 9.6 хувь болгон хурдасгахад махны үнүүд нөлөөлсөн. Ихэнх махны бус хүнсний бүтээгдэхүүний үнүүд 8 болон 9 дүгээр саруудад мөн өсчээ. Талх болон тари</w:t>
      </w:r>
      <w:r w:rsidR="00491519">
        <w:rPr>
          <w:rFonts w:ascii="Arial" w:hAnsi="Arial" w:cs="Arial"/>
          <w:sz w:val="20"/>
          <w:szCs w:val="20"/>
          <w:lang w:val="mn-MN"/>
        </w:rPr>
        <w:t>а</w:t>
      </w:r>
      <w:r>
        <w:rPr>
          <w:rFonts w:ascii="Arial" w:hAnsi="Arial" w:cs="Arial"/>
          <w:sz w:val="20"/>
          <w:szCs w:val="20"/>
          <w:lang w:val="mn-MN"/>
        </w:rPr>
        <w:t>ны үн</w:t>
      </w:r>
      <w:r w:rsidR="00491519">
        <w:rPr>
          <w:rFonts w:ascii="Arial" w:hAnsi="Arial" w:cs="Arial"/>
          <w:sz w:val="20"/>
          <w:szCs w:val="20"/>
          <w:lang w:val="mn-MN"/>
        </w:rPr>
        <w:t>ийн өсөлт</w:t>
      </w:r>
      <w:r>
        <w:rPr>
          <w:rFonts w:ascii="Arial" w:hAnsi="Arial" w:cs="Arial"/>
          <w:sz w:val="20"/>
          <w:szCs w:val="20"/>
          <w:lang w:val="mn-MN"/>
        </w:rPr>
        <w:t xml:space="preserve"> нь</w:t>
      </w:r>
      <w:r w:rsidR="0015403D" w:rsidRPr="00897096">
        <w:rPr>
          <w:rFonts w:ascii="Arial" w:hAnsi="Arial" w:cs="Arial"/>
          <w:sz w:val="20"/>
        </w:rPr>
        <w:t xml:space="preserve">– </w:t>
      </w:r>
      <w:r>
        <w:rPr>
          <w:rFonts w:ascii="Arial" w:hAnsi="Arial" w:cs="Arial"/>
          <w:sz w:val="20"/>
          <w:lang w:val="mn-MN"/>
        </w:rPr>
        <w:t>мөн гол үзүүлэлт бөгөөд</w:t>
      </w:r>
      <w:r w:rsidR="0015403D">
        <w:rPr>
          <w:rFonts w:ascii="Arial" w:hAnsi="Arial" w:cs="Arial"/>
          <w:sz w:val="20"/>
        </w:rPr>
        <w:t xml:space="preserve"> – </w:t>
      </w:r>
      <w:r>
        <w:rPr>
          <w:rFonts w:ascii="Arial" w:hAnsi="Arial" w:cs="Arial"/>
          <w:sz w:val="20"/>
          <w:lang w:val="mn-MN"/>
        </w:rPr>
        <w:t xml:space="preserve">7 дугаар сард 10.9 хувь байснаа 8 дугаар сард </w:t>
      </w:r>
      <w:r w:rsidR="0015403D">
        <w:rPr>
          <w:rFonts w:ascii="Arial" w:hAnsi="Arial" w:cs="Arial"/>
          <w:sz w:val="20"/>
        </w:rPr>
        <w:t>12</w:t>
      </w:r>
      <w:r>
        <w:rPr>
          <w:rFonts w:ascii="Arial" w:hAnsi="Arial" w:cs="Arial"/>
          <w:sz w:val="20"/>
          <w:lang w:val="mn-MN"/>
        </w:rPr>
        <w:t xml:space="preserve"> хувиар, 9 дүгээр сард </w:t>
      </w:r>
      <w:r w:rsidR="00897096">
        <w:rPr>
          <w:rFonts w:ascii="Arial" w:hAnsi="Arial" w:cs="Arial"/>
          <w:sz w:val="20"/>
        </w:rPr>
        <w:t xml:space="preserve">14 </w:t>
      </w:r>
      <w:r>
        <w:rPr>
          <w:rFonts w:ascii="Arial" w:hAnsi="Arial" w:cs="Arial"/>
          <w:sz w:val="20"/>
          <w:lang w:val="mn-MN"/>
        </w:rPr>
        <w:t>хувьд хүрчээ</w:t>
      </w:r>
      <w:r w:rsidR="006C0AC3" w:rsidRPr="0015403D">
        <w:rPr>
          <w:rFonts w:ascii="Arial" w:hAnsi="Arial" w:cs="Arial"/>
          <w:sz w:val="20"/>
        </w:rPr>
        <w:t>.</w:t>
      </w:r>
      <w:r w:rsidR="000B4A42">
        <w:rPr>
          <w:rFonts w:ascii="Arial" w:hAnsi="Arial" w:cs="Arial"/>
          <w:sz w:val="20"/>
        </w:rPr>
        <w:t xml:space="preserve"> </w:t>
      </w:r>
      <w:r>
        <w:rPr>
          <w:rFonts w:ascii="Arial" w:hAnsi="Arial" w:cs="Arial"/>
          <w:sz w:val="20"/>
          <w:lang w:val="mn-MN"/>
        </w:rPr>
        <w:t xml:space="preserve">Сүү, бяслаг болон өндөгний үнүүд 7 дугаар сард 6.7 хувиас 8 дугаар сард 9.7 хувь, 9 дүгээр сард улам хурдсан 18.5 хувьд хүрчээ. </w:t>
      </w:r>
    </w:p>
    <w:p w14:paraId="1C931F79" w14:textId="74FC18A1" w:rsidR="0015403D" w:rsidRDefault="0074469E" w:rsidP="006C0AC3">
      <w:pPr>
        <w:jc w:val="both"/>
        <w:rPr>
          <w:rFonts w:ascii="Arial" w:hAnsi="Arial" w:cs="Arial"/>
          <w:sz w:val="20"/>
        </w:rPr>
      </w:pPr>
      <w:r>
        <w:rPr>
          <w:rFonts w:ascii="Arial" w:hAnsi="Arial" w:cs="Arial"/>
          <w:b/>
          <w:sz w:val="20"/>
          <w:lang w:val="mn-MN"/>
        </w:rPr>
        <w:t xml:space="preserve">Сүүлийн саруудад суурь инфляци нэмэгдэж байгаа нь инфляцийн дарамт нэмэгдэж байгааг харуулж байна. </w:t>
      </w:r>
      <w:r>
        <w:rPr>
          <w:rFonts w:ascii="Arial" w:hAnsi="Arial" w:cs="Arial"/>
          <w:sz w:val="20"/>
          <w:lang w:val="mn-MN"/>
        </w:rPr>
        <w:t xml:space="preserve">Өмнөх жилийн мөн үетэй харьцуулсан суурь инфляци 7 дугаар сард 7.9 хувьтай байсан бол 8 дугаар сард 9.8 хувьд хүрч өсөөд харин 9 дүгээр сард 9 хувьд болж буурчээ. Суурь инфляци өсч байгаа нь 7 сараас хойш валютын ханшны хэлбэлзэлд тохируулга хийж хэрэглээний үнүүд өөрчлөгдсөн, мөн макро эдийн засгийн тэлэх бодлогуудаас үүдэх эрэлтийн дарамт нэмэгдэж байгааг илэрхийлж байна. 7 болон 9 дүгээр саруудын хооронд суурь инфляцийн үнүүд хурдасч байгаа нь </w:t>
      </w:r>
      <w:r w:rsidR="00491519">
        <w:rPr>
          <w:rFonts w:ascii="Arial" w:hAnsi="Arial" w:cs="Arial"/>
          <w:sz w:val="20"/>
          <w:lang w:val="mn-MN"/>
        </w:rPr>
        <w:t xml:space="preserve">дараах </w:t>
      </w:r>
      <w:r>
        <w:rPr>
          <w:rFonts w:ascii="Arial" w:hAnsi="Arial" w:cs="Arial"/>
          <w:sz w:val="20"/>
          <w:lang w:val="mn-MN"/>
        </w:rPr>
        <w:t>зүйлд ажиглагдсан</w:t>
      </w:r>
      <w:r w:rsidR="00EF3298">
        <w:rPr>
          <w:rFonts w:ascii="Arial" w:hAnsi="Arial" w:cs="Arial"/>
          <w:sz w:val="20"/>
        </w:rPr>
        <w:t>:</w:t>
      </w:r>
      <w:r w:rsidR="008E6BF0">
        <w:rPr>
          <w:rFonts w:ascii="Arial" w:hAnsi="Arial" w:cs="Arial"/>
          <w:sz w:val="20"/>
        </w:rPr>
        <w:t xml:space="preserve"> </w:t>
      </w:r>
      <w:r>
        <w:rPr>
          <w:rFonts w:ascii="Arial" w:hAnsi="Arial" w:cs="Arial"/>
          <w:sz w:val="20"/>
          <w:lang w:val="mn-MN"/>
        </w:rPr>
        <w:t>тээврийн үйлчилгээ</w:t>
      </w:r>
      <w:r w:rsidR="008E6BF0">
        <w:rPr>
          <w:rFonts w:ascii="Arial" w:hAnsi="Arial" w:cs="Arial"/>
          <w:sz w:val="20"/>
        </w:rPr>
        <w:t xml:space="preserve"> (</w:t>
      </w:r>
      <w:r>
        <w:rPr>
          <w:rFonts w:ascii="Arial" w:hAnsi="Arial" w:cs="Arial"/>
          <w:sz w:val="20"/>
          <w:lang w:val="mn-MN"/>
        </w:rPr>
        <w:t xml:space="preserve">1.6 хувиас </w:t>
      </w:r>
      <w:r w:rsidR="00AD2488">
        <w:rPr>
          <w:rFonts w:ascii="Arial" w:hAnsi="Arial" w:cs="Arial"/>
          <w:sz w:val="20"/>
        </w:rPr>
        <w:t xml:space="preserve">3.6 </w:t>
      </w:r>
      <w:r>
        <w:rPr>
          <w:rFonts w:ascii="Arial" w:hAnsi="Arial" w:cs="Arial"/>
          <w:sz w:val="20"/>
          <w:lang w:val="mn-MN"/>
        </w:rPr>
        <w:t>хувь</w:t>
      </w:r>
      <w:r w:rsidR="008E6BF0">
        <w:rPr>
          <w:rFonts w:ascii="Arial" w:hAnsi="Arial" w:cs="Arial"/>
          <w:sz w:val="20"/>
        </w:rPr>
        <w:t xml:space="preserve">) </w:t>
      </w:r>
      <w:r>
        <w:rPr>
          <w:rFonts w:ascii="Arial" w:hAnsi="Arial" w:cs="Arial"/>
          <w:sz w:val="20"/>
          <w:lang w:val="mn-MN"/>
        </w:rPr>
        <w:t xml:space="preserve">орон сууцны бүтээгдэхүүний үнэ </w:t>
      </w:r>
      <w:r w:rsidR="008E6BF0">
        <w:rPr>
          <w:rFonts w:ascii="Arial" w:hAnsi="Arial" w:cs="Arial"/>
          <w:sz w:val="20"/>
        </w:rPr>
        <w:t>(</w:t>
      </w:r>
      <w:r>
        <w:rPr>
          <w:rFonts w:ascii="Arial" w:hAnsi="Arial" w:cs="Arial"/>
          <w:sz w:val="20"/>
          <w:lang w:val="mn-MN"/>
        </w:rPr>
        <w:t xml:space="preserve">3.9 хувиас </w:t>
      </w:r>
      <w:r w:rsidR="00AD2488">
        <w:rPr>
          <w:rFonts w:ascii="Arial" w:hAnsi="Arial" w:cs="Arial"/>
          <w:sz w:val="20"/>
        </w:rPr>
        <w:t xml:space="preserve">11.8 </w:t>
      </w:r>
      <w:r>
        <w:rPr>
          <w:rFonts w:ascii="Arial" w:hAnsi="Arial" w:cs="Arial"/>
          <w:sz w:val="20"/>
          <w:lang w:val="mn-MN"/>
        </w:rPr>
        <w:t>хувь</w:t>
      </w:r>
      <w:r w:rsidR="008E6BF0">
        <w:rPr>
          <w:rFonts w:ascii="Arial" w:hAnsi="Arial" w:cs="Arial"/>
          <w:sz w:val="20"/>
        </w:rPr>
        <w:t xml:space="preserve">), </w:t>
      </w:r>
      <w:r>
        <w:rPr>
          <w:rFonts w:ascii="Arial" w:hAnsi="Arial" w:cs="Arial"/>
          <w:sz w:val="20"/>
          <w:lang w:val="mn-MN"/>
        </w:rPr>
        <w:t>боловсролын зардал</w:t>
      </w:r>
      <w:r w:rsidR="008E6BF0">
        <w:rPr>
          <w:rFonts w:ascii="Arial" w:hAnsi="Arial" w:cs="Arial"/>
          <w:sz w:val="20"/>
        </w:rPr>
        <w:t xml:space="preserve"> (</w:t>
      </w:r>
      <w:r>
        <w:rPr>
          <w:rFonts w:ascii="Arial" w:hAnsi="Arial" w:cs="Arial"/>
          <w:sz w:val="20"/>
          <w:lang w:val="mn-MN"/>
        </w:rPr>
        <w:t xml:space="preserve">16.1 хувиас </w:t>
      </w:r>
      <w:r w:rsidR="008E6BF0">
        <w:rPr>
          <w:rFonts w:ascii="Arial" w:hAnsi="Arial" w:cs="Arial"/>
          <w:sz w:val="20"/>
        </w:rPr>
        <w:t xml:space="preserve">28.4 </w:t>
      </w:r>
      <w:r>
        <w:rPr>
          <w:rFonts w:ascii="Arial" w:hAnsi="Arial" w:cs="Arial"/>
          <w:sz w:val="20"/>
          <w:lang w:val="mn-MN"/>
        </w:rPr>
        <w:t>хувь</w:t>
      </w:r>
      <w:r w:rsidR="008E6BF0">
        <w:rPr>
          <w:rFonts w:ascii="Arial" w:hAnsi="Arial" w:cs="Arial"/>
          <w:sz w:val="20"/>
        </w:rPr>
        <w:t xml:space="preserve">). </w:t>
      </w:r>
      <w:r>
        <w:rPr>
          <w:rFonts w:ascii="Arial" w:hAnsi="Arial" w:cs="Arial"/>
          <w:sz w:val="20"/>
          <w:lang w:val="mn-MN"/>
        </w:rPr>
        <w:t xml:space="preserve">Эрчим хүчний үнүүд 2012 оны 5 сараас хойших үнээс 11.4 хувиар өсчээ. </w:t>
      </w:r>
      <w:proofErr w:type="gramStart"/>
      <w:r w:rsidR="001F7102">
        <w:rPr>
          <w:rFonts w:ascii="Arial" w:hAnsi="Arial" w:cs="Arial"/>
          <w:sz w:val="20"/>
        </w:rPr>
        <w:t>(</w:t>
      </w:r>
      <w:r>
        <w:rPr>
          <w:rFonts w:ascii="Arial" w:hAnsi="Arial" w:cs="Arial"/>
          <w:sz w:val="20"/>
          <w:lang w:val="mn-MN"/>
        </w:rPr>
        <w:t>Зураг</w:t>
      </w:r>
      <w:r>
        <w:rPr>
          <w:rFonts w:ascii="Arial" w:hAnsi="Arial" w:cs="Arial"/>
          <w:sz w:val="20"/>
        </w:rPr>
        <w:t xml:space="preserve"> </w:t>
      </w:r>
      <w:r w:rsidR="001F7102">
        <w:rPr>
          <w:rFonts w:ascii="Arial" w:hAnsi="Arial" w:cs="Arial"/>
          <w:sz w:val="20"/>
        </w:rPr>
        <w:t>17)</w:t>
      </w:r>
      <w:r w:rsidR="008E6BF0">
        <w:rPr>
          <w:rFonts w:ascii="Arial" w:hAnsi="Arial" w:cs="Arial"/>
          <w:sz w:val="20"/>
        </w:rPr>
        <w:t>.</w:t>
      </w:r>
      <w:proofErr w:type="gramEnd"/>
      <w:r w:rsidR="00BC78C6">
        <w:rPr>
          <w:rFonts w:ascii="Arial" w:hAnsi="Arial" w:cs="Arial"/>
          <w:sz w:val="20"/>
        </w:rPr>
        <w:t xml:space="preserve"> </w:t>
      </w:r>
    </w:p>
    <w:p w14:paraId="532B28D7" w14:textId="3F78ECF6" w:rsidR="00EF3298" w:rsidRDefault="006F45FB" w:rsidP="006C0AC3">
      <w:pPr>
        <w:jc w:val="both"/>
        <w:rPr>
          <w:rFonts w:ascii="Arial" w:hAnsi="Arial" w:cs="Arial"/>
          <w:sz w:val="20"/>
          <w:lang w:val="mn-MN"/>
        </w:rPr>
      </w:pPr>
      <w:r>
        <w:rPr>
          <w:rFonts w:ascii="Arial" w:hAnsi="Arial" w:cs="Arial"/>
          <w:b/>
          <w:sz w:val="20"/>
          <w:lang w:val="mn-MN"/>
        </w:rPr>
        <w:t>Сүүлийн саруудад түрээсийн байрны үнүүд мөн өсч байгаа нь удирдлагууд анхаарлаа хандуулах хэрэгтэйг илэрхийлж байна</w:t>
      </w:r>
      <w:r w:rsidR="00994942" w:rsidRPr="00994942">
        <w:rPr>
          <w:rFonts w:ascii="Arial" w:hAnsi="Arial" w:cs="Arial"/>
          <w:b/>
          <w:sz w:val="20"/>
        </w:rPr>
        <w:t>.</w:t>
      </w:r>
      <w:r w:rsidR="00994942">
        <w:rPr>
          <w:rFonts w:ascii="Arial" w:hAnsi="Arial" w:cs="Arial"/>
          <w:sz w:val="20"/>
        </w:rPr>
        <w:t xml:space="preserve"> </w:t>
      </w:r>
      <w:r>
        <w:rPr>
          <w:rFonts w:ascii="Arial" w:hAnsi="Arial" w:cs="Arial"/>
          <w:sz w:val="20"/>
          <w:lang w:val="mn-MN"/>
        </w:rPr>
        <w:t>8 дугаар сард орон сууцны түрээсийн үнийн индекс 20.1 хувиар, 9 дүгээр сард өмнөх үеийн мөн үетэй харьцуулбал 16 хувиар өсчээ</w:t>
      </w:r>
      <w:r w:rsidR="00994942">
        <w:rPr>
          <w:rFonts w:ascii="Arial" w:hAnsi="Arial" w:cs="Arial"/>
          <w:sz w:val="20"/>
        </w:rPr>
        <w:t xml:space="preserve">. </w:t>
      </w:r>
      <w:r w:rsidR="00BC78C6">
        <w:rPr>
          <w:rFonts w:ascii="Arial" w:hAnsi="Arial" w:cs="Arial"/>
          <w:sz w:val="20"/>
        </w:rPr>
        <w:t>(</w:t>
      </w:r>
      <w:r>
        <w:rPr>
          <w:rFonts w:ascii="Arial" w:hAnsi="Arial" w:cs="Arial"/>
          <w:sz w:val="20"/>
          <w:lang w:val="mn-MN"/>
        </w:rPr>
        <w:t>Зураг</w:t>
      </w:r>
      <w:r>
        <w:rPr>
          <w:rFonts w:ascii="Arial" w:hAnsi="Arial" w:cs="Arial"/>
          <w:sz w:val="20"/>
        </w:rPr>
        <w:t xml:space="preserve"> </w:t>
      </w:r>
      <w:r w:rsidR="00BC78C6">
        <w:rPr>
          <w:rFonts w:ascii="Arial" w:hAnsi="Arial" w:cs="Arial"/>
          <w:sz w:val="20"/>
        </w:rPr>
        <w:t>18)</w:t>
      </w:r>
      <w:r w:rsidR="006E0603">
        <w:rPr>
          <w:rFonts w:ascii="Arial" w:hAnsi="Arial" w:cs="Arial"/>
          <w:sz w:val="20"/>
        </w:rPr>
        <w:t xml:space="preserve"> </w:t>
      </w:r>
      <w:r>
        <w:rPr>
          <w:rFonts w:ascii="Arial" w:hAnsi="Arial" w:cs="Arial"/>
          <w:sz w:val="20"/>
          <w:lang w:val="mn-MN"/>
        </w:rPr>
        <w:t xml:space="preserve">Бодлогын зээлийн хөтөлбөрүүдээр дамжуулан барилгын салбарын өсөлтийг бий болгож байгаа ч орон сууцны түрээсийн үнэ нэмэгдэж байгаа нь анхаарлаа хандуулахыг шаардаж байгаа бөгөөд энэ нь үл хөдлөх хөрөнгийн үнүүд нэмэгдэж байгаагийн дохио болох талтай. Засгийн газар болон мөнгөний удирдлагууд аль алин нь орон сууцны зах зээлийн талаар илүү мэдээллийг </w:t>
      </w:r>
      <w:r>
        <w:rPr>
          <w:rFonts w:ascii="Arial" w:hAnsi="Arial" w:cs="Arial"/>
          <w:sz w:val="20"/>
        </w:rPr>
        <w:t>(</w:t>
      </w:r>
      <w:r>
        <w:rPr>
          <w:rFonts w:ascii="Arial" w:hAnsi="Arial" w:cs="Arial"/>
          <w:sz w:val="20"/>
          <w:lang w:val="mn-MN"/>
        </w:rPr>
        <w:t>жишээ нь орон сууцны үнийн үзүүлэлтүүд</w:t>
      </w:r>
      <w:r>
        <w:rPr>
          <w:rFonts w:ascii="Arial" w:hAnsi="Arial" w:cs="Arial"/>
          <w:sz w:val="20"/>
        </w:rPr>
        <w:t>)</w:t>
      </w:r>
      <w:r w:rsidR="00491519">
        <w:rPr>
          <w:rFonts w:ascii="Arial" w:hAnsi="Arial" w:cs="Arial"/>
          <w:sz w:val="20"/>
          <w:lang w:val="mn-MN"/>
        </w:rPr>
        <w:t xml:space="preserve"> </w:t>
      </w:r>
      <w:r>
        <w:rPr>
          <w:rFonts w:ascii="Arial" w:hAnsi="Arial" w:cs="Arial"/>
          <w:sz w:val="20"/>
          <w:lang w:val="mn-MN"/>
        </w:rPr>
        <w:t xml:space="preserve">цуглуулж, хяналт тавих хэрэгтэй байна. </w:t>
      </w:r>
    </w:p>
    <w:p w14:paraId="73C0BDCE" w14:textId="77777777" w:rsidR="006F45FB" w:rsidRPr="00660167" w:rsidRDefault="006F45FB" w:rsidP="006C0AC3">
      <w:pPr>
        <w:jc w:val="both"/>
        <w:rPr>
          <w:rFonts w:ascii="Arial" w:hAnsi="Arial" w:cs="Arial"/>
          <w:sz w:val="20"/>
          <w:lang w:val="mn-MN"/>
        </w:rPr>
      </w:pPr>
    </w:p>
    <w:tbl>
      <w:tblPr>
        <w:tblW w:w="0" w:type="auto"/>
        <w:tblInd w:w="108" w:type="dxa"/>
        <w:tblLook w:val="04A0" w:firstRow="1" w:lastRow="0" w:firstColumn="1" w:lastColumn="0" w:noHBand="0" w:noVBand="1"/>
      </w:tblPr>
      <w:tblGrid>
        <w:gridCol w:w="3953"/>
        <w:gridCol w:w="634"/>
        <w:gridCol w:w="236"/>
        <w:gridCol w:w="4645"/>
      </w:tblGrid>
      <w:tr w:rsidR="002C3B2D" w:rsidRPr="000A2BAB" w14:paraId="47A05B50" w14:textId="77777777" w:rsidTr="00280CBB">
        <w:tc>
          <w:tcPr>
            <w:tcW w:w="4587" w:type="dxa"/>
            <w:gridSpan w:val="2"/>
            <w:tcBorders>
              <w:bottom w:val="single" w:sz="4" w:space="0" w:color="984806" w:themeColor="accent6" w:themeShade="80"/>
            </w:tcBorders>
          </w:tcPr>
          <w:p w14:paraId="020BDE74" w14:textId="5650F40D" w:rsidR="00B6378E" w:rsidRPr="00660167" w:rsidRDefault="00B6378E" w:rsidP="00630B23">
            <w:pPr>
              <w:pStyle w:val="Caption"/>
              <w:spacing w:after="0"/>
              <w:rPr>
                <w:color w:val="auto"/>
                <w:sz w:val="16"/>
                <w:szCs w:val="16"/>
              </w:rPr>
            </w:pPr>
            <w:r w:rsidRPr="00B6378E">
              <w:rPr>
                <w:color w:val="auto"/>
              </w:rPr>
              <w:lastRenderedPageBreak/>
              <w:t xml:space="preserve"> </w:t>
            </w:r>
            <w:bookmarkStart w:id="34" w:name="_Toc371338625"/>
            <w:r w:rsidR="006F45FB">
              <w:rPr>
                <w:sz w:val="16"/>
                <w:szCs w:val="16"/>
                <w:lang w:val="mn-MN"/>
              </w:rPr>
              <w:t>Зураг</w:t>
            </w:r>
            <w:r w:rsidR="004B523E" w:rsidRPr="00660167">
              <w:rPr>
                <w:sz w:val="16"/>
                <w:szCs w:val="16"/>
              </w:rPr>
              <w:t xml:space="preserve"> </w:t>
            </w:r>
            <w:r w:rsidR="002E38E0">
              <w:rPr>
                <w:sz w:val="16"/>
                <w:szCs w:val="16"/>
              </w:rPr>
              <w:fldChar w:fldCharType="begin"/>
            </w:r>
            <w:r w:rsidR="002E38E0">
              <w:rPr>
                <w:sz w:val="16"/>
                <w:szCs w:val="16"/>
              </w:rPr>
              <w:instrText xml:space="preserve"> SEQ Figure \* ARABIC </w:instrText>
            </w:r>
            <w:r w:rsidR="002E38E0">
              <w:rPr>
                <w:sz w:val="16"/>
                <w:szCs w:val="16"/>
              </w:rPr>
              <w:fldChar w:fldCharType="separate"/>
            </w:r>
            <w:r w:rsidR="002E38E0">
              <w:rPr>
                <w:noProof/>
                <w:sz w:val="16"/>
                <w:szCs w:val="16"/>
              </w:rPr>
              <w:t>17</w:t>
            </w:r>
            <w:r w:rsidR="002E38E0">
              <w:rPr>
                <w:sz w:val="16"/>
                <w:szCs w:val="16"/>
              </w:rPr>
              <w:fldChar w:fldCharType="end"/>
            </w:r>
            <w:r w:rsidR="004B523E" w:rsidRPr="00660167">
              <w:rPr>
                <w:sz w:val="16"/>
                <w:szCs w:val="16"/>
              </w:rPr>
              <w:t xml:space="preserve">. </w:t>
            </w:r>
            <w:r w:rsidR="006F45FB">
              <w:rPr>
                <w:sz w:val="16"/>
                <w:szCs w:val="16"/>
                <w:lang w:val="mn-MN"/>
              </w:rPr>
              <w:t>Суурь инфляци сүүлийн саруудад эргээд өсөх хандлагатай боллоо</w:t>
            </w:r>
            <w:r w:rsidR="006F45FB" w:rsidRPr="004B523E">
              <w:rPr>
                <w:sz w:val="16"/>
                <w:szCs w:val="16"/>
              </w:rPr>
              <w:t xml:space="preserve"> </w:t>
            </w:r>
            <w:r w:rsidR="004B523E" w:rsidRPr="00660167">
              <w:rPr>
                <w:sz w:val="16"/>
                <w:szCs w:val="16"/>
              </w:rPr>
              <w:t>…</w:t>
            </w:r>
            <w:bookmarkEnd w:id="34"/>
          </w:p>
        </w:tc>
        <w:tc>
          <w:tcPr>
            <w:tcW w:w="236" w:type="dxa"/>
          </w:tcPr>
          <w:p w14:paraId="1C61AAE9" w14:textId="77777777" w:rsidR="00B6378E" w:rsidRPr="00266CCE" w:rsidRDefault="00B6378E" w:rsidP="00630B23">
            <w:pPr>
              <w:pStyle w:val="Caption"/>
              <w:spacing w:after="0"/>
              <w:jc w:val="center"/>
              <w:rPr>
                <w:color w:val="auto"/>
                <w:sz w:val="2"/>
              </w:rPr>
            </w:pPr>
          </w:p>
        </w:tc>
        <w:tc>
          <w:tcPr>
            <w:tcW w:w="4645" w:type="dxa"/>
            <w:tcBorders>
              <w:bottom w:val="single" w:sz="4" w:space="0" w:color="984806" w:themeColor="accent6" w:themeShade="80"/>
            </w:tcBorders>
          </w:tcPr>
          <w:p w14:paraId="04184474" w14:textId="6C0017FF" w:rsidR="004B523E" w:rsidRPr="00660167" w:rsidRDefault="00B6378E" w:rsidP="00630B23">
            <w:pPr>
              <w:pStyle w:val="Caption"/>
              <w:spacing w:after="0"/>
              <w:rPr>
                <w:noProof/>
                <w:sz w:val="16"/>
                <w:szCs w:val="16"/>
              </w:rPr>
            </w:pPr>
            <w:r w:rsidRPr="00660167">
              <w:rPr>
                <w:color w:val="auto"/>
                <w:sz w:val="16"/>
                <w:szCs w:val="16"/>
              </w:rPr>
              <w:t xml:space="preserve"> </w:t>
            </w:r>
            <w:bookmarkStart w:id="35" w:name="_Toc371338626"/>
            <w:r w:rsidR="006F45FB">
              <w:rPr>
                <w:sz w:val="16"/>
                <w:szCs w:val="16"/>
                <w:lang w:val="mn-MN"/>
              </w:rPr>
              <w:t>Зураг</w:t>
            </w:r>
            <w:r w:rsidR="004B523E" w:rsidRPr="00660167">
              <w:rPr>
                <w:sz w:val="16"/>
                <w:szCs w:val="16"/>
              </w:rPr>
              <w:t xml:space="preserve"> </w:t>
            </w:r>
            <w:r w:rsidR="002E38E0">
              <w:rPr>
                <w:sz w:val="16"/>
                <w:szCs w:val="16"/>
              </w:rPr>
              <w:fldChar w:fldCharType="begin"/>
            </w:r>
            <w:r w:rsidR="002E38E0">
              <w:rPr>
                <w:sz w:val="16"/>
                <w:szCs w:val="16"/>
              </w:rPr>
              <w:instrText xml:space="preserve"> SEQ Figure \* ARABIC </w:instrText>
            </w:r>
            <w:r w:rsidR="002E38E0">
              <w:rPr>
                <w:sz w:val="16"/>
                <w:szCs w:val="16"/>
              </w:rPr>
              <w:fldChar w:fldCharType="separate"/>
            </w:r>
            <w:r w:rsidR="002E38E0">
              <w:rPr>
                <w:noProof/>
                <w:sz w:val="16"/>
                <w:szCs w:val="16"/>
              </w:rPr>
              <w:t>18</w:t>
            </w:r>
            <w:r w:rsidR="002E38E0">
              <w:rPr>
                <w:sz w:val="16"/>
                <w:szCs w:val="16"/>
              </w:rPr>
              <w:fldChar w:fldCharType="end"/>
            </w:r>
            <w:r w:rsidR="006F45FB">
              <w:rPr>
                <w:sz w:val="16"/>
                <w:szCs w:val="16"/>
              </w:rPr>
              <w:t xml:space="preserve">. </w:t>
            </w:r>
            <w:r w:rsidR="006F45FB">
              <w:rPr>
                <w:sz w:val="16"/>
                <w:szCs w:val="16"/>
                <w:lang w:val="mn-MN"/>
              </w:rPr>
              <w:t>Түрээсийн үнүүд мөн өсч байна</w:t>
            </w:r>
            <w:bookmarkEnd w:id="35"/>
          </w:p>
          <w:p w14:paraId="69E66AE9" w14:textId="62D3CFBF" w:rsidR="00B6378E" w:rsidRPr="00B6378E" w:rsidRDefault="00B6378E" w:rsidP="00630B23">
            <w:pPr>
              <w:pStyle w:val="Caption"/>
              <w:spacing w:after="0"/>
            </w:pPr>
          </w:p>
        </w:tc>
      </w:tr>
      <w:tr w:rsidR="002C3B2D" w:rsidRPr="000A2BAB" w14:paraId="7DFFA591" w14:textId="77777777" w:rsidTr="006F676F">
        <w:trPr>
          <w:trHeight w:val="2915"/>
        </w:trPr>
        <w:tc>
          <w:tcPr>
            <w:tcW w:w="4587" w:type="dxa"/>
            <w:gridSpan w:val="2"/>
            <w:tcBorders>
              <w:top w:val="single" w:sz="4" w:space="0" w:color="984806" w:themeColor="accent6" w:themeShade="80"/>
            </w:tcBorders>
          </w:tcPr>
          <w:p w14:paraId="29B06DD7" w14:textId="0C5A78C3" w:rsidR="00B6378E" w:rsidRPr="000A2BAB" w:rsidRDefault="002C3B2D" w:rsidP="00660167">
            <w:pPr>
              <w:pStyle w:val="NoSpacing"/>
            </w:pPr>
            <w:r>
              <w:rPr>
                <w:noProof/>
              </w:rPr>
              <w:drawing>
                <wp:anchor distT="0" distB="0" distL="114300" distR="114300" simplePos="0" relativeHeight="251734528" behindDoc="0" locked="0" layoutInCell="1" allowOverlap="1" wp14:anchorId="4D7813AA" wp14:editId="59550752">
                  <wp:simplePos x="0" y="0"/>
                  <wp:positionH relativeFrom="column">
                    <wp:posOffset>71755</wp:posOffset>
                  </wp:positionH>
                  <wp:positionV relativeFrom="paragraph">
                    <wp:posOffset>223520</wp:posOffset>
                  </wp:positionV>
                  <wp:extent cx="2769235" cy="1635125"/>
                  <wp:effectExtent l="0" t="0" r="0" b="3175"/>
                  <wp:wrapSquare wrapText="bothSides"/>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page">
                    <wp14:pctWidth>0</wp14:pctWidth>
                  </wp14:sizeRelH>
                  <wp14:sizeRelV relativeFrom="page">
                    <wp14:pctHeight>0</wp14:pctHeight>
                  </wp14:sizeRelV>
                </wp:anchor>
              </w:drawing>
            </w:r>
            <w:r w:rsidR="00021AD0">
              <w:rPr>
                <w:sz w:val="16"/>
                <w:lang w:val="mn-MN"/>
              </w:rPr>
              <w:t>Хүнсний бус, эрчим хүчний бус гол нэрийн бүтээгдэхүүний үнүүд</w:t>
            </w:r>
            <w:r w:rsidR="00B6378E">
              <w:rPr>
                <w:sz w:val="16"/>
              </w:rPr>
              <w:t xml:space="preserve"> (</w:t>
            </w:r>
            <w:r w:rsidR="00021AD0">
              <w:rPr>
                <w:sz w:val="16"/>
                <w:lang w:val="mn-MN"/>
              </w:rPr>
              <w:t>өжх</w:t>
            </w:r>
            <w:r w:rsidR="00B6378E">
              <w:rPr>
                <w:sz w:val="16"/>
              </w:rPr>
              <w:t>, %)</w:t>
            </w:r>
            <w:r w:rsidR="00B6378E" w:rsidRPr="000A2BAB">
              <w:t xml:space="preserve"> </w:t>
            </w:r>
          </w:p>
        </w:tc>
        <w:tc>
          <w:tcPr>
            <w:tcW w:w="236" w:type="dxa"/>
          </w:tcPr>
          <w:p w14:paraId="70729477" w14:textId="7950B7B0" w:rsidR="00B6378E" w:rsidRDefault="00B6378E" w:rsidP="00280CBB">
            <w:pPr>
              <w:pStyle w:val="NoSpacing"/>
              <w:jc w:val="both"/>
              <w:rPr>
                <w:noProof/>
                <w:sz w:val="2"/>
                <w:lang w:eastAsia="ko-KR"/>
              </w:rPr>
            </w:pPr>
          </w:p>
          <w:p w14:paraId="76B67E61" w14:textId="780508C2" w:rsidR="00B6378E" w:rsidRPr="00266CCE" w:rsidRDefault="00B6378E" w:rsidP="00280CBB">
            <w:pPr>
              <w:pStyle w:val="NoSpacing"/>
              <w:jc w:val="both"/>
              <w:rPr>
                <w:noProof/>
                <w:sz w:val="2"/>
                <w:lang w:eastAsia="ko-KR"/>
              </w:rPr>
            </w:pPr>
          </w:p>
        </w:tc>
        <w:tc>
          <w:tcPr>
            <w:tcW w:w="4645" w:type="dxa"/>
            <w:tcBorders>
              <w:top w:val="single" w:sz="4" w:space="0" w:color="984806" w:themeColor="accent6" w:themeShade="80"/>
            </w:tcBorders>
          </w:tcPr>
          <w:p w14:paraId="521B57AF" w14:textId="72D5C147" w:rsidR="002C3B2D" w:rsidRPr="00EA6573" w:rsidRDefault="009B718D">
            <w:pPr>
              <w:pStyle w:val="NoSpacing"/>
              <w:jc w:val="both"/>
              <w:rPr>
                <w:sz w:val="16"/>
                <w:szCs w:val="18"/>
                <w:lang w:eastAsia="ko-KR"/>
              </w:rPr>
            </w:pPr>
            <w:r>
              <w:rPr>
                <w:noProof/>
              </w:rPr>
              <mc:AlternateContent>
                <mc:Choice Requires="wps">
                  <w:drawing>
                    <wp:anchor distT="0" distB="0" distL="114300" distR="114300" simplePos="0" relativeHeight="251789824" behindDoc="0" locked="0" layoutInCell="1" allowOverlap="1" wp14:anchorId="195E4AD9" wp14:editId="0A7BDDFF">
                      <wp:simplePos x="0" y="0"/>
                      <wp:positionH relativeFrom="column">
                        <wp:posOffset>1269365</wp:posOffset>
                      </wp:positionH>
                      <wp:positionV relativeFrom="paragraph">
                        <wp:posOffset>220980</wp:posOffset>
                      </wp:positionV>
                      <wp:extent cx="1123950" cy="273050"/>
                      <wp:effectExtent l="0" t="0" r="0" b="0"/>
                      <wp:wrapNone/>
                      <wp:docPr id="357" name="Text Box 357"/>
                      <wp:cNvGraphicFramePr/>
                      <a:graphic xmlns:a="http://schemas.openxmlformats.org/drawingml/2006/main">
                        <a:graphicData uri="http://schemas.microsoft.com/office/word/2010/wordprocessingShape">
                          <wps:wsp>
                            <wps:cNvSpPr txBox="1"/>
                            <wps:spPr>
                              <a:xfrm>
                                <a:off x="0" y="0"/>
                                <a:ext cx="1123950" cy="2730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39CE999" w14:textId="49384676" w:rsidR="00661F55" w:rsidRPr="00630B23" w:rsidRDefault="00661F55">
                                  <w:pPr>
                                    <w:rPr>
                                      <w:sz w:val="10"/>
                                      <w:szCs w:val="10"/>
                                    </w:rPr>
                                  </w:pPr>
                                  <w:r>
                                    <w:rPr>
                                      <w:sz w:val="10"/>
                                      <w:szCs w:val="10"/>
                                      <w:lang w:val="mn-MN"/>
                                    </w:rPr>
                                    <w:t xml:space="preserve">Орон сууцны түрээний үнийн инд?кс, </w:t>
                                  </w:r>
                                  <w:r>
                                    <w:rPr>
                                      <w:sz w:val="10"/>
                                      <w:szCs w:val="10"/>
                                    </w:rPr>
                                    <w:t>(</w:t>
                                  </w:r>
                                  <w:r w:rsidR="009B718D">
                                    <w:rPr>
                                      <w:sz w:val="10"/>
                                      <w:szCs w:val="10"/>
                                    </w:rPr>
                                    <w:t xml:space="preserve">2005 </w:t>
                                  </w:r>
                                  <w:r w:rsidR="009B718D">
                                    <w:rPr>
                                      <w:sz w:val="10"/>
                                      <w:szCs w:val="10"/>
                                      <w:lang w:val="mn-MN"/>
                                    </w:rPr>
                                    <w:t>оны үнэ</w:t>
                                  </w:r>
                                  <w:r w:rsidR="009B718D">
                                    <w:rPr>
                                      <w:sz w:val="10"/>
                                      <w:szCs w:val="10"/>
                                    </w:rPr>
                                    <w:t>=100%)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57" o:spid="_x0000_s1027" type="#_x0000_t202" style="position:absolute;left:0;text-align:left;margin-left:99.95pt;margin-top:17.4pt;width:88.5pt;height:21.5pt;z-index:251789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" fillcolor="white [3201]" stroked="f" strokeweight=".5pt">
                      <v:textbox>
                        <w:txbxContent>
                          <w:p w14:paraId="239CE999" w14:textId="49384676" w:rsidR="00661F55" w:rsidRPr="00630B23" w:rsidRDefault="00661F55">
                            <w:pPr>
                              <w:rPr>
                                <w:sz w:val="10"/>
                                <w:szCs w:val="10"/>
                              </w:rPr>
                            </w:pPr>
                            <w:r>
                              <w:rPr>
                                <w:sz w:val="10"/>
                                <w:szCs w:val="10"/>
                                <w:lang w:val="mn-MN"/>
                              </w:rPr>
                              <w:t xml:space="preserve">Орон сууцны түрээний үнийн инд?кс, </w:t>
                            </w:r>
                            <w:r>
                              <w:rPr>
                                <w:sz w:val="10"/>
                                <w:szCs w:val="10"/>
                              </w:rPr>
                              <w:t>(</w:t>
                            </w:r>
                            <w:r w:rsidR="009B718D">
                              <w:rPr>
                                <w:sz w:val="10"/>
                                <w:szCs w:val="10"/>
                              </w:rPr>
                              <w:t xml:space="preserve">2005 </w:t>
                            </w:r>
                            <w:r w:rsidR="009B718D">
                              <w:rPr>
                                <w:sz w:val="10"/>
                                <w:szCs w:val="10"/>
                                <w:lang w:val="mn-MN"/>
                              </w:rPr>
                              <w:t>оны үнэ</w:t>
                            </w:r>
                            <w:r w:rsidR="009B718D">
                              <w:rPr>
                                <w:sz w:val="10"/>
                                <w:szCs w:val="10"/>
                              </w:rPr>
                              <w:t>=100%)</w:t>
                            </w:r>
                          </w:p>
                        </w:txbxContent>
                      </v:textbox>
                    </v:shape>
                  </w:pict>
                </mc:Fallback>
              </mc:AlternateContent>
            </w:r>
            <w:r w:rsidR="00EA6573">
              <w:rPr>
                <w:noProof/>
              </w:rPr>
              <w:drawing>
                <wp:anchor distT="0" distB="0" distL="114300" distR="114300" simplePos="0" relativeHeight="251709952" behindDoc="0" locked="0" layoutInCell="1" allowOverlap="1" wp14:anchorId="5043BCDC" wp14:editId="44C27931">
                  <wp:simplePos x="0" y="0"/>
                  <wp:positionH relativeFrom="column">
                    <wp:posOffset>-10160</wp:posOffset>
                  </wp:positionH>
                  <wp:positionV relativeFrom="paragraph">
                    <wp:posOffset>223520</wp:posOffset>
                  </wp:positionV>
                  <wp:extent cx="2734310" cy="1635125"/>
                  <wp:effectExtent l="0" t="0" r="8890" b="0"/>
                  <wp:wrapSquare wrapText="bothSides"/>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page">
                    <wp14:pctWidth>0</wp14:pctWidth>
                  </wp14:sizeRelH>
                  <wp14:sizeRelV relativeFrom="page">
                    <wp14:pctHeight>0</wp14:pctHeight>
                  </wp14:sizeRelV>
                </wp:anchor>
              </w:drawing>
            </w:r>
            <w:r w:rsidR="00021AD0">
              <w:rPr>
                <w:sz w:val="16"/>
                <w:szCs w:val="18"/>
                <w:lang w:val="mn-MN"/>
              </w:rPr>
              <w:t>Орон сууцны түрээсийн үнийн индекс, инфляци</w:t>
            </w:r>
            <w:r w:rsidR="002C3B2D">
              <w:rPr>
                <w:sz w:val="16"/>
                <w:szCs w:val="18"/>
              </w:rPr>
              <w:t xml:space="preserve"> </w:t>
            </w:r>
          </w:p>
        </w:tc>
      </w:tr>
      <w:tr w:rsidR="00B6378E" w:rsidRPr="000A2BAB" w14:paraId="415B13B2" w14:textId="77777777" w:rsidTr="002C3B2D">
        <w:trPr>
          <w:trHeight w:val="89"/>
        </w:trPr>
        <w:tc>
          <w:tcPr>
            <w:tcW w:w="3953" w:type="dxa"/>
          </w:tcPr>
          <w:p w14:paraId="537FB970" w14:textId="1D7C876A" w:rsidR="00B6378E" w:rsidRPr="000A2BAB" w:rsidRDefault="00021AD0" w:rsidP="00280CBB">
            <w:pPr>
              <w:pStyle w:val="NoSpacing"/>
              <w:jc w:val="both"/>
              <w:rPr>
                <w:sz w:val="14"/>
                <w:szCs w:val="18"/>
              </w:rPr>
            </w:pPr>
            <w:r>
              <w:rPr>
                <w:i/>
                <w:sz w:val="14"/>
                <w:szCs w:val="18"/>
                <w:lang w:val="mn-MN"/>
              </w:rPr>
              <w:t>Эх үүсвэр</w:t>
            </w:r>
            <w:r w:rsidRPr="000A2BAB">
              <w:rPr>
                <w:i/>
                <w:sz w:val="14"/>
                <w:szCs w:val="18"/>
              </w:rPr>
              <w:t>:</w:t>
            </w:r>
            <w:r w:rsidRPr="000A2BAB">
              <w:rPr>
                <w:sz w:val="14"/>
                <w:szCs w:val="18"/>
              </w:rPr>
              <w:t xml:space="preserve"> </w:t>
            </w:r>
            <w:r>
              <w:rPr>
                <w:sz w:val="14"/>
                <w:szCs w:val="18"/>
                <w:lang w:val="mn-MN"/>
              </w:rPr>
              <w:t>ҮСХ эмхэтгэл, ДБ-ны мэргэжилтнүүдийн тооцоо</w:t>
            </w:r>
          </w:p>
        </w:tc>
        <w:tc>
          <w:tcPr>
            <w:tcW w:w="634" w:type="dxa"/>
          </w:tcPr>
          <w:p w14:paraId="65F9F100" w14:textId="77777777" w:rsidR="00B6378E" w:rsidRPr="00266CCE" w:rsidRDefault="00B6378E" w:rsidP="00280CBB">
            <w:pPr>
              <w:pStyle w:val="NoSpacing"/>
              <w:jc w:val="both"/>
              <w:rPr>
                <w:i/>
                <w:sz w:val="2"/>
                <w:szCs w:val="18"/>
              </w:rPr>
            </w:pPr>
          </w:p>
        </w:tc>
        <w:tc>
          <w:tcPr>
            <w:tcW w:w="4881" w:type="dxa"/>
            <w:gridSpan w:val="2"/>
          </w:tcPr>
          <w:p w14:paraId="409F7BBF" w14:textId="77777777" w:rsidR="00B6378E" w:rsidRPr="000A2BAB" w:rsidRDefault="00B6378E" w:rsidP="00280CBB">
            <w:pPr>
              <w:pStyle w:val="NoSpacing"/>
              <w:jc w:val="both"/>
              <w:rPr>
                <w:sz w:val="14"/>
              </w:rPr>
            </w:pPr>
          </w:p>
        </w:tc>
      </w:tr>
    </w:tbl>
    <w:p w14:paraId="4D44A0E7" w14:textId="77777777" w:rsidR="00EA6573" w:rsidRPr="006F676F" w:rsidRDefault="00EA6573" w:rsidP="006C0AC3">
      <w:pPr>
        <w:jc w:val="both"/>
        <w:rPr>
          <w:rFonts w:ascii="Arial" w:hAnsi="Arial" w:cs="Arial"/>
          <w:b/>
          <w:sz w:val="2"/>
        </w:rPr>
      </w:pPr>
    </w:p>
    <w:p w14:paraId="2FC24515" w14:textId="034769D9" w:rsidR="000B5B4C" w:rsidRDefault="005E20A0" w:rsidP="006C0AC3">
      <w:pPr>
        <w:jc w:val="both"/>
        <w:rPr>
          <w:rFonts w:ascii="Arial" w:hAnsi="Arial" w:cs="Arial"/>
          <w:sz w:val="20"/>
        </w:rPr>
      </w:pPr>
      <w:r>
        <w:rPr>
          <w:rFonts w:ascii="Arial" w:hAnsi="Arial" w:cs="Arial"/>
          <w:b/>
          <w:sz w:val="20"/>
          <w:lang w:val="mn-MN"/>
        </w:rPr>
        <w:t>Ирэх саруудад инфляци өсөх хандлагатай байна</w:t>
      </w:r>
      <w:r w:rsidR="00662D60">
        <w:rPr>
          <w:rFonts w:ascii="Arial" w:hAnsi="Arial" w:cs="Arial"/>
          <w:b/>
          <w:sz w:val="20"/>
        </w:rPr>
        <w:t xml:space="preserve">. </w:t>
      </w:r>
      <w:r>
        <w:rPr>
          <w:rFonts w:ascii="Arial" w:hAnsi="Arial" w:cs="Arial"/>
          <w:sz w:val="20"/>
          <w:lang w:val="mn-MN"/>
        </w:rPr>
        <w:t>Зээл тэлж байгаа, мөнгөний бодлого суларч байгаа ч Монголбанк инфляцийг жилийн туршид нэг оронтой тоонд багтааж байна. Өнгөрсөн 11 сард эхлүүлсэн</w:t>
      </w:r>
      <w:r w:rsidR="0013503D" w:rsidRPr="0013503D">
        <w:rPr>
          <w:rFonts w:ascii="Arial" w:hAnsi="Arial" w:cs="Arial"/>
          <w:sz w:val="20"/>
        </w:rPr>
        <w:t xml:space="preserve"> </w:t>
      </w:r>
      <w:r w:rsidR="00662D60">
        <w:rPr>
          <w:rFonts w:ascii="Arial" w:hAnsi="Arial" w:cs="Arial"/>
          <w:sz w:val="20"/>
        </w:rPr>
        <w:t xml:space="preserve">– </w:t>
      </w:r>
      <w:r>
        <w:rPr>
          <w:rFonts w:ascii="Arial" w:hAnsi="Arial" w:cs="Arial"/>
          <w:sz w:val="20"/>
          <w:lang w:val="mn-MN"/>
        </w:rPr>
        <w:t>Үнийг тогтворжуулах хөтөлбөр нь</w:t>
      </w:r>
      <w:r w:rsidR="0013503D" w:rsidRPr="0013503D">
        <w:rPr>
          <w:rFonts w:ascii="Arial" w:hAnsi="Arial" w:cs="Arial"/>
          <w:sz w:val="20"/>
        </w:rPr>
        <w:t xml:space="preserve"> </w:t>
      </w:r>
      <w:r w:rsidR="00662D60">
        <w:rPr>
          <w:rFonts w:ascii="Arial" w:hAnsi="Arial" w:cs="Arial"/>
          <w:sz w:val="20"/>
        </w:rPr>
        <w:t xml:space="preserve">– </w:t>
      </w:r>
      <w:r w:rsidR="008551B2">
        <w:rPr>
          <w:rFonts w:ascii="Arial" w:hAnsi="Arial" w:cs="Arial"/>
          <w:sz w:val="20"/>
          <w:lang w:val="mn-MN"/>
        </w:rPr>
        <w:t xml:space="preserve">гол үнүүдийг, тэдгээрийн нийлүүлэгчдэд хөнгөлөлттэй нөхцөлтэйгээр санхүүгийн туслалцаа үзүүлэх замаар тогтвортой барихад дэмжлэг үзүүлсэн. Гэвч сүүлийн саруудад валютын ханш буурч байгаа нь импортын бүтээгдэхүүний өртөгийг нэмэгдүүлж, нийлүүлэгчдэд дотоодын үнээ бариад байхад төвөгтэй байдал үүсгэж байна. Валютын ханшны өнөөгийн байгаа байдал, макро эдийн засгийн тэлэх бодлогуудын нэмэлт дарамтаас үүдэж мөнгөний бодлогын удирдлагуудад инфляцийг нэг түвшинд барихад улам төвөгтэй болгох талтай. </w:t>
      </w:r>
    </w:p>
    <w:tbl>
      <w:tblPr>
        <w:tblW w:w="0" w:type="auto"/>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9576"/>
      </w:tblGrid>
      <w:tr w:rsidR="006C0AC3" w:rsidRPr="006C0AC3" w14:paraId="3FEFEE0B" w14:textId="77777777" w:rsidTr="00630B23">
        <w:tc>
          <w:tcPr>
            <w:tcW w:w="9576" w:type="dxa"/>
          </w:tcPr>
          <w:p w14:paraId="77434E4A" w14:textId="01DA6AAD" w:rsidR="00DA3C1B" w:rsidRPr="00660167" w:rsidRDefault="00DA3C1B" w:rsidP="00660167">
            <w:pPr>
              <w:rPr>
                <w:rFonts w:ascii="Arial" w:hAnsi="Arial" w:cs="Arial"/>
                <w:sz w:val="8"/>
              </w:rPr>
            </w:pPr>
          </w:p>
          <w:p w14:paraId="034A8BC4" w14:textId="2DFEEC82" w:rsidR="00030FD0" w:rsidRPr="00660167" w:rsidRDefault="00684BC9" w:rsidP="00030FD0">
            <w:pPr>
              <w:pStyle w:val="Caption"/>
              <w:keepNext/>
              <w:rPr>
                <w:rFonts w:ascii="Arial" w:hAnsi="Arial" w:cs="Arial"/>
              </w:rPr>
            </w:pPr>
            <w:bookmarkStart w:id="36" w:name="_Toc371339041"/>
            <w:r>
              <w:rPr>
                <w:rFonts w:ascii="Arial" w:hAnsi="Arial" w:cs="Arial"/>
                <w:lang w:val="mn-MN"/>
              </w:rPr>
              <w:t>Хайрцаг</w:t>
            </w:r>
            <w:r w:rsidR="00030FD0" w:rsidRPr="00660167">
              <w:rPr>
                <w:rFonts w:ascii="Arial" w:hAnsi="Arial" w:cs="Arial"/>
              </w:rPr>
              <w:t xml:space="preserve"> </w:t>
            </w:r>
            <w:r w:rsidR="00030FD0" w:rsidRPr="00660167">
              <w:rPr>
                <w:rFonts w:ascii="Arial" w:hAnsi="Arial" w:cs="Arial"/>
              </w:rPr>
              <w:fldChar w:fldCharType="begin"/>
            </w:r>
            <w:r w:rsidR="00030FD0" w:rsidRPr="00660167">
              <w:rPr>
                <w:rFonts w:ascii="Arial" w:hAnsi="Arial" w:cs="Arial"/>
              </w:rPr>
              <w:instrText xml:space="preserve"> SEQ Box \* ARABIC </w:instrText>
            </w:r>
            <w:r w:rsidR="00030FD0" w:rsidRPr="00660167">
              <w:rPr>
                <w:rFonts w:ascii="Arial" w:hAnsi="Arial" w:cs="Arial"/>
              </w:rPr>
              <w:fldChar w:fldCharType="separate"/>
            </w:r>
            <w:r w:rsidR="00030FD0" w:rsidRPr="00660167">
              <w:rPr>
                <w:rFonts w:ascii="Arial" w:hAnsi="Arial" w:cs="Arial"/>
                <w:noProof/>
              </w:rPr>
              <w:t>2</w:t>
            </w:r>
            <w:r w:rsidR="00030FD0" w:rsidRPr="00660167">
              <w:rPr>
                <w:rFonts w:ascii="Arial" w:hAnsi="Arial" w:cs="Arial"/>
              </w:rPr>
              <w:fldChar w:fldCharType="end"/>
            </w:r>
            <w:r w:rsidR="00030FD0" w:rsidRPr="00660167">
              <w:rPr>
                <w:rFonts w:ascii="Arial" w:hAnsi="Arial" w:cs="Arial"/>
              </w:rPr>
              <w:t xml:space="preserve">. </w:t>
            </w:r>
            <w:r>
              <w:rPr>
                <w:rFonts w:ascii="Arial" w:hAnsi="Arial" w:cs="Arial"/>
                <w:lang w:val="mn-MN"/>
              </w:rPr>
              <w:t>Импортын барааны хэрэглээ болон суурь үнэ</w:t>
            </w:r>
            <w:bookmarkEnd w:id="36"/>
          </w:p>
          <w:p w14:paraId="2DEC5DAC" w14:textId="22CBFBAD" w:rsidR="006C0AC3" w:rsidRDefault="001A2144" w:rsidP="00660167">
            <w:pPr>
              <w:spacing w:line="264" w:lineRule="auto"/>
              <w:jc w:val="both"/>
              <w:rPr>
                <w:rFonts w:ascii="Arial" w:hAnsi="Arial" w:cs="Arial"/>
                <w:color w:val="111111"/>
                <w:sz w:val="18"/>
                <w:szCs w:val="18"/>
              </w:rPr>
            </w:pPr>
            <w:r>
              <w:rPr>
                <w:rFonts w:ascii="Arial" w:hAnsi="Arial" w:cs="Arial"/>
                <w:b/>
                <w:color w:val="111111"/>
                <w:sz w:val="18"/>
                <w:szCs w:val="18"/>
                <w:lang w:val="mn-MN"/>
              </w:rPr>
              <w:t>Хэрэглээний сагс</w:t>
            </w:r>
            <w:r w:rsidR="0090729E" w:rsidRPr="0090729E">
              <w:rPr>
                <w:rFonts w:ascii="Arial" w:hAnsi="Arial" w:cs="Arial"/>
                <w:b/>
                <w:color w:val="111111"/>
                <w:sz w:val="18"/>
                <w:szCs w:val="18"/>
              </w:rPr>
              <w:t xml:space="preserve">. </w:t>
            </w:r>
            <w:r>
              <w:rPr>
                <w:rFonts w:ascii="Arial" w:hAnsi="Arial" w:cs="Arial"/>
                <w:color w:val="111111"/>
                <w:sz w:val="18"/>
                <w:szCs w:val="18"/>
                <w:lang w:val="mn-MN"/>
              </w:rPr>
              <w:t xml:space="preserve">2010 оны үнэд суурилсан ХҮИ зах зээлийн сагсыг 11,323 өрхүүдээс Өрхийн нийгэм, эдийн засгийн судалгаагаар цуглуулсан зарлагын мэдээлэлд үндэслэдэг бөгөөд уг судалгааг ҮСХ нь </w:t>
            </w:r>
            <w:r w:rsidR="006C0AC3" w:rsidRPr="00444361">
              <w:rPr>
                <w:rFonts w:ascii="Arial" w:hAnsi="Arial" w:cs="Arial"/>
                <w:color w:val="111111"/>
                <w:sz w:val="18"/>
                <w:szCs w:val="18"/>
              </w:rPr>
              <w:t>2007</w:t>
            </w:r>
            <w:r w:rsidR="006C0AC3" w:rsidRPr="00444361">
              <w:rPr>
                <w:rStyle w:val="FootnoteReference"/>
                <w:rFonts w:ascii="Arial" w:hAnsi="Arial" w:cs="Arial"/>
                <w:color w:val="111111"/>
                <w:sz w:val="18"/>
                <w:szCs w:val="18"/>
              </w:rPr>
              <w:footnoteReference w:id="6"/>
            </w:r>
            <w:r w:rsidR="0090729E">
              <w:rPr>
                <w:rFonts w:ascii="Arial" w:hAnsi="Arial" w:cs="Arial"/>
                <w:color w:val="111111"/>
                <w:sz w:val="18"/>
                <w:szCs w:val="18"/>
              </w:rPr>
              <w:t xml:space="preserve"> </w:t>
            </w:r>
            <w:r>
              <w:rPr>
                <w:rFonts w:ascii="Arial" w:hAnsi="Arial" w:cs="Arial"/>
                <w:color w:val="111111"/>
                <w:sz w:val="18"/>
                <w:szCs w:val="18"/>
                <w:lang w:val="mn-MN"/>
              </w:rPr>
              <w:t>оноос хийж эхэлж байна. ӨНЭЗС-аас гадна, Монголын өрхүүдийн өөрсдийн орлогын түвшиндээ тааруулан бараа үйлчилгээний</w:t>
            </w:r>
            <w:r w:rsidR="00491519">
              <w:rPr>
                <w:rFonts w:ascii="Arial" w:hAnsi="Arial" w:cs="Arial"/>
                <w:color w:val="111111"/>
                <w:sz w:val="18"/>
                <w:szCs w:val="18"/>
                <w:lang w:val="mn-MN"/>
              </w:rPr>
              <w:t xml:space="preserve"> хэрэглээг</w:t>
            </w:r>
            <w:r>
              <w:rPr>
                <w:rFonts w:ascii="Arial" w:hAnsi="Arial" w:cs="Arial"/>
                <w:color w:val="111111"/>
                <w:sz w:val="18"/>
                <w:szCs w:val="18"/>
                <w:lang w:val="mn-MN"/>
              </w:rPr>
              <w:t xml:space="preserve"> төлөөлөх сагсыг тодорхойлох зорилгоор ҮСХ нь импорт болон аж үйлдвэрлэлийн тоо мэдээлэлд судалгаа хийдэг. Уг судалгааг ҮСХ нь 5 жил тутамд шинэчилдэг. Одоогийн сагс нь 12 бүлгийн 329 бараа, үйлчилгээнээс бүрдэж байна</w:t>
            </w:r>
            <w:r w:rsidR="006C0AC3" w:rsidRPr="00444361">
              <w:rPr>
                <w:rFonts w:ascii="Arial" w:hAnsi="Arial" w:cs="Arial"/>
                <w:color w:val="111111"/>
                <w:sz w:val="18"/>
                <w:szCs w:val="18"/>
              </w:rPr>
              <w:t xml:space="preserve">: </w:t>
            </w:r>
            <w:r>
              <w:rPr>
                <w:rFonts w:ascii="Arial" w:hAnsi="Arial" w:cs="Arial"/>
                <w:color w:val="111111"/>
                <w:sz w:val="18"/>
                <w:szCs w:val="18"/>
                <w:lang w:val="mn-MN"/>
              </w:rPr>
              <w:t>хүнс болон ундаа</w:t>
            </w:r>
            <w:r w:rsidR="006C0AC3" w:rsidRPr="00444361">
              <w:rPr>
                <w:rFonts w:ascii="Arial" w:hAnsi="Arial" w:cs="Arial"/>
                <w:color w:val="111111"/>
                <w:sz w:val="18"/>
                <w:szCs w:val="18"/>
              </w:rPr>
              <w:t xml:space="preserve">, </w:t>
            </w:r>
            <w:r>
              <w:rPr>
                <w:rFonts w:ascii="Arial" w:hAnsi="Arial" w:cs="Arial"/>
                <w:color w:val="111111"/>
                <w:sz w:val="18"/>
                <w:szCs w:val="18"/>
                <w:lang w:val="mn-MN"/>
              </w:rPr>
              <w:t>орон сууц</w:t>
            </w:r>
            <w:r w:rsidR="006C0AC3" w:rsidRPr="00444361">
              <w:rPr>
                <w:rFonts w:ascii="Arial" w:hAnsi="Arial" w:cs="Arial"/>
                <w:color w:val="111111"/>
                <w:sz w:val="18"/>
                <w:szCs w:val="18"/>
              </w:rPr>
              <w:t xml:space="preserve">, </w:t>
            </w:r>
            <w:r>
              <w:rPr>
                <w:rFonts w:ascii="Arial" w:hAnsi="Arial" w:cs="Arial"/>
                <w:color w:val="111111"/>
                <w:sz w:val="18"/>
                <w:szCs w:val="18"/>
                <w:lang w:val="mn-MN"/>
              </w:rPr>
              <w:t>хувцас хэрэгсэл</w:t>
            </w:r>
            <w:r w:rsidR="006C0AC3" w:rsidRPr="00444361">
              <w:rPr>
                <w:rFonts w:ascii="Arial" w:hAnsi="Arial" w:cs="Arial"/>
                <w:color w:val="111111"/>
                <w:sz w:val="18"/>
                <w:szCs w:val="18"/>
              </w:rPr>
              <w:t xml:space="preserve">, </w:t>
            </w:r>
            <w:r>
              <w:rPr>
                <w:rFonts w:ascii="Arial" w:hAnsi="Arial" w:cs="Arial"/>
                <w:color w:val="111111"/>
                <w:sz w:val="18"/>
                <w:szCs w:val="18"/>
                <w:lang w:val="mn-MN"/>
              </w:rPr>
              <w:t>тээвэр, эрүүл мэндийн үйлчилгээ, амралт, боловсрол, харилцаа холбоо болон бусад бараа үйлчилгээнүүд</w:t>
            </w:r>
            <w:r w:rsidR="006C0AC3" w:rsidRPr="00444361">
              <w:rPr>
                <w:rFonts w:ascii="Arial" w:hAnsi="Arial" w:cs="Arial"/>
                <w:color w:val="111111"/>
                <w:sz w:val="18"/>
                <w:szCs w:val="18"/>
              </w:rPr>
              <w:t>.</w:t>
            </w:r>
          </w:p>
          <w:p w14:paraId="24B816FE" w14:textId="59F0F123" w:rsidR="00461B10" w:rsidRDefault="001A2144" w:rsidP="00660167">
            <w:pPr>
              <w:spacing w:line="264" w:lineRule="auto"/>
              <w:jc w:val="both"/>
              <w:rPr>
                <w:rFonts w:ascii="Arial" w:hAnsi="Arial" w:cs="Arial"/>
                <w:color w:val="111111"/>
                <w:sz w:val="18"/>
                <w:szCs w:val="18"/>
              </w:rPr>
            </w:pPr>
            <w:r>
              <w:rPr>
                <w:rFonts w:ascii="Arial" w:hAnsi="Arial" w:cs="Arial"/>
                <w:b/>
                <w:color w:val="111111"/>
                <w:sz w:val="18"/>
                <w:szCs w:val="18"/>
                <w:lang w:val="mn-MN"/>
              </w:rPr>
              <w:t>Импортын хэрэглээний бараа</w:t>
            </w:r>
            <w:r w:rsidR="0090729E" w:rsidRPr="0090729E">
              <w:rPr>
                <w:rFonts w:ascii="Arial" w:hAnsi="Arial" w:cs="Arial"/>
                <w:b/>
                <w:color w:val="111111"/>
                <w:sz w:val="18"/>
                <w:szCs w:val="18"/>
              </w:rPr>
              <w:t>.</w:t>
            </w:r>
            <w:r w:rsidR="0090729E" w:rsidRPr="0090729E">
              <w:rPr>
                <w:rFonts w:ascii="Arial" w:hAnsi="Arial" w:cs="Arial"/>
                <w:color w:val="111111"/>
                <w:sz w:val="18"/>
                <w:szCs w:val="18"/>
              </w:rPr>
              <w:t xml:space="preserve"> </w:t>
            </w:r>
            <w:r>
              <w:rPr>
                <w:rFonts w:ascii="Arial" w:hAnsi="Arial" w:cs="Arial"/>
                <w:color w:val="111111"/>
                <w:sz w:val="18"/>
                <w:szCs w:val="18"/>
                <w:lang w:val="mn-MN"/>
              </w:rPr>
              <w:t>ХҮИ-ийн сагсны хүнс</w:t>
            </w:r>
            <w:r w:rsidR="002E0F55">
              <w:rPr>
                <w:rFonts w:ascii="Arial" w:hAnsi="Arial" w:cs="Arial"/>
                <w:color w:val="111111"/>
                <w:sz w:val="18"/>
                <w:szCs w:val="18"/>
                <w:lang w:val="mn-MN"/>
              </w:rPr>
              <w:t>н</w:t>
            </w:r>
            <w:r>
              <w:rPr>
                <w:rFonts w:ascii="Arial" w:hAnsi="Arial" w:cs="Arial"/>
                <w:color w:val="111111"/>
                <w:sz w:val="18"/>
                <w:szCs w:val="18"/>
                <w:lang w:val="mn-MN"/>
              </w:rPr>
              <w:t>ий хэсэгт, 52.7 хувь нь импортын бараа, 47.3 хувь нь дотоод</w:t>
            </w:r>
            <w:r w:rsidR="002E0F55">
              <w:rPr>
                <w:rFonts w:ascii="Arial" w:hAnsi="Arial" w:cs="Arial"/>
                <w:color w:val="111111"/>
                <w:sz w:val="18"/>
                <w:szCs w:val="18"/>
                <w:lang w:val="mn-MN"/>
              </w:rPr>
              <w:t>од</w:t>
            </w:r>
            <w:r>
              <w:rPr>
                <w:rFonts w:ascii="Arial" w:hAnsi="Arial" w:cs="Arial"/>
                <w:color w:val="111111"/>
                <w:sz w:val="18"/>
                <w:szCs w:val="18"/>
                <w:lang w:val="mn-MN"/>
              </w:rPr>
              <w:t xml:space="preserve"> үйлдвэрлэгдсэн бараа ордог. Хүнсний бус </w:t>
            </w:r>
            <w:r w:rsidR="00461B10">
              <w:rPr>
                <w:rFonts w:ascii="Arial" w:hAnsi="Arial" w:cs="Arial"/>
                <w:color w:val="111111"/>
                <w:sz w:val="18"/>
                <w:szCs w:val="18"/>
              </w:rPr>
              <w:t xml:space="preserve">235 </w:t>
            </w:r>
            <w:r w:rsidR="00B60864">
              <w:rPr>
                <w:rFonts w:ascii="Arial" w:hAnsi="Arial" w:cs="Arial"/>
                <w:color w:val="111111"/>
                <w:sz w:val="18"/>
                <w:szCs w:val="18"/>
                <w:lang w:val="mn-MN"/>
              </w:rPr>
              <w:t>хэрэглээний бараанаас, 55 хувь нь импортлогддог байна. Эдгээр импортын бараа нь хятадын юань болон бусад валютаар худалдан авагдаж, дотоодын хэрэглэгчдэд дотоодын мөнгөн тэмдэгтээр очдог. Энэхүү импортлогдсон бүтээгдэхүүнд хамааралтай хэрэглээтэй байгаа нь дотоодын аж үйлдвэрлэлийн хүчин чадал хязгаарлагдмал, мөн уул уурхайн экспортын өсөлт хүчтэй биш үед өсч байгаа эдийн засаг</w:t>
            </w:r>
            <w:r w:rsidR="002E0F55">
              <w:rPr>
                <w:rFonts w:ascii="Arial" w:hAnsi="Arial" w:cs="Arial"/>
                <w:color w:val="111111"/>
                <w:sz w:val="18"/>
                <w:szCs w:val="18"/>
                <w:lang w:val="mn-MN"/>
              </w:rPr>
              <w:t>т</w:t>
            </w:r>
            <w:r w:rsidR="00B60864">
              <w:rPr>
                <w:rFonts w:ascii="Arial" w:hAnsi="Arial" w:cs="Arial"/>
                <w:color w:val="111111"/>
                <w:sz w:val="18"/>
                <w:szCs w:val="18"/>
                <w:lang w:val="mn-MN"/>
              </w:rPr>
              <w:t xml:space="preserve"> худалдааны алдагдлыг улам нэмэгдүүлж байгааг тайлбарлаж байна. Мөн сүүлийн саруудад ханшны хурдацтай сулралт нь импортлогдсон инфляци</w:t>
            </w:r>
            <w:r w:rsidR="002E0F55">
              <w:rPr>
                <w:rFonts w:ascii="Arial" w:hAnsi="Arial" w:cs="Arial"/>
                <w:color w:val="111111"/>
                <w:sz w:val="18"/>
                <w:szCs w:val="18"/>
                <w:lang w:val="mn-MN"/>
              </w:rPr>
              <w:t>йн</w:t>
            </w:r>
            <w:r w:rsidR="00B60864">
              <w:rPr>
                <w:rFonts w:ascii="Arial" w:hAnsi="Arial" w:cs="Arial"/>
                <w:color w:val="111111"/>
                <w:sz w:val="18"/>
                <w:szCs w:val="18"/>
                <w:lang w:val="mn-MN"/>
              </w:rPr>
              <w:t xml:space="preserve"> </w:t>
            </w:r>
            <w:r w:rsidR="002E0F55">
              <w:rPr>
                <w:rFonts w:ascii="Arial" w:hAnsi="Arial" w:cs="Arial"/>
                <w:color w:val="111111"/>
                <w:sz w:val="18"/>
                <w:szCs w:val="18"/>
                <w:lang w:val="mn-MN"/>
              </w:rPr>
              <w:t>да</w:t>
            </w:r>
            <w:r w:rsidR="00B60864">
              <w:rPr>
                <w:rFonts w:ascii="Arial" w:hAnsi="Arial" w:cs="Arial"/>
                <w:color w:val="111111"/>
                <w:sz w:val="18"/>
                <w:szCs w:val="18"/>
                <w:lang w:val="mn-MN"/>
              </w:rPr>
              <w:t xml:space="preserve">рамтыг өсгөх талтай боллоо, ялангуяа импортлогдсон барааны борлуулалтын үнийн бодит зохицуулалт болон мөнгөн тэмдэгтийн ханшны уналтын хооронд цаг хугацааны хоцрогдолтой байгааг илэрхийлж байна. </w:t>
            </w:r>
          </w:p>
          <w:p w14:paraId="2EB7F8E0" w14:textId="189132B6" w:rsidR="006C0AC3" w:rsidRPr="00D714FC" w:rsidRDefault="00B60864" w:rsidP="00660167">
            <w:pPr>
              <w:spacing w:line="264" w:lineRule="auto"/>
              <w:jc w:val="both"/>
              <w:rPr>
                <w:rFonts w:ascii="Arial" w:hAnsi="Arial" w:cs="Arial"/>
                <w:color w:val="111111"/>
                <w:sz w:val="18"/>
                <w:szCs w:val="20"/>
              </w:rPr>
            </w:pPr>
            <w:r>
              <w:rPr>
                <w:rFonts w:ascii="Arial" w:hAnsi="Arial" w:cs="Arial"/>
                <w:b/>
                <w:color w:val="111111"/>
                <w:sz w:val="18"/>
                <w:szCs w:val="20"/>
                <w:lang w:val="mn-MN"/>
              </w:rPr>
              <w:t>Зохицуулалттай үнэ</w:t>
            </w:r>
            <w:r w:rsidR="00D714FC" w:rsidRPr="00D714FC">
              <w:rPr>
                <w:rFonts w:ascii="Arial" w:hAnsi="Arial" w:cs="Arial"/>
                <w:b/>
                <w:color w:val="111111"/>
                <w:sz w:val="18"/>
                <w:szCs w:val="20"/>
              </w:rPr>
              <w:t xml:space="preserve">. </w:t>
            </w:r>
            <w:r>
              <w:rPr>
                <w:rFonts w:ascii="Arial" w:hAnsi="Arial" w:cs="Arial"/>
                <w:color w:val="111111"/>
                <w:sz w:val="18"/>
                <w:szCs w:val="20"/>
                <w:lang w:val="mn-MN"/>
              </w:rPr>
              <w:t xml:space="preserve">Засгийн газраас 2013 оны 8 дугаар сараас цахилгаан дулаан, эрчим хүч, усны хураамжийг нэмэгдүүлсэн. Эрчим хүч болон усны төлбөр нь Монгол улсад “суурь үнэ” гэж нэрлэгдэх бөгөөд Засгийн газрууд эдгээр үнүүдийн үнийг нэмэх дургүй байдаг учир нь цахилгаан, усны үнүүд нэмэгдснээр бусад </w:t>
            </w:r>
            <w:r>
              <w:rPr>
                <w:rFonts w:ascii="Arial" w:hAnsi="Arial" w:cs="Arial"/>
                <w:color w:val="111111"/>
                <w:sz w:val="18"/>
                <w:szCs w:val="20"/>
                <w:lang w:val="mn-MN"/>
              </w:rPr>
              <w:lastRenderedPageBreak/>
              <w:t>барааны үнүүд нэмэгдэнэ гэсэн асуудал гардаг. Саяхны энэ шийдвэрээс өмнө Засгийн газар 2010 оноос хойш 2-хон удаа өсгөсөн</w:t>
            </w:r>
            <w:r w:rsidR="00D714FC">
              <w:rPr>
                <w:rFonts w:ascii="Arial" w:hAnsi="Arial" w:cs="Arial"/>
                <w:color w:val="111111"/>
                <w:sz w:val="18"/>
                <w:szCs w:val="20"/>
              </w:rPr>
              <w:t xml:space="preserve">; </w:t>
            </w:r>
            <w:r w:rsidR="006C0AC3" w:rsidRPr="00D714FC">
              <w:rPr>
                <w:rFonts w:ascii="Arial" w:hAnsi="Arial" w:cs="Arial"/>
                <w:color w:val="111111"/>
                <w:sz w:val="18"/>
                <w:szCs w:val="20"/>
              </w:rPr>
              <w:t xml:space="preserve">2010 </w:t>
            </w:r>
            <w:r>
              <w:rPr>
                <w:rFonts w:ascii="Arial" w:hAnsi="Arial" w:cs="Arial"/>
                <w:color w:val="111111"/>
                <w:sz w:val="18"/>
                <w:szCs w:val="20"/>
                <w:lang w:val="mn-MN"/>
              </w:rPr>
              <w:t xml:space="preserve">оын 6 дугаар сард </w:t>
            </w:r>
            <w:r w:rsidR="006C0AC3" w:rsidRPr="00D714FC">
              <w:rPr>
                <w:rFonts w:ascii="Arial" w:hAnsi="Arial" w:cs="Arial"/>
                <w:color w:val="111111"/>
                <w:sz w:val="18"/>
                <w:szCs w:val="20"/>
              </w:rPr>
              <w:t>16.6</w:t>
            </w:r>
            <w:r>
              <w:rPr>
                <w:rFonts w:ascii="Arial" w:hAnsi="Arial" w:cs="Arial"/>
                <w:color w:val="111111"/>
                <w:sz w:val="18"/>
                <w:szCs w:val="20"/>
                <w:lang w:val="mn-MN"/>
              </w:rPr>
              <w:t xml:space="preserve"> хувиар мөн</w:t>
            </w:r>
            <w:r w:rsidR="00083CC5">
              <w:rPr>
                <w:rFonts w:ascii="Arial" w:hAnsi="Arial" w:cs="Arial"/>
                <w:color w:val="111111"/>
                <w:sz w:val="18"/>
                <w:szCs w:val="20"/>
              </w:rPr>
              <w:t xml:space="preserve"> </w:t>
            </w:r>
            <w:r w:rsidR="006C0AC3" w:rsidRPr="00D714FC">
              <w:rPr>
                <w:rFonts w:ascii="Arial" w:hAnsi="Arial" w:cs="Arial"/>
                <w:color w:val="111111"/>
                <w:sz w:val="18"/>
                <w:szCs w:val="20"/>
              </w:rPr>
              <w:t>2011</w:t>
            </w:r>
            <w:r>
              <w:rPr>
                <w:rFonts w:ascii="Arial" w:hAnsi="Arial" w:cs="Arial"/>
                <w:color w:val="111111"/>
                <w:sz w:val="18"/>
                <w:szCs w:val="20"/>
                <w:lang w:val="mn-MN"/>
              </w:rPr>
              <w:t xml:space="preserve"> оны 5 дугаар сард</w:t>
            </w:r>
            <w:r w:rsidR="006C0AC3" w:rsidRPr="00D714FC">
              <w:rPr>
                <w:rFonts w:ascii="Arial" w:hAnsi="Arial" w:cs="Arial"/>
                <w:color w:val="111111"/>
                <w:sz w:val="18"/>
                <w:szCs w:val="20"/>
              </w:rPr>
              <w:t xml:space="preserve"> 5.5 </w:t>
            </w:r>
            <w:r>
              <w:rPr>
                <w:rFonts w:ascii="Arial" w:hAnsi="Arial" w:cs="Arial"/>
                <w:color w:val="111111"/>
                <w:sz w:val="18"/>
                <w:szCs w:val="20"/>
                <w:lang w:val="mn-MN"/>
              </w:rPr>
              <w:t xml:space="preserve"> хувиар нэмэгдэж үйлдвэрлэлийн өртөгий</w:t>
            </w:r>
            <w:r w:rsidR="002E0F55">
              <w:rPr>
                <w:rFonts w:ascii="Arial" w:hAnsi="Arial" w:cs="Arial"/>
                <w:color w:val="111111"/>
                <w:sz w:val="18"/>
                <w:szCs w:val="20"/>
                <w:lang w:val="mn-MN"/>
              </w:rPr>
              <w:t>н</w:t>
            </w:r>
            <w:r>
              <w:rPr>
                <w:rFonts w:ascii="Arial" w:hAnsi="Arial" w:cs="Arial"/>
                <w:color w:val="111111"/>
                <w:sz w:val="18"/>
                <w:szCs w:val="20"/>
                <w:lang w:val="mn-MN"/>
              </w:rPr>
              <w:t xml:space="preserve"> өс</w:t>
            </w:r>
            <w:r w:rsidR="002E0F55">
              <w:rPr>
                <w:rFonts w:ascii="Arial" w:hAnsi="Arial" w:cs="Arial"/>
                <w:color w:val="111111"/>
                <w:sz w:val="18"/>
                <w:szCs w:val="20"/>
                <w:lang w:val="mn-MN"/>
              </w:rPr>
              <w:t>өлтийг ш</w:t>
            </w:r>
            <w:r>
              <w:rPr>
                <w:rFonts w:ascii="Arial" w:hAnsi="Arial" w:cs="Arial"/>
                <w:color w:val="111111"/>
                <w:sz w:val="18"/>
                <w:szCs w:val="20"/>
                <w:lang w:val="mn-MN"/>
              </w:rPr>
              <w:t>ингээсэн. Эдгээр суурь үнүүд өссөн нөлөө нь бусад бараа бүтээгдэхүүний үйлдвэрлэлийн өртөгийг нэмэгдүүлж</w:t>
            </w:r>
            <w:r w:rsidR="00083CC5">
              <w:rPr>
                <w:rFonts w:ascii="Arial" w:hAnsi="Arial" w:cs="Arial"/>
                <w:color w:val="111111"/>
                <w:sz w:val="18"/>
                <w:szCs w:val="20"/>
              </w:rPr>
              <w:t xml:space="preserve"> (</w:t>
            </w:r>
            <w:r>
              <w:rPr>
                <w:rFonts w:ascii="Arial" w:hAnsi="Arial" w:cs="Arial"/>
                <w:color w:val="111111"/>
                <w:sz w:val="18"/>
                <w:szCs w:val="20"/>
                <w:lang w:val="mn-MN"/>
              </w:rPr>
              <w:t>аж үйлдвэрлэлийн болон хөдөө аж ахуйн</w:t>
            </w:r>
            <w:r w:rsidR="00083CC5">
              <w:rPr>
                <w:rFonts w:ascii="Arial" w:hAnsi="Arial" w:cs="Arial"/>
                <w:color w:val="111111"/>
                <w:sz w:val="18"/>
                <w:szCs w:val="20"/>
              </w:rPr>
              <w:t>),</w:t>
            </w:r>
            <w:r>
              <w:rPr>
                <w:rFonts w:ascii="Arial" w:hAnsi="Arial" w:cs="Arial"/>
                <w:color w:val="111111"/>
                <w:sz w:val="18"/>
                <w:szCs w:val="20"/>
                <w:lang w:val="mn-MN"/>
              </w:rPr>
              <w:t xml:space="preserve"> ирэх саруудад бусад хэрэглээний үнүүдийг өсгөх талтай. </w:t>
            </w:r>
          </w:p>
          <w:p w14:paraId="49D315CE" w14:textId="77777777" w:rsidR="008413F6" w:rsidRDefault="008413F6" w:rsidP="007B63CE">
            <w:pPr>
              <w:jc w:val="both"/>
              <w:rPr>
                <w:rFonts w:ascii="Arial" w:hAnsi="Arial" w:cs="Arial"/>
                <w:color w:val="111111"/>
                <w:sz w:val="16"/>
                <w:szCs w:val="20"/>
              </w:rPr>
            </w:pPr>
          </w:p>
          <w:p w14:paraId="67FBBF8A" w14:textId="635E08B5" w:rsidR="00D714FC" w:rsidRPr="00660167" w:rsidRDefault="00B60864" w:rsidP="00660167">
            <w:pPr>
              <w:jc w:val="both"/>
              <w:rPr>
                <w:rFonts w:ascii="Arial" w:hAnsi="Arial" w:cs="Arial"/>
                <w:lang w:val="mn-MN"/>
              </w:rPr>
            </w:pPr>
            <w:r>
              <w:rPr>
                <w:rFonts w:ascii="Arial" w:hAnsi="Arial" w:cs="Arial"/>
                <w:color w:val="111111"/>
                <w:sz w:val="16"/>
                <w:szCs w:val="20"/>
                <w:lang w:val="mn-MN"/>
              </w:rPr>
              <w:t>Эх үүсвэр</w:t>
            </w:r>
            <w:r w:rsidR="00D714FC" w:rsidRPr="00D714FC">
              <w:rPr>
                <w:rFonts w:ascii="Arial" w:hAnsi="Arial" w:cs="Arial"/>
                <w:color w:val="111111"/>
                <w:sz w:val="16"/>
                <w:szCs w:val="20"/>
              </w:rPr>
              <w:t xml:space="preserve">: </w:t>
            </w:r>
            <w:r>
              <w:rPr>
                <w:rFonts w:ascii="Arial" w:hAnsi="Arial" w:cs="Arial"/>
                <w:color w:val="111111"/>
                <w:sz w:val="16"/>
                <w:szCs w:val="20"/>
                <w:lang w:val="mn-MN"/>
              </w:rPr>
              <w:t>ДБ мэргэжилтнүүд</w:t>
            </w:r>
          </w:p>
        </w:tc>
      </w:tr>
    </w:tbl>
    <w:p w14:paraId="1B4AB580" w14:textId="739E543A" w:rsidR="00053F7B" w:rsidRPr="00EA6573" w:rsidRDefault="00053F7B" w:rsidP="00EB209C">
      <w:pPr>
        <w:jc w:val="both"/>
        <w:rPr>
          <w:sz w:val="2"/>
        </w:rPr>
      </w:pPr>
    </w:p>
    <w:p w14:paraId="7FBBD4E4" w14:textId="2980FB98" w:rsidR="00EB209C" w:rsidRPr="00660167" w:rsidRDefault="002D0DFF" w:rsidP="00EB209C">
      <w:pPr>
        <w:pStyle w:val="Heading2"/>
        <w:pBdr>
          <w:bottom w:val="single" w:sz="4" w:space="1" w:color="auto"/>
        </w:pBdr>
        <w:rPr>
          <w:rFonts w:asciiTheme="minorHAnsi" w:hAnsiTheme="minorHAnsi" w:cstheme="minorHAnsi"/>
          <w:color w:val="002060"/>
          <w:sz w:val="28"/>
          <w:lang w:eastAsia="ko-KR"/>
        </w:rPr>
      </w:pPr>
      <w:bookmarkStart w:id="37" w:name="_Toc371338278"/>
      <w:r>
        <w:rPr>
          <w:rFonts w:asciiTheme="minorHAnsi" w:hAnsiTheme="minorHAnsi" w:cstheme="minorHAnsi"/>
          <w:color w:val="002060"/>
          <w:sz w:val="28"/>
          <w:lang w:val="mn-MN" w:eastAsia="ko-KR"/>
        </w:rPr>
        <w:t>Ажил эрхлэлт</w:t>
      </w:r>
      <w:bookmarkEnd w:id="37"/>
      <w:r w:rsidRPr="00660167">
        <w:rPr>
          <w:rFonts w:asciiTheme="minorHAnsi" w:hAnsiTheme="minorHAnsi" w:cstheme="minorHAnsi"/>
          <w:color w:val="002060"/>
          <w:sz w:val="28"/>
          <w:lang w:eastAsia="ko-KR"/>
        </w:rPr>
        <w:t xml:space="preserve"> </w:t>
      </w:r>
    </w:p>
    <w:p w14:paraId="201B5D25" w14:textId="77777777" w:rsidR="00A46E42" w:rsidRDefault="00A46E42" w:rsidP="00A0532B">
      <w:pPr>
        <w:jc w:val="both"/>
        <w:rPr>
          <w:rFonts w:ascii="Arial" w:hAnsi="Arial" w:cs="Arial"/>
          <w:b/>
          <w:sz w:val="20"/>
        </w:rPr>
      </w:pPr>
    </w:p>
    <w:p w14:paraId="62D3EE89" w14:textId="15534025" w:rsidR="005710AD" w:rsidRDefault="008867B3" w:rsidP="00A0532B">
      <w:pPr>
        <w:jc w:val="both"/>
        <w:rPr>
          <w:rFonts w:ascii="Arial" w:eastAsia="Calibri" w:hAnsi="Arial" w:cs="Arial"/>
          <w:sz w:val="20"/>
        </w:rPr>
      </w:pPr>
      <w:r>
        <w:rPr>
          <w:rFonts w:ascii="Arial" w:hAnsi="Arial" w:cs="Arial"/>
          <w:b/>
          <w:sz w:val="20"/>
          <w:lang w:val="mn-MN"/>
        </w:rPr>
        <w:t xml:space="preserve">Ажиллах хүчний судалгааны тоо мэдээллээс харахад, хоёрдугаар улиралд ажилгүйдэл буурсан байна. </w:t>
      </w:r>
      <w:r>
        <w:rPr>
          <w:rFonts w:ascii="Arial" w:hAnsi="Arial" w:cs="Arial"/>
          <w:sz w:val="20"/>
          <w:lang w:val="mn-MN"/>
        </w:rPr>
        <w:t>Албан ёсны ажилгүйдлийн тоо нь</w:t>
      </w:r>
      <w:r w:rsidR="00EB209C" w:rsidRPr="00EB209C">
        <w:rPr>
          <w:rFonts w:ascii="Arial" w:hAnsi="Arial" w:cs="Arial"/>
          <w:sz w:val="20"/>
        </w:rPr>
        <w:t xml:space="preserve"> </w:t>
      </w:r>
      <w:r w:rsidR="00EB209C">
        <w:rPr>
          <w:rFonts w:ascii="Arial" w:hAnsi="Arial" w:cs="Arial"/>
          <w:sz w:val="20"/>
        </w:rPr>
        <w:t xml:space="preserve">– </w:t>
      </w:r>
      <w:r>
        <w:rPr>
          <w:rFonts w:ascii="Arial" w:hAnsi="Arial" w:cs="Arial"/>
          <w:sz w:val="20"/>
          <w:lang w:val="mn-MN"/>
        </w:rPr>
        <w:t xml:space="preserve">Хөдөлмөр, нийгмийн халамжийн үйлчилгээний төвд бүртгэгдсэн </w:t>
      </w:r>
      <w:r w:rsidR="002E0F55">
        <w:rPr>
          <w:rFonts w:ascii="Arial" w:hAnsi="Arial" w:cs="Arial"/>
          <w:sz w:val="20"/>
          <w:lang w:val="mn-MN"/>
        </w:rPr>
        <w:t xml:space="preserve">ажилгүйчүүдийн </w:t>
      </w:r>
      <w:r>
        <w:rPr>
          <w:rFonts w:ascii="Arial" w:hAnsi="Arial" w:cs="Arial"/>
          <w:sz w:val="20"/>
          <w:lang w:val="mn-MN"/>
        </w:rPr>
        <w:t>хоёр хувийг багтаадаг бөгөөд</w:t>
      </w:r>
      <w:r w:rsidR="00EB209C">
        <w:rPr>
          <w:rFonts w:ascii="Arial" w:hAnsi="Arial" w:cs="Arial"/>
          <w:sz w:val="20"/>
        </w:rPr>
        <w:t xml:space="preserve"> – </w:t>
      </w:r>
      <w:r>
        <w:rPr>
          <w:rFonts w:ascii="Arial" w:hAnsi="Arial" w:cs="Arial"/>
          <w:sz w:val="20"/>
          <w:lang w:val="mn-MN"/>
        </w:rPr>
        <w:t>уг тоогоор ажилгүйдлийн түвшин нь 2013 оны 1 дүгээр сард 3.4 хувь байснаа 8 дугаар сард 3.0 хувь болсон байна. Гэвч энэ тоо нь ажилгүйдлийн жинхэнэ түвшин</w:t>
      </w:r>
      <w:r w:rsidR="002E0F55">
        <w:rPr>
          <w:rFonts w:ascii="Arial" w:hAnsi="Arial" w:cs="Arial"/>
          <w:sz w:val="20"/>
          <w:lang w:val="mn-MN"/>
        </w:rPr>
        <w:t>г</w:t>
      </w:r>
      <w:r>
        <w:rPr>
          <w:rFonts w:ascii="Arial" w:hAnsi="Arial" w:cs="Arial"/>
          <w:sz w:val="20"/>
          <w:lang w:val="mn-MN"/>
        </w:rPr>
        <w:t xml:space="preserve"> дутуу харуулах хандлагатай бөгөөд зарим хүмүүс удирдлагуудад ажилгүй гэдгээ бүртгүүлдэггүй байх талтай. </w:t>
      </w:r>
      <w:r>
        <w:rPr>
          <w:rFonts w:ascii="Arial" w:eastAsia="Calibri" w:hAnsi="Arial" w:cs="Arial"/>
          <w:sz w:val="20"/>
          <w:lang w:val="mn-MN"/>
        </w:rPr>
        <w:t xml:space="preserve">Энэ ч утгаар, Ажиллах Хүчний Судалгаа </w:t>
      </w:r>
      <w:r>
        <w:rPr>
          <w:rFonts w:ascii="Arial" w:eastAsia="Calibri" w:hAnsi="Arial" w:cs="Arial"/>
          <w:sz w:val="20"/>
        </w:rPr>
        <w:t>(</w:t>
      </w:r>
      <w:r>
        <w:rPr>
          <w:rFonts w:ascii="Arial" w:eastAsia="Calibri" w:hAnsi="Arial" w:cs="Arial"/>
          <w:sz w:val="20"/>
          <w:lang w:val="mn-MN"/>
        </w:rPr>
        <w:t>АХС</w:t>
      </w:r>
      <w:r>
        <w:rPr>
          <w:rFonts w:ascii="Arial" w:eastAsia="Calibri" w:hAnsi="Arial" w:cs="Arial"/>
          <w:sz w:val="20"/>
        </w:rPr>
        <w:t>)</w:t>
      </w:r>
      <w:r w:rsidR="00EB209C" w:rsidRPr="00EB209C">
        <w:rPr>
          <w:rStyle w:val="FootnoteReference"/>
          <w:rFonts w:ascii="Arial" w:eastAsia="Calibri" w:hAnsi="Arial" w:cs="Arial"/>
          <w:sz w:val="20"/>
        </w:rPr>
        <w:footnoteReference w:id="7"/>
      </w:r>
      <w:r>
        <w:rPr>
          <w:rFonts w:ascii="Arial" w:eastAsia="Calibri" w:hAnsi="Arial" w:cs="Arial"/>
          <w:sz w:val="20"/>
          <w:lang w:val="mn-MN"/>
        </w:rPr>
        <w:t xml:space="preserve">нь ажилгүйдлийн түвшингийн талаар илүү тод харуулдаг. </w:t>
      </w:r>
    </w:p>
    <w:p w14:paraId="25E7B46D" w14:textId="5AACDCC7" w:rsidR="005710AD" w:rsidRDefault="008867B3" w:rsidP="00A0532B">
      <w:pPr>
        <w:jc w:val="both"/>
        <w:rPr>
          <w:rFonts w:ascii="Arial" w:eastAsia="Calibri" w:hAnsi="Arial" w:cs="Arial"/>
          <w:sz w:val="20"/>
        </w:rPr>
      </w:pPr>
      <w:r>
        <w:rPr>
          <w:rFonts w:ascii="Arial" w:eastAsia="Calibri" w:hAnsi="Arial" w:cs="Arial"/>
          <w:b/>
          <w:sz w:val="20"/>
          <w:lang w:val="mn-MN"/>
        </w:rPr>
        <w:t xml:space="preserve">ҮСХ-оос гаргасан сүүлийн АХС-ны тоогоор ажилгүйдлийн түвшин эхний улиралд 9.3 хувь байснаа хоёрдугаар улиралд 7.3 хувь болсон байна. </w:t>
      </w:r>
      <w:r w:rsidR="005710AD">
        <w:rPr>
          <w:rFonts w:ascii="Arial" w:eastAsia="Calibri" w:hAnsi="Arial" w:cs="Arial"/>
          <w:sz w:val="20"/>
        </w:rPr>
        <w:t>(</w:t>
      </w:r>
      <w:r>
        <w:rPr>
          <w:rFonts w:ascii="Arial" w:eastAsia="Calibri" w:hAnsi="Arial" w:cs="Arial"/>
          <w:sz w:val="20"/>
          <w:lang w:val="mn-MN"/>
        </w:rPr>
        <w:t>Зураг</w:t>
      </w:r>
      <w:r>
        <w:rPr>
          <w:rFonts w:ascii="Arial" w:eastAsia="Calibri" w:hAnsi="Arial" w:cs="Arial"/>
          <w:sz w:val="20"/>
        </w:rPr>
        <w:t xml:space="preserve"> </w:t>
      </w:r>
      <w:r w:rsidR="005710AD">
        <w:rPr>
          <w:rFonts w:ascii="Arial" w:eastAsia="Calibri" w:hAnsi="Arial" w:cs="Arial"/>
          <w:sz w:val="20"/>
        </w:rPr>
        <w:t xml:space="preserve">19) </w:t>
      </w:r>
      <w:r w:rsidR="0049063D">
        <w:rPr>
          <w:rFonts w:ascii="Arial" w:eastAsia="Calibri" w:hAnsi="Arial" w:cs="Arial"/>
          <w:sz w:val="20"/>
          <w:lang w:val="mn-MN"/>
        </w:rPr>
        <w:t xml:space="preserve">Нийт ажиллах хүч нь 1.2 сая хүн байдаг бөгөөд эмэгтэйчүүд нь 602 мянга буюу нийт ажиллах хүчний бараг тал хувь нь байдаг. Эмэгтэй ажиллах хүчний ажилгүйдлийн түвшин нь 9.7 хувиас 7.6 хувь болж буурсан бол эрэгтэйчүүдийнх 6.9 хувь байсан. </w:t>
      </w:r>
    </w:p>
    <w:tbl>
      <w:tblPr>
        <w:tblW w:w="0" w:type="auto"/>
        <w:tblInd w:w="108" w:type="dxa"/>
        <w:tblLook w:val="04A0" w:firstRow="1" w:lastRow="0" w:firstColumn="1" w:lastColumn="0" w:noHBand="0" w:noVBand="1"/>
      </w:tblPr>
      <w:tblGrid>
        <w:gridCol w:w="3889"/>
        <w:gridCol w:w="711"/>
        <w:gridCol w:w="222"/>
        <w:gridCol w:w="4646"/>
      </w:tblGrid>
      <w:tr w:rsidR="009E3812" w:rsidRPr="000A2BAB" w14:paraId="53C27357" w14:textId="77777777" w:rsidTr="00BB5767">
        <w:tc>
          <w:tcPr>
            <w:tcW w:w="4757" w:type="dxa"/>
            <w:gridSpan w:val="2"/>
            <w:tcBorders>
              <w:bottom w:val="single" w:sz="4" w:space="0" w:color="984806" w:themeColor="accent6" w:themeShade="80"/>
            </w:tcBorders>
          </w:tcPr>
          <w:p w14:paraId="1993BEFC" w14:textId="5C0C7A3B" w:rsidR="009E3812" w:rsidRPr="00660167" w:rsidRDefault="009E3812" w:rsidP="00660167">
            <w:pPr>
              <w:pStyle w:val="Caption"/>
              <w:rPr>
                <w:color w:val="auto"/>
                <w:sz w:val="16"/>
                <w:szCs w:val="16"/>
              </w:rPr>
            </w:pPr>
            <w:r w:rsidRPr="00B6378E">
              <w:rPr>
                <w:color w:val="auto"/>
              </w:rPr>
              <w:t xml:space="preserve"> </w:t>
            </w:r>
            <w:bookmarkStart w:id="38" w:name="_Toc371338627"/>
            <w:r w:rsidR="0049063D">
              <w:rPr>
                <w:sz w:val="16"/>
                <w:szCs w:val="16"/>
                <w:lang w:val="mn-MN"/>
              </w:rPr>
              <w:t>Зураг</w:t>
            </w:r>
            <w:r w:rsidR="004B523E" w:rsidRPr="00660167">
              <w:rPr>
                <w:sz w:val="16"/>
                <w:szCs w:val="16"/>
              </w:rPr>
              <w:t xml:space="preserve"> </w:t>
            </w:r>
            <w:r w:rsidR="002E38E0">
              <w:rPr>
                <w:sz w:val="16"/>
                <w:szCs w:val="16"/>
              </w:rPr>
              <w:fldChar w:fldCharType="begin"/>
            </w:r>
            <w:r w:rsidR="002E38E0">
              <w:rPr>
                <w:sz w:val="16"/>
                <w:szCs w:val="16"/>
              </w:rPr>
              <w:instrText xml:space="preserve"> SEQ Figure \* ARABIC </w:instrText>
            </w:r>
            <w:r w:rsidR="002E38E0">
              <w:rPr>
                <w:sz w:val="16"/>
                <w:szCs w:val="16"/>
              </w:rPr>
              <w:fldChar w:fldCharType="separate"/>
            </w:r>
            <w:r w:rsidR="002E38E0">
              <w:rPr>
                <w:noProof/>
                <w:sz w:val="16"/>
                <w:szCs w:val="16"/>
              </w:rPr>
              <w:t>19</w:t>
            </w:r>
            <w:r w:rsidR="002E38E0">
              <w:rPr>
                <w:sz w:val="16"/>
                <w:szCs w:val="16"/>
              </w:rPr>
              <w:fldChar w:fldCharType="end"/>
            </w:r>
            <w:r w:rsidR="004B523E" w:rsidRPr="00660167">
              <w:rPr>
                <w:sz w:val="16"/>
                <w:szCs w:val="16"/>
              </w:rPr>
              <w:t xml:space="preserve">. </w:t>
            </w:r>
            <w:r w:rsidR="0049063D">
              <w:rPr>
                <w:sz w:val="16"/>
                <w:szCs w:val="16"/>
                <w:lang w:val="mn-MN"/>
              </w:rPr>
              <w:t>Хөдөлмөрийн зах зээлийн гол үзүүлэлтүүд</w:t>
            </w:r>
            <w:bookmarkEnd w:id="38"/>
            <w:r w:rsidR="004B523E" w:rsidRPr="00660167" w:rsidDel="004B523E">
              <w:rPr>
                <w:color w:val="auto"/>
                <w:sz w:val="16"/>
                <w:szCs w:val="16"/>
              </w:rPr>
              <w:t xml:space="preserve"> </w:t>
            </w:r>
          </w:p>
        </w:tc>
        <w:tc>
          <w:tcPr>
            <w:tcW w:w="235" w:type="dxa"/>
          </w:tcPr>
          <w:p w14:paraId="54128BB5" w14:textId="77777777" w:rsidR="009E3812" w:rsidRPr="00266CCE" w:rsidRDefault="009E3812" w:rsidP="00245E0F">
            <w:pPr>
              <w:pStyle w:val="Caption"/>
              <w:jc w:val="center"/>
              <w:rPr>
                <w:color w:val="auto"/>
                <w:sz w:val="2"/>
              </w:rPr>
            </w:pPr>
          </w:p>
        </w:tc>
        <w:tc>
          <w:tcPr>
            <w:tcW w:w="4476" w:type="dxa"/>
            <w:tcBorders>
              <w:bottom w:val="single" w:sz="4" w:space="0" w:color="984806" w:themeColor="accent6" w:themeShade="80"/>
            </w:tcBorders>
          </w:tcPr>
          <w:p w14:paraId="66869301" w14:textId="42C08D0E" w:rsidR="009E3812" w:rsidRPr="00660167" w:rsidRDefault="00C577FC" w:rsidP="00660167">
            <w:pPr>
              <w:pStyle w:val="Caption"/>
              <w:keepNext/>
              <w:jc w:val="both"/>
              <w:rPr>
                <w:sz w:val="16"/>
                <w:szCs w:val="16"/>
              </w:rPr>
            </w:pPr>
            <w:r w:rsidRPr="00660167">
              <w:rPr>
                <w:color w:val="auto"/>
                <w:sz w:val="16"/>
                <w:szCs w:val="16"/>
              </w:rPr>
              <w:t xml:space="preserve"> </w:t>
            </w:r>
            <w:bookmarkStart w:id="39" w:name="_Toc371338628"/>
            <w:r w:rsidR="00E20E8F">
              <w:rPr>
                <w:sz w:val="16"/>
                <w:szCs w:val="16"/>
                <w:lang w:val="mn-MN"/>
              </w:rPr>
              <w:t>Зураг</w:t>
            </w:r>
            <w:r w:rsidR="004B523E" w:rsidRPr="00660167">
              <w:rPr>
                <w:sz w:val="16"/>
                <w:szCs w:val="16"/>
              </w:rPr>
              <w:t xml:space="preserve"> </w:t>
            </w:r>
            <w:r w:rsidR="002E38E0">
              <w:rPr>
                <w:sz w:val="16"/>
                <w:szCs w:val="16"/>
              </w:rPr>
              <w:fldChar w:fldCharType="begin"/>
            </w:r>
            <w:r w:rsidR="002E38E0">
              <w:rPr>
                <w:sz w:val="16"/>
                <w:szCs w:val="16"/>
              </w:rPr>
              <w:instrText xml:space="preserve"> SEQ Figure \* ARABIC </w:instrText>
            </w:r>
            <w:r w:rsidR="002E38E0">
              <w:rPr>
                <w:sz w:val="16"/>
                <w:szCs w:val="16"/>
              </w:rPr>
              <w:fldChar w:fldCharType="separate"/>
            </w:r>
            <w:r w:rsidR="002E38E0">
              <w:rPr>
                <w:noProof/>
                <w:sz w:val="16"/>
                <w:szCs w:val="16"/>
              </w:rPr>
              <w:t>20</w:t>
            </w:r>
            <w:r w:rsidR="002E38E0">
              <w:rPr>
                <w:sz w:val="16"/>
                <w:szCs w:val="16"/>
              </w:rPr>
              <w:fldChar w:fldCharType="end"/>
            </w:r>
            <w:r w:rsidR="004B523E" w:rsidRPr="00660167">
              <w:rPr>
                <w:sz w:val="16"/>
                <w:szCs w:val="16"/>
              </w:rPr>
              <w:t xml:space="preserve">. </w:t>
            </w:r>
            <w:r w:rsidR="00E20E8F">
              <w:rPr>
                <w:sz w:val="16"/>
                <w:szCs w:val="16"/>
                <w:lang w:val="mn-MN"/>
              </w:rPr>
              <w:t>Ажилгүйдэл, хүйсээр</w:t>
            </w:r>
            <w:bookmarkEnd w:id="39"/>
          </w:p>
        </w:tc>
      </w:tr>
      <w:tr w:rsidR="009E3812" w:rsidRPr="000A2BAB" w14:paraId="562E0710" w14:textId="77777777" w:rsidTr="00BB5767">
        <w:trPr>
          <w:trHeight w:val="3005"/>
        </w:trPr>
        <w:tc>
          <w:tcPr>
            <w:tcW w:w="4757" w:type="dxa"/>
            <w:gridSpan w:val="2"/>
            <w:tcBorders>
              <w:top w:val="single" w:sz="4" w:space="0" w:color="984806" w:themeColor="accent6" w:themeShade="80"/>
            </w:tcBorders>
          </w:tcPr>
          <w:p w14:paraId="4C9BC0FF" w14:textId="6FF0324B" w:rsidR="009E3812" w:rsidRDefault="00C06F86" w:rsidP="009E3812">
            <w:pPr>
              <w:pStyle w:val="NoSpacing"/>
              <w:jc w:val="both"/>
              <w:rPr>
                <w:sz w:val="16"/>
              </w:rPr>
            </w:pPr>
            <w:r>
              <w:rPr>
                <w:sz w:val="16"/>
                <w:lang w:val="mn-MN"/>
              </w:rPr>
              <w:t>Ажиллах хүчний судалгаа, ажилгүйдлийн түвшин</w:t>
            </w:r>
            <w:r w:rsidR="009E3812">
              <w:rPr>
                <w:sz w:val="16"/>
              </w:rPr>
              <w:t xml:space="preserve"> (%)</w:t>
            </w:r>
          </w:p>
          <w:p w14:paraId="747FA23B" w14:textId="7F91CD86" w:rsidR="004B523E" w:rsidRDefault="004B523E" w:rsidP="00660167">
            <w:pPr>
              <w:pStyle w:val="Caption"/>
              <w:keepNext/>
              <w:jc w:val="both"/>
            </w:pPr>
          </w:p>
          <w:p w14:paraId="65CFB29C" w14:textId="5F13BBF4" w:rsidR="009E3812" w:rsidRPr="000A2BAB" w:rsidRDefault="00890751" w:rsidP="00890751">
            <w:pPr>
              <w:pStyle w:val="NoSpacing"/>
              <w:jc w:val="both"/>
            </w:pPr>
            <w:r>
              <w:rPr>
                <w:noProof/>
              </w:rPr>
              <w:drawing>
                <wp:inline distT="0" distB="0" distL="0" distR="0" wp14:anchorId="131E73EF" wp14:editId="4FB5A00E">
                  <wp:extent cx="2883877" cy="1732084"/>
                  <wp:effectExtent l="0" t="0" r="0" b="1905"/>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tc>
        <w:tc>
          <w:tcPr>
            <w:tcW w:w="235" w:type="dxa"/>
          </w:tcPr>
          <w:p w14:paraId="6C03FAFD" w14:textId="77777777" w:rsidR="009E3812" w:rsidRDefault="009E3812" w:rsidP="00245E0F">
            <w:pPr>
              <w:pStyle w:val="NoSpacing"/>
              <w:jc w:val="both"/>
              <w:rPr>
                <w:noProof/>
                <w:sz w:val="2"/>
                <w:lang w:eastAsia="ko-KR"/>
              </w:rPr>
            </w:pPr>
          </w:p>
          <w:p w14:paraId="6FC0A076" w14:textId="77777777" w:rsidR="009E3812" w:rsidRPr="00266CCE" w:rsidRDefault="009E3812" w:rsidP="00245E0F">
            <w:pPr>
              <w:pStyle w:val="NoSpacing"/>
              <w:jc w:val="both"/>
              <w:rPr>
                <w:noProof/>
                <w:sz w:val="2"/>
                <w:lang w:eastAsia="ko-KR"/>
              </w:rPr>
            </w:pPr>
          </w:p>
        </w:tc>
        <w:tc>
          <w:tcPr>
            <w:tcW w:w="4476" w:type="dxa"/>
            <w:tcBorders>
              <w:top w:val="single" w:sz="4" w:space="0" w:color="984806" w:themeColor="accent6" w:themeShade="80"/>
            </w:tcBorders>
          </w:tcPr>
          <w:p w14:paraId="34B50DBF" w14:textId="6CC649C6" w:rsidR="009E3812" w:rsidRDefault="00C06F86" w:rsidP="00C577FC">
            <w:pPr>
              <w:pStyle w:val="NoSpacing"/>
              <w:jc w:val="both"/>
              <w:rPr>
                <w:sz w:val="16"/>
                <w:szCs w:val="18"/>
              </w:rPr>
            </w:pPr>
            <w:r>
              <w:rPr>
                <w:sz w:val="16"/>
                <w:szCs w:val="18"/>
                <w:lang w:val="mn-MN"/>
              </w:rPr>
              <w:t>Эрэгтэй болон эмэгтэй ажилгүйдлийн түвшин</w:t>
            </w:r>
            <w:r w:rsidR="00C577FC">
              <w:rPr>
                <w:sz w:val="16"/>
                <w:szCs w:val="18"/>
              </w:rPr>
              <w:t xml:space="preserve"> (%)</w:t>
            </w:r>
          </w:p>
          <w:p w14:paraId="4BD8C5EE" w14:textId="6EB10ED2" w:rsidR="00C577FC" w:rsidRPr="00EA6573" w:rsidRDefault="00BB5767" w:rsidP="00BB5767">
            <w:pPr>
              <w:pStyle w:val="NoSpacing"/>
              <w:jc w:val="both"/>
              <w:rPr>
                <w:sz w:val="16"/>
                <w:szCs w:val="18"/>
                <w:lang w:eastAsia="ko-KR"/>
              </w:rPr>
            </w:pPr>
            <w:r>
              <w:rPr>
                <w:noProof/>
              </w:rPr>
              <w:drawing>
                <wp:inline distT="0" distB="0" distL="0" distR="0" wp14:anchorId="19927F5C" wp14:editId="1B869B9C">
                  <wp:extent cx="2919046" cy="1820008"/>
                  <wp:effectExtent l="0" t="0" r="0" b="8890"/>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tc>
      </w:tr>
      <w:tr w:rsidR="009E3812" w:rsidRPr="000A2BAB" w14:paraId="2345D574" w14:textId="77777777" w:rsidTr="00BB5767">
        <w:trPr>
          <w:trHeight w:val="89"/>
        </w:trPr>
        <w:tc>
          <w:tcPr>
            <w:tcW w:w="4027" w:type="dxa"/>
          </w:tcPr>
          <w:p w14:paraId="5A037710" w14:textId="10DFC06A" w:rsidR="00C577FC" w:rsidRPr="00053F7B" w:rsidRDefault="00C06F86" w:rsidP="00C577FC">
            <w:pPr>
              <w:pStyle w:val="NoSpacing"/>
              <w:jc w:val="both"/>
              <w:rPr>
                <w:sz w:val="14"/>
                <w:szCs w:val="18"/>
              </w:rPr>
            </w:pPr>
            <w:r>
              <w:rPr>
                <w:sz w:val="14"/>
                <w:szCs w:val="18"/>
                <w:lang w:val="mn-MN"/>
              </w:rPr>
              <w:t>Эх үүсвэр</w:t>
            </w:r>
            <w:r w:rsidR="00C577FC" w:rsidRPr="00053F7B">
              <w:rPr>
                <w:sz w:val="14"/>
                <w:szCs w:val="18"/>
              </w:rPr>
              <w:t xml:space="preserve">: </w:t>
            </w:r>
            <w:r>
              <w:rPr>
                <w:sz w:val="14"/>
                <w:szCs w:val="18"/>
                <w:lang w:val="mn-MN"/>
              </w:rPr>
              <w:t>ҮСХ, Улирлын ажиллах хүчний судалгаа, ДБ-ны мэргэжилтнүүдийн тооцоо</w:t>
            </w:r>
          </w:p>
          <w:p w14:paraId="3ED1D538" w14:textId="15182300" w:rsidR="009E3812" w:rsidRPr="000A2BAB" w:rsidRDefault="009E3812" w:rsidP="00245E0F">
            <w:pPr>
              <w:pStyle w:val="NoSpacing"/>
              <w:jc w:val="both"/>
              <w:rPr>
                <w:sz w:val="14"/>
                <w:szCs w:val="18"/>
              </w:rPr>
            </w:pPr>
          </w:p>
        </w:tc>
        <w:tc>
          <w:tcPr>
            <w:tcW w:w="730" w:type="dxa"/>
          </w:tcPr>
          <w:p w14:paraId="12ED881C" w14:textId="77777777" w:rsidR="009E3812" w:rsidRPr="00266CCE" w:rsidRDefault="009E3812" w:rsidP="00245E0F">
            <w:pPr>
              <w:pStyle w:val="NoSpacing"/>
              <w:jc w:val="both"/>
              <w:rPr>
                <w:i/>
                <w:sz w:val="2"/>
                <w:szCs w:val="18"/>
              </w:rPr>
            </w:pPr>
          </w:p>
        </w:tc>
        <w:tc>
          <w:tcPr>
            <w:tcW w:w="4711" w:type="dxa"/>
            <w:gridSpan w:val="2"/>
          </w:tcPr>
          <w:p w14:paraId="3D8B4794" w14:textId="77777777" w:rsidR="009E3812" w:rsidRPr="000A2BAB" w:rsidRDefault="009E3812" w:rsidP="00245E0F">
            <w:pPr>
              <w:pStyle w:val="NoSpacing"/>
              <w:jc w:val="both"/>
              <w:rPr>
                <w:sz w:val="14"/>
              </w:rPr>
            </w:pPr>
          </w:p>
        </w:tc>
      </w:tr>
    </w:tbl>
    <w:p w14:paraId="54D11567" w14:textId="77777777" w:rsidR="00A46E42" w:rsidRPr="00A46E42" w:rsidRDefault="00A46E42" w:rsidP="00A0532B">
      <w:pPr>
        <w:jc w:val="both"/>
        <w:rPr>
          <w:rFonts w:ascii="Arial" w:eastAsia="Calibri" w:hAnsi="Arial" w:cs="Arial"/>
          <w:b/>
          <w:sz w:val="6"/>
        </w:rPr>
      </w:pPr>
    </w:p>
    <w:p w14:paraId="5CB2216B" w14:textId="1A964F90" w:rsidR="00C15F76" w:rsidRPr="00C15F76" w:rsidRDefault="00235AB0" w:rsidP="00A0532B">
      <w:pPr>
        <w:jc w:val="both"/>
        <w:rPr>
          <w:rFonts w:ascii="Arial" w:eastAsia="Calibri" w:hAnsi="Arial" w:cs="Arial"/>
          <w:sz w:val="20"/>
        </w:rPr>
      </w:pPr>
      <w:r>
        <w:rPr>
          <w:rFonts w:ascii="Arial" w:eastAsia="Calibri" w:hAnsi="Arial" w:cs="Arial"/>
          <w:b/>
          <w:sz w:val="20"/>
          <w:lang w:val="mn-MN"/>
        </w:rPr>
        <w:t>Ажил эрхлэлтийн төрлөөс харахад, хэдийгээр ажилгүйдлийн түвшин буурч байгаа ч ажлын чанарын асуудал муудаж байх талтай</w:t>
      </w:r>
      <w:r w:rsidR="00514032" w:rsidRPr="00514032">
        <w:rPr>
          <w:rFonts w:ascii="Arial" w:eastAsia="Calibri" w:hAnsi="Arial" w:cs="Arial"/>
          <w:b/>
          <w:sz w:val="20"/>
        </w:rPr>
        <w:t>.</w:t>
      </w:r>
      <w:r w:rsidR="00514032">
        <w:rPr>
          <w:rFonts w:ascii="Arial" w:eastAsia="Calibri" w:hAnsi="Arial" w:cs="Arial"/>
          <w:sz w:val="20"/>
        </w:rPr>
        <w:t xml:space="preserve"> </w:t>
      </w:r>
      <w:r>
        <w:rPr>
          <w:rFonts w:ascii="Arial" w:eastAsia="Calibri" w:hAnsi="Arial" w:cs="Arial"/>
          <w:sz w:val="20"/>
          <w:lang w:val="mn-MN"/>
        </w:rPr>
        <w:t xml:space="preserve">Хувиараа хөдөлмөр эрхлэгчдийн </w:t>
      </w:r>
      <w:r w:rsidR="00514032">
        <w:rPr>
          <w:rFonts w:ascii="Arial" w:eastAsia="Calibri" w:hAnsi="Arial" w:cs="Arial"/>
          <w:sz w:val="20"/>
        </w:rPr>
        <w:t xml:space="preserve">– </w:t>
      </w:r>
      <w:r>
        <w:rPr>
          <w:rFonts w:ascii="Arial" w:eastAsia="Calibri" w:hAnsi="Arial" w:cs="Arial"/>
          <w:sz w:val="20"/>
          <w:lang w:val="mn-MN"/>
        </w:rPr>
        <w:t>голдуу жижиг хэмжээтэй, гэртээ хийдэг бизнес буюу мухлаг, жижиг лангуу ажиллуулдаг</w:t>
      </w:r>
      <w:r w:rsidR="00514032">
        <w:rPr>
          <w:rFonts w:ascii="Arial" w:eastAsia="Calibri" w:hAnsi="Arial" w:cs="Arial"/>
          <w:sz w:val="20"/>
        </w:rPr>
        <w:t xml:space="preserve">– </w:t>
      </w:r>
      <w:r>
        <w:rPr>
          <w:rFonts w:ascii="Arial" w:eastAsia="Calibri" w:hAnsi="Arial" w:cs="Arial"/>
          <w:sz w:val="20"/>
          <w:lang w:val="mn-MN"/>
        </w:rPr>
        <w:t xml:space="preserve">нийт ажил эрхлэлтэд </w:t>
      </w:r>
      <w:r>
        <w:rPr>
          <w:rFonts w:ascii="Arial" w:eastAsia="Calibri" w:hAnsi="Arial" w:cs="Arial"/>
          <w:sz w:val="20"/>
          <w:lang w:val="mn-MN"/>
        </w:rPr>
        <w:lastRenderedPageBreak/>
        <w:t xml:space="preserve">эзлэх хувийн жин нь өмнөх улиралд 16.5 хувь байснаа хоёрдугаар улиралд </w:t>
      </w:r>
      <w:r w:rsidR="00514032">
        <w:rPr>
          <w:rFonts w:ascii="Arial" w:eastAsia="Calibri" w:hAnsi="Arial" w:cs="Arial"/>
          <w:sz w:val="20"/>
        </w:rPr>
        <w:t xml:space="preserve">22.2 </w:t>
      </w:r>
      <w:r>
        <w:rPr>
          <w:rFonts w:ascii="Arial" w:eastAsia="Calibri" w:hAnsi="Arial" w:cs="Arial"/>
          <w:sz w:val="20"/>
          <w:lang w:val="mn-MN"/>
        </w:rPr>
        <w:t xml:space="preserve">хувьд хүрсэн байна. Энэ хугацаанд мөн хөлс авдаггүй гэрийн ажиллагсадын эзлэх хувь 1.7 хувь байснаа 3.3 хувь болсон. Мөн цалинтай ажиллагсадын эзлэх хувь 51.6 хувиас 47.5 хувь болж бууран цалинтай ажиллагсадын хэмжээ нь ойролцоогоор гурван мянган хүнээр багасчээ. </w:t>
      </w:r>
      <w:r w:rsidR="002E0F55">
        <w:rPr>
          <w:rFonts w:ascii="Arial" w:eastAsia="Calibri" w:hAnsi="Arial" w:cs="Arial"/>
          <w:sz w:val="20"/>
          <w:lang w:val="mn-MN"/>
        </w:rPr>
        <w:t>Э</w:t>
      </w:r>
      <w:r>
        <w:rPr>
          <w:rFonts w:ascii="Arial" w:eastAsia="Calibri" w:hAnsi="Arial" w:cs="Arial"/>
          <w:sz w:val="20"/>
          <w:lang w:val="mn-MN"/>
        </w:rPr>
        <w:t xml:space="preserve">нэ нь </w:t>
      </w:r>
      <w:r w:rsidR="00F41723">
        <w:rPr>
          <w:rFonts w:ascii="Arial" w:eastAsia="Calibri" w:hAnsi="Arial" w:cs="Arial"/>
          <w:sz w:val="20"/>
          <w:lang w:val="mn-MN"/>
        </w:rPr>
        <w:t xml:space="preserve">бизнесийн төлөв байдал муудаж байгаагаас томоохон, илүү албан ёсны бизнесийн байгууллагууд хязгаарлагдмал болохын хирээр жижиг гэр бүлийн эсвэл хувиараа эзэмшдэг бизнесээр </w:t>
      </w:r>
      <w:r w:rsidR="00F41723">
        <w:rPr>
          <w:rFonts w:ascii="Arial" w:eastAsia="Calibri" w:hAnsi="Arial" w:cs="Arial"/>
          <w:sz w:val="20"/>
        </w:rPr>
        <w:t>(</w:t>
      </w:r>
      <w:r w:rsidR="00F41723">
        <w:rPr>
          <w:rFonts w:ascii="Arial" w:eastAsia="Calibri" w:hAnsi="Arial" w:cs="Arial"/>
          <w:sz w:val="20"/>
          <w:lang w:val="mn-MN"/>
        </w:rPr>
        <w:t>жишээ нь, мухлаг лангуу</w:t>
      </w:r>
      <w:r w:rsidR="00F41723">
        <w:rPr>
          <w:rFonts w:ascii="Arial" w:eastAsia="Calibri" w:hAnsi="Arial" w:cs="Arial"/>
          <w:sz w:val="20"/>
        </w:rPr>
        <w:t>)</w:t>
      </w:r>
      <w:r w:rsidR="002E0F55">
        <w:rPr>
          <w:rFonts w:ascii="Arial" w:eastAsia="Calibri" w:hAnsi="Arial" w:cs="Arial"/>
          <w:sz w:val="20"/>
          <w:lang w:val="mn-MN"/>
        </w:rPr>
        <w:t xml:space="preserve"> </w:t>
      </w:r>
      <w:r w:rsidR="00F41723">
        <w:rPr>
          <w:rFonts w:ascii="Arial" w:eastAsia="Calibri" w:hAnsi="Arial" w:cs="Arial"/>
          <w:sz w:val="20"/>
          <w:lang w:val="mn-MN"/>
        </w:rPr>
        <w:t xml:space="preserve">өсч буй ажиллах хүчин шингээгдэж байна. </w:t>
      </w:r>
      <w:r w:rsidR="000E5A02">
        <w:rPr>
          <w:rFonts w:ascii="Arial" w:eastAsia="Calibri" w:hAnsi="Arial" w:cs="Arial"/>
          <w:sz w:val="20"/>
        </w:rPr>
        <w:t xml:space="preserve"> </w:t>
      </w:r>
    </w:p>
    <w:p w14:paraId="1C1CB0AE" w14:textId="19B6FCF1" w:rsidR="00B71F14" w:rsidRDefault="00434FED" w:rsidP="00B71F14">
      <w:pPr>
        <w:snapToGrid w:val="0"/>
        <w:jc w:val="both"/>
        <w:rPr>
          <w:rFonts w:ascii="Arial" w:eastAsia="Calibri" w:hAnsi="Arial" w:cs="Arial"/>
          <w:sz w:val="20"/>
        </w:rPr>
      </w:pPr>
      <w:r>
        <w:rPr>
          <w:rFonts w:ascii="Arial" w:eastAsia="Calibri" w:hAnsi="Arial" w:cs="Arial"/>
          <w:b/>
          <w:sz w:val="20"/>
          <w:lang w:val="mn-MN"/>
        </w:rPr>
        <w:t>Ажил эрхлэлтийг салбараар нь үзвэл ажиллах хүчин хөдөө аж ахуйн бус салбарууд руу шилжиж байгаа бөгөөд уул уурхайн салбар хүндрэлтэй бай</w:t>
      </w:r>
      <w:r w:rsidR="002E0F55">
        <w:rPr>
          <w:rFonts w:ascii="Arial" w:eastAsia="Calibri" w:hAnsi="Arial" w:cs="Arial"/>
          <w:b/>
          <w:sz w:val="20"/>
          <w:lang w:val="mn-MN"/>
        </w:rPr>
        <w:t>гааг</w:t>
      </w:r>
      <w:r>
        <w:rPr>
          <w:rFonts w:ascii="Arial" w:eastAsia="Calibri" w:hAnsi="Arial" w:cs="Arial"/>
          <w:b/>
          <w:sz w:val="20"/>
          <w:lang w:val="mn-MN"/>
        </w:rPr>
        <w:t xml:space="preserve"> үзүүлж байна. </w:t>
      </w:r>
      <w:r>
        <w:rPr>
          <w:rFonts w:ascii="Arial" w:eastAsia="Calibri" w:hAnsi="Arial" w:cs="Arial"/>
          <w:sz w:val="20"/>
          <w:lang w:val="mn-MN"/>
        </w:rPr>
        <w:t>Хоёрдугаар улиралд нийт ажил эрхлэлтийн 29 хувь нь хөдөө аж ахуйд ажиллаж байсан боловч нийт ажил эрхлэлтийн эзлэх хувийн жин нь 2007 онд 42 хувь байснаа буурах хандлагатай байна. Уул уурхайн салбарын эзлэх хувийн жин нь 2010 оноос нийт ажил эрхлэлтийн ойролцоогоор 4 хувь байсан боловч</w:t>
      </w:r>
      <w:r w:rsidR="002F1CB9">
        <w:rPr>
          <w:rFonts w:ascii="Arial" w:eastAsia="Calibri" w:hAnsi="Arial" w:cs="Arial"/>
          <w:sz w:val="20"/>
        </w:rPr>
        <w:t xml:space="preserve"> (</w:t>
      </w:r>
      <w:r w:rsidR="00F3764A">
        <w:rPr>
          <w:rFonts w:ascii="Arial" w:eastAsia="Calibri" w:hAnsi="Arial" w:cs="Arial"/>
          <w:sz w:val="20"/>
          <w:lang w:val="mn-MN"/>
        </w:rPr>
        <w:t>Зураг</w:t>
      </w:r>
      <w:r w:rsidR="00F3764A">
        <w:rPr>
          <w:rFonts w:ascii="Arial" w:eastAsia="Calibri" w:hAnsi="Arial" w:cs="Arial"/>
          <w:sz w:val="20"/>
        </w:rPr>
        <w:t xml:space="preserve"> </w:t>
      </w:r>
      <w:r w:rsidR="002F1CB9">
        <w:rPr>
          <w:rFonts w:ascii="Arial" w:eastAsia="Calibri" w:hAnsi="Arial" w:cs="Arial"/>
          <w:sz w:val="20"/>
        </w:rPr>
        <w:t>21)</w:t>
      </w:r>
      <w:r w:rsidR="00A47917">
        <w:rPr>
          <w:rFonts w:ascii="Arial" w:eastAsia="Calibri" w:hAnsi="Arial" w:cs="Arial"/>
          <w:sz w:val="20"/>
        </w:rPr>
        <w:t xml:space="preserve">, </w:t>
      </w:r>
      <w:r>
        <w:rPr>
          <w:rFonts w:ascii="Arial" w:eastAsia="Calibri" w:hAnsi="Arial" w:cs="Arial"/>
          <w:sz w:val="20"/>
          <w:lang w:val="mn-MN"/>
        </w:rPr>
        <w:t xml:space="preserve">уул уурхайн салбарын ажиллагсадын хэмжээ нь хоёрдугаар улиралд 11 хувиас </w:t>
      </w:r>
      <w:r>
        <w:rPr>
          <w:rFonts w:ascii="Arial" w:eastAsia="Calibri" w:hAnsi="Arial" w:cs="Arial"/>
          <w:sz w:val="20"/>
        </w:rPr>
        <w:t>(</w:t>
      </w:r>
      <w:r>
        <w:rPr>
          <w:rFonts w:ascii="Arial" w:eastAsia="Calibri" w:hAnsi="Arial" w:cs="Arial"/>
          <w:sz w:val="20"/>
          <w:lang w:val="mn-MN"/>
        </w:rPr>
        <w:t>өмнөх жилтэй харьцуулбал</w:t>
      </w:r>
      <w:r>
        <w:rPr>
          <w:rFonts w:ascii="Arial" w:eastAsia="Calibri" w:hAnsi="Arial" w:cs="Arial"/>
          <w:sz w:val="20"/>
        </w:rPr>
        <w:t>)</w:t>
      </w:r>
      <w:r>
        <w:rPr>
          <w:rFonts w:ascii="Arial" w:eastAsia="Calibri" w:hAnsi="Arial" w:cs="Arial"/>
          <w:sz w:val="20"/>
          <w:lang w:val="mn-MN"/>
        </w:rPr>
        <w:t xml:space="preserve"> 20.7 хувь болж </w:t>
      </w:r>
      <w:r>
        <w:rPr>
          <w:rFonts w:ascii="Arial" w:eastAsia="Calibri" w:hAnsi="Arial" w:cs="Arial"/>
          <w:sz w:val="20"/>
        </w:rPr>
        <w:t>(</w:t>
      </w:r>
      <w:r>
        <w:rPr>
          <w:rFonts w:ascii="Arial" w:eastAsia="Calibri" w:hAnsi="Arial" w:cs="Arial"/>
          <w:sz w:val="20"/>
          <w:lang w:val="mn-MN"/>
        </w:rPr>
        <w:t>өмнөх улиралтай харьцуулбал</w:t>
      </w:r>
      <w:r>
        <w:rPr>
          <w:rFonts w:ascii="Arial" w:eastAsia="Calibri" w:hAnsi="Arial" w:cs="Arial"/>
          <w:sz w:val="20"/>
        </w:rPr>
        <w:t>)</w:t>
      </w:r>
      <w:r>
        <w:rPr>
          <w:rFonts w:ascii="Arial" w:eastAsia="Calibri" w:hAnsi="Arial" w:cs="Arial"/>
          <w:sz w:val="20"/>
          <w:lang w:val="mn-MN"/>
        </w:rPr>
        <w:t xml:space="preserve"> буурсан нь бизнесийн сул төлөв байдлыг илэрхийлж байна. Нүүрсний салбарын ажиллах хүч нь 1 дүгээр сараас 9 дүгээр сарын хооронд 120 хүнээр багассан. </w:t>
      </w:r>
      <w:r>
        <w:rPr>
          <w:rFonts w:ascii="Arial" w:hAnsi="Arial" w:cs="Arial"/>
          <w:sz w:val="20"/>
          <w:lang w:val="mn-MN"/>
        </w:rPr>
        <w:t>Металын хүдрийн салбар буюу зэсийн үйлдвэрлэл мөн ордог салбарт ажиллагсадын өсөлт мөн удааширсан</w:t>
      </w:r>
      <w:r w:rsidR="002F1CB9">
        <w:rPr>
          <w:rFonts w:ascii="Arial" w:hAnsi="Arial" w:cs="Arial"/>
          <w:sz w:val="20"/>
        </w:rPr>
        <w:t xml:space="preserve">: </w:t>
      </w:r>
      <w:r>
        <w:rPr>
          <w:rFonts w:ascii="Arial" w:hAnsi="Arial" w:cs="Arial"/>
          <w:sz w:val="20"/>
          <w:lang w:val="mn-MN"/>
        </w:rPr>
        <w:t xml:space="preserve">2013 оны эхний 7 сард металын хүдрийн үйлдвэрлэлд ажиллагсадын тоо нь </w:t>
      </w:r>
      <w:r w:rsidR="002F1CB9">
        <w:rPr>
          <w:rFonts w:ascii="Arial" w:hAnsi="Arial" w:cs="Arial"/>
          <w:sz w:val="20"/>
        </w:rPr>
        <w:t xml:space="preserve">4,700 </w:t>
      </w:r>
      <w:r>
        <w:rPr>
          <w:rFonts w:ascii="Arial" w:hAnsi="Arial" w:cs="Arial"/>
          <w:sz w:val="20"/>
          <w:lang w:val="mn-MN"/>
        </w:rPr>
        <w:t>гаран хүнээр өссөн</w:t>
      </w:r>
      <w:r w:rsidR="002F1CB9">
        <w:rPr>
          <w:rFonts w:ascii="Arial" w:hAnsi="Arial" w:cs="Arial"/>
          <w:sz w:val="20"/>
        </w:rPr>
        <w:t>.</w:t>
      </w:r>
      <w:r>
        <w:rPr>
          <w:rFonts w:ascii="Arial" w:hAnsi="Arial" w:cs="Arial"/>
          <w:sz w:val="20"/>
          <w:lang w:val="mn-MN"/>
        </w:rPr>
        <w:t xml:space="preserve"> Хэдийгээр 8 болон 9 дүгээр саруудад аж үйлдвэрлэлд ажиллагсадын тоо нь удаан хурдацтайгаар нэмэгдэж байгаа ч сүүлийн өнгөрсөн хоёр сарын хугацаанд 165 хүнээр өсчээ. </w:t>
      </w:r>
    </w:p>
    <w:p w14:paraId="6ABB73DF" w14:textId="4C51BEDD" w:rsidR="00C15F76" w:rsidRDefault="00DC740C" w:rsidP="00660167">
      <w:pPr>
        <w:snapToGrid w:val="0"/>
        <w:jc w:val="both"/>
        <w:rPr>
          <w:rFonts w:ascii="Arial" w:eastAsia="Calibri" w:hAnsi="Arial" w:cs="Arial"/>
          <w:b/>
          <w:sz w:val="20"/>
        </w:rPr>
      </w:pPr>
      <w:r>
        <w:rPr>
          <w:rFonts w:ascii="Arial" w:eastAsia="Calibri" w:hAnsi="Arial" w:cs="Arial"/>
          <w:b/>
          <w:sz w:val="20"/>
          <w:lang w:val="mn-MN"/>
        </w:rPr>
        <w:t>Хоёрдугаар улирлын туршид барилга, аж үйлдвэрлэл болон бөөний/жижиглэнгийн худалдааны салбарт ажиллагсадын тоо нэмэгдсэн</w:t>
      </w:r>
      <w:r w:rsidR="002F1CB9">
        <w:rPr>
          <w:rFonts w:ascii="Arial" w:eastAsia="Calibri" w:hAnsi="Arial" w:cs="Arial"/>
          <w:b/>
          <w:sz w:val="20"/>
        </w:rPr>
        <w:t xml:space="preserve"> (</w:t>
      </w:r>
      <w:r>
        <w:rPr>
          <w:rFonts w:ascii="Arial" w:eastAsia="Calibri" w:hAnsi="Arial" w:cs="Arial"/>
          <w:b/>
          <w:sz w:val="20"/>
          <w:lang w:val="mn-MN"/>
        </w:rPr>
        <w:t>зураг</w:t>
      </w:r>
      <w:r>
        <w:rPr>
          <w:rFonts w:ascii="Arial" w:eastAsia="Calibri" w:hAnsi="Arial" w:cs="Arial"/>
          <w:b/>
          <w:sz w:val="20"/>
        </w:rPr>
        <w:t xml:space="preserve"> </w:t>
      </w:r>
      <w:r w:rsidR="002F1CB9">
        <w:rPr>
          <w:rFonts w:ascii="Arial" w:eastAsia="Calibri" w:hAnsi="Arial" w:cs="Arial"/>
          <w:b/>
          <w:sz w:val="20"/>
        </w:rPr>
        <w:t>22)</w:t>
      </w:r>
      <w:r w:rsidR="00B71F14" w:rsidRPr="00B71F14">
        <w:rPr>
          <w:rFonts w:ascii="Arial" w:eastAsia="Calibri" w:hAnsi="Arial" w:cs="Arial"/>
          <w:b/>
          <w:sz w:val="20"/>
        </w:rPr>
        <w:t>.</w:t>
      </w:r>
      <w:r w:rsidR="00B71F14">
        <w:rPr>
          <w:rFonts w:ascii="Arial" w:eastAsia="Calibri" w:hAnsi="Arial" w:cs="Arial"/>
          <w:sz w:val="20"/>
        </w:rPr>
        <w:t xml:space="preserve"> </w:t>
      </w:r>
      <w:r w:rsidR="008C5820">
        <w:rPr>
          <w:rFonts w:ascii="Arial" w:eastAsia="Calibri" w:hAnsi="Arial" w:cs="Arial"/>
          <w:sz w:val="20"/>
          <w:lang w:val="mn-MN"/>
        </w:rPr>
        <w:t xml:space="preserve">Хоёрдугаар улиралд барилгын ажиллагсадын тоо </w:t>
      </w:r>
      <w:r w:rsidR="00B71F14">
        <w:rPr>
          <w:rFonts w:ascii="Arial" w:eastAsia="Calibri" w:hAnsi="Arial" w:cs="Arial"/>
          <w:sz w:val="20"/>
        </w:rPr>
        <w:t xml:space="preserve">17 </w:t>
      </w:r>
      <w:r w:rsidR="008C5820">
        <w:rPr>
          <w:rFonts w:ascii="Arial" w:eastAsia="Calibri" w:hAnsi="Arial" w:cs="Arial"/>
          <w:sz w:val="20"/>
          <w:lang w:val="mn-MN"/>
        </w:rPr>
        <w:t>хувиар</w:t>
      </w:r>
      <w:r w:rsidR="008C5820">
        <w:rPr>
          <w:rFonts w:ascii="Arial" w:eastAsia="Calibri" w:hAnsi="Arial" w:cs="Arial"/>
          <w:sz w:val="20"/>
        </w:rPr>
        <w:t xml:space="preserve"> </w:t>
      </w:r>
      <w:r w:rsidR="00B71F14">
        <w:rPr>
          <w:rFonts w:ascii="Arial" w:eastAsia="Calibri" w:hAnsi="Arial" w:cs="Arial"/>
          <w:sz w:val="20"/>
        </w:rPr>
        <w:t>(</w:t>
      </w:r>
      <w:r w:rsidR="008C5820">
        <w:rPr>
          <w:rFonts w:ascii="Arial" w:eastAsia="Calibri" w:hAnsi="Arial" w:cs="Arial"/>
          <w:sz w:val="20"/>
          <w:lang w:val="mn-MN"/>
        </w:rPr>
        <w:t>өмнөх улиралтай харьцуулбал</w:t>
      </w:r>
      <w:r w:rsidR="00B71F14">
        <w:rPr>
          <w:rFonts w:ascii="Arial" w:eastAsia="Calibri" w:hAnsi="Arial" w:cs="Arial"/>
          <w:sz w:val="20"/>
        </w:rPr>
        <w:t xml:space="preserve">) </w:t>
      </w:r>
      <w:r w:rsidR="008C5820">
        <w:rPr>
          <w:rFonts w:ascii="Arial" w:eastAsia="Calibri" w:hAnsi="Arial" w:cs="Arial"/>
          <w:sz w:val="20"/>
          <w:lang w:val="mn-MN"/>
        </w:rPr>
        <w:t>мөн</w:t>
      </w:r>
      <w:r w:rsidR="008C5820">
        <w:rPr>
          <w:rFonts w:ascii="Arial" w:eastAsia="Calibri" w:hAnsi="Arial" w:cs="Arial"/>
          <w:sz w:val="20"/>
        </w:rPr>
        <w:t xml:space="preserve"> </w:t>
      </w:r>
      <w:r w:rsidR="00B71F14">
        <w:rPr>
          <w:rFonts w:ascii="Arial" w:eastAsia="Calibri" w:hAnsi="Arial" w:cs="Arial"/>
          <w:sz w:val="20"/>
        </w:rPr>
        <w:t xml:space="preserve">20 </w:t>
      </w:r>
      <w:r w:rsidR="008C5820">
        <w:rPr>
          <w:rFonts w:ascii="Arial" w:eastAsia="Calibri" w:hAnsi="Arial" w:cs="Arial"/>
          <w:sz w:val="20"/>
          <w:lang w:val="mn-MN"/>
        </w:rPr>
        <w:t>хувиар</w:t>
      </w:r>
      <w:r w:rsidR="008C5820">
        <w:rPr>
          <w:rFonts w:ascii="Arial" w:eastAsia="Calibri" w:hAnsi="Arial" w:cs="Arial"/>
          <w:sz w:val="20"/>
        </w:rPr>
        <w:t xml:space="preserve"> </w:t>
      </w:r>
      <w:r w:rsidR="00B71F14">
        <w:rPr>
          <w:rFonts w:ascii="Arial" w:eastAsia="Calibri" w:hAnsi="Arial" w:cs="Arial"/>
          <w:sz w:val="20"/>
        </w:rPr>
        <w:t>(</w:t>
      </w:r>
      <w:r w:rsidR="008C5820">
        <w:rPr>
          <w:rFonts w:ascii="Arial" w:eastAsia="Calibri" w:hAnsi="Arial" w:cs="Arial"/>
          <w:sz w:val="20"/>
          <w:lang w:val="mn-MN"/>
        </w:rPr>
        <w:t>өмнөх жилтэй харьцуулбал</w:t>
      </w:r>
      <w:r w:rsidR="00B71F14">
        <w:rPr>
          <w:rFonts w:ascii="Arial" w:eastAsia="Calibri" w:hAnsi="Arial" w:cs="Arial"/>
          <w:sz w:val="20"/>
        </w:rPr>
        <w:t>)</w:t>
      </w:r>
      <w:r w:rsidR="008C5820">
        <w:rPr>
          <w:rFonts w:ascii="Arial" w:eastAsia="Calibri" w:hAnsi="Arial" w:cs="Arial"/>
          <w:sz w:val="20"/>
          <w:lang w:val="mn-MN"/>
        </w:rPr>
        <w:t xml:space="preserve"> тус нэмэгдсэн нь уг хугацаанд барилгын салбарын өсөлт байсныг харуулж байна. Аж үйлдвэрлэл болон бөөний/жижиглэнгийн салбар нь илүү ажиллагсадыг авч ажиллуулсан нь хувиараа ажиллагсадын тоо өсч байгааг илэрхийлэх талтай</w:t>
      </w:r>
      <w:r w:rsidR="00D57FCC">
        <w:rPr>
          <w:rFonts w:ascii="Arial" w:eastAsia="Calibri" w:hAnsi="Arial" w:cs="Arial"/>
          <w:sz w:val="20"/>
        </w:rPr>
        <w:t>.</w:t>
      </w:r>
    </w:p>
    <w:tbl>
      <w:tblPr>
        <w:tblW w:w="0" w:type="auto"/>
        <w:tblInd w:w="108" w:type="dxa"/>
        <w:tblLook w:val="04A0" w:firstRow="1" w:lastRow="0" w:firstColumn="1" w:lastColumn="0" w:noHBand="0" w:noVBand="1"/>
      </w:tblPr>
      <w:tblGrid>
        <w:gridCol w:w="4029"/>
        <w:gridCol w:w="349"/>
        <w:gridCol w:w="222"/>
        <w:gridCol w:w="4868"/>
      </w:tblGrid>
      <w:tr w:rsidR="002C5578" w:rsidRPr="000A2BAB" w14:paraId="11EF296F" w14:textId="77777777" w:rsidTr="00472978">
        <w:tc>
          <w:tcPr>
            <w:tcW w:w="4381" w:type="dxa"/>
            <w:gridSpan w:val="2"/>
            <w:tcBorders>
              <w:bottom w:val="single" w:sz="4" w:space="0" w:color="984806" w:themeColor="accent6" w:themeShade="80"/>
            </w:tcBorders>
          </w:tcPr>
          <w:p w14:paraId="4A012E15" w14:textId="4B51E457" w:rsidR="002C5578" w:rsidRPr="00660167" w:rsidRDefault="002C5578" w:rsidP="00630B23">
            <w:pPr>
              <w:pStyle w:val="Caption"/>
              <w:keepNext/>
              <w:spacing w:after="0"/>
              <w:jc w:val="both"/>
              <w:rPr>
                <w:color w:val="auto"/>
                <w:sz w:val="16"/>
                <w:szCs w:val="16"/>
              </w:rPr>
            </w:pPr>
            <w:r w:rsidRPr="00B6378E">
              <w:rPr>
                <w:color w:val="auto"/>
              </w:rPr>
              <w:t xml:space="preserve"> </w:t>
            </w:r>
            <w:bookmarkStart w:id="40" w:name="_Toc371338629"/>
            <w:r w:rsidR="004950D4">
              <w:rPr>
                <w:sz w:val="16"/>
                <w:szCs w:val="16"/>
                <w:lang w:val="mn-MN"/>
              </w:rPr>
              <w:t>Зураг</w:t>
            </w:r>
            <w:r w:rsidR="004B523E" w:rsidRPr="00660167">
              <w:rPr>
                <w:sz w:val="16"/>
                <w:szCs w:val="16"/>
              </w:rPr>
              <w:t xml:space="preserve"> </w:t>
            </w:r>
            <w:r w:rsidR="002E38E0">
              <w:rPr>
                <w:sz w:val="16"/>
                <w:szCs w:val="16"/>
              </w:rPr>
              <w:fldChar w:fldCharType="begin"/>
            </w:r>
            <w:r w:rsidR="002E38E0">
              <w:rPr>
                <w:sz w:val="16"/>
                <w:szCs w:val="16"/>
              </w:rPr>
              <w:instrText xml:space="preserve"> SEQ Figure \* ARABIC </w:instrText>
            </w:r>
            <w:r w:rsidR="002E38E0">
              <w:rPr>
                <w:sz w:val="16"/>
                <w:szCs w:val="16"/>
              </w:rPr>
              <w:fldChar w:fldCharType="separate"/>
            </w:r>
            <w:r w:rsidR="002E38E0">
              <w:rPr>
                <w:noProof/>
                <w:sz w:val="16"/>
                <w:szCs w:val="16"/>
              </w:rPr>
              <w:t>21</w:t>
            </w:r>
            <w:r w:rsidR="002E38E0">
              <w:rPr>
                <w:sz w:val="16"/>
                <w:szCs w:val="16"/>
              </w:rPr>
              <w:fldChar w:fldCharType="end"/>
            </w:r>
            <w:r w:rsidR="004B523E" w:rsidRPr="00660167">
              <w:rPr>
                <w:sz w:val="16"/>
                <w:szCs w:val="16"/>
              </w:rPr>
              <w:t xml:space="preserve">. </w:t>
            </w:r>
            <w:r w:rsidR="004950D4">
              <w:rPr>
                <w:sz w:val="16"/>
                <w:szCs w:val="16"/>
                <w:lang w:val="mn-MN"/>
              </w:rPr>
              <w:t>Ажил эрхлэлт, салбараар</w:t>
            </w:r>
            <w:bookmarkEnd w:id="40"/>
          </w:p>
        </w:tc>
        <w:tc>
          <w:tcPr>
            <w:tcW w:w="221" w:type="dxa"/>
          </w:tcPr>
          <w:p w14:paraId="2A51AC54" w14:textId="77777777" w:rsidR="002C5578" w:rsidRPr="00266CCE" w:rsidRDefault="002C5578" w:rsidP="00630B23">
            <w:pPr>
              <w:pStyle w:val="Caption"/>
              <w:spacing w:after="0"/>
              <w:jc w:val="center"/>
              <w:rPr>
                <w:color w:val="auto"/>
                <w:sz w:val="2"/>
              </w:rPr>
            </w:pPr>
          </w:p>
        </w:tc>
        <w:tc>
          <w:tcPr>
            <w:tcW w:w="4866" w:type="dxa"/>
            <w:tcBorders>
              <w:bottom w:val="single" w:sz="4" w:space="0" w:color="984806" w:themeColor="accent6" w:themeShade="80"/>
            </w:tcBorders>
          </w:tcPr>
          <w:p w14:paraId="1A4CDE0C" w14:textId="4138D67D" w:rsidR="002C5578" w:rsidRPr="00B6378E" w:rsidRDefault="00472978" w:rsidP="00630B23">
            <w:pPr>
              <w:pStyle w:val="Caption"/>
              <w:keepNext/>
              <w:spacing w:after="0"/>
              <w:jc w:val="both"/>
            </w:pPr>
            <w:r>
              <w:rPr>
                <w:color w:val="auto"/>
              </w:rPr>
              <w:t xml:space="preserve"> </w:t>
            </w:r>
            <w:bookmarkStart w:id="41" w:name="_Toc371338630"/>
            <w:r w:rsidR="004950D4">
              <w:rPr>
                <w:sz w:val="16"/>
                <w:szCs w:val="16"/>
                <w:lang w:val="mn-MN"/>
              </w:rPr>
              <w:t>Зураг</w:t>
            </w:r>
            <w:r w:rsidR="004B523E" w:rsidRPr="00660167">
              <w:rPr>
                <w:sz w:val="16"/>
                <w:szCs w:val="16"/>
              </w:rPr>
              <w:t xml:space="preserve"> </w:t>
            </w:r>
            <w:r w:rsidR="002E38E0">
              <w:rPr>
                <w:sz w:val="16"/>
                <w:szCs w:val="16"/>
              </w:rPr>
              <w:fldChar w:fldCharType="begin"/>
            </w:r>
            <w:r w:rsidR="002E38E0">
              <w:rPr>
                <w:sz w:val="16"/>
                <w:szCs w:val="16"/>
              </w:rPr>
              <w:instrText xml:space="preserve"> SEQ Figure \* ARABIC </w:instrText>
            </w:r>
            <w:r w:rsidR="002E38E0">
              <w:rPr>
                <w:sz w:val="16"/>
                <w:szCs w:val="16"/>
              </w:rPr>
              <w:fldChar w:fldCharType="separate"/>
            </w:r>
            <w:r w:rsidR="002E38E0">
              <w:rPr>
                <w:noProof/>
                <w:sz w:val="16"/>
                <w:szCs w:val="16"/>
              </w:rPr>
              <w:t>22</w:t>
            </w:r>
            <w:r w:rsidR="002E38E0">
              <w:rPr>
                <w:sz w:val="16"/>
                <w:szCs w:val="16"/>
              </w:rPr>
              <w:fldChar w:fldCharType="end"/>
            </w:r>
            <w:r w:rsidR="004B523E" w:rsidRPr="00660167">
              <w:rPr>
                <w:sz w:val="16"/>
                <w:szCs w:val="16"/>
              </w:rPr>
              <w:t xml:space="preserve">. </w:t>
            </w:r>
            <w:r w:rsidR="004950D4">
              <w:rPr>
                <w:sz w:val="16"/>
                <w:szCs w:val="16"/>
                <w:lang w:val="mn-MN"/>
              </w:rPr>
              <w:t>Голлох салбараар ажиллах хүчний өөрчлөлт</w:t>
            </w:r>
            <w:bookmarkEnd w:id="41"/>
          </w:p>
        </w:tc>
      </w:tr>
      <w:tr w:rsidR="002C5578" w:rsidRPr="000A2BAB" w14:paraId="60D40C82" w14:textId="77777777" w:rsidTr="00472978">
        <w:trPr>
          <w:trHeight w:val="3005"/>
        </w:trPr>
        <w:tc>
          <w:tcPr>
            <w:tcW w:w="4381" w:type="dxa"/>
            <w:gridSpan w:val="2"/>
            <w:tcBorders>
              <w:top w:val="single" w:sz="4" w:space="0" w:color="984806" w:themeColor="accent6" w:themeShade="80"/>
            </w:tcBorders>
          </w:tcPr>
          <w:p w14:paraId="21494676" w14:textId="3C89604A" w:rsidR="002F1CB9" w:rsidRDefault="004950D4" w:rsidP="00245E0F">
            <w:pPr>
              <w:pStyle w:val="NoSpacing"/>
              <w:jc w:val="both"/>
              <w:rPr>
                <w:sz w:val="16"/>
              </w:rPr>
            </w:pPr>
            <w:r>
              <w:rPr>
                <w:sz w:val="16"/>
                <w:lang w:val="mn-MN"/>
              </w:rPr>
              <w:t>Нийт ажил эрхлэлтийн салбараар эзлэх хувь</w:t>
            </w:r>
            <w:r w:rsidR="002C5578">
              <w:rPr>
                <w:sz w:val="16"/>
              </w:rPr>
              <w:t xml:space="preserve"> (%)</w:t>
            </w:r>
            <w:r w:rsidR="00F44A04">
              <w:rPr>
                <w:sz w:val="16"/>
              </w:rPr>
              <w:t xml:space="preserve">: </w:t>
            </w:r>
          </w:p>
          <w:p w14:paraId="1F154E35" w14:textId="7D3FB96A" w:rsidR="002C5578" w:rsidRPr="00660167" w:rsidRDefault="00F44A04" w:rsidP="00245E0F">
            <w:pPr>
              <w:pStyle w:val="NoSpacing"/>
              <w:jc w:val="both"/>
              <w:rPr>
                <w:sz w:val="16"/>
                <w:lang w:val="mn-MN"/>
              </w:rPr>
            </w:pPr>
            <w:r>
              <w:rPr>
                <w:sz w:val="16"/>
              </w:rPr>
              <w:t>2013</w:t>
            </w:r>
            <w:r w:rsidR="004950D4">
              <w:rPr>
                <w:sz w:val="16"/>
                <w:lang w:val="mn-MN"/>
              </w:rPr>
              <w:t xml:space="preserve"> оны 2 дугаар улирал</w:t>
            </w:r>
          </w:p>
          <w:p w14:paraId="382BAFA2" w14:textId="0E620692" w:rsidR="002C5578" w:rsidRPr="000A2BAB" w:rsidRDefault="00B71F14" w:rsidP="00B71F14">
            <w:pPr>
              <w:pStyle w:val="NoSpacing"/>
              <w:jc w:val="both"/>
            </w:pPr>
            <w:r w:rsidRPr="00472978">
              <w:rPr>
                <w:noProof/>
                <w:sz w:val="28"/>
              </w:rPr>
              <w:drawing>
                <wp:inline distT="0" distB="0" distL="0" distR="0" wp14:anchorId="61A2D22C" wp14:editId="053A8DB5">
                  <wp:extent cx="2787162" cy="2233246"/>
                  <wp:effectExtent l="0" t="0" r="0"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tc>
        <w:tc>
          <w:tcPr>
            <w:tcW w:w="221" w:type="dxa"/>
          </w:tcPr>
          <w:p w14:paraId="7EFDA18E" w14:textId="77777777" w:rsidR="002C5578" w:rsidRDefault="002C5578" w:rsidP="00245E0F">
            <w:pPr>
              <w:pStyle w:val="NoSpacing"/>
              <w:jc w:val="both"/>
              <w:rPr>
                <w:noProof/>
                <w:sz w:val="2"/>
                <w:lang w:eastAsia="ko-KR"/>
              </w:rPr>
            </w:pPr>
          </w:p>
          <w:p w14:paraId="632BBE45" w14:textId="77777777" w:rsidR="002C5578" w:rsidRPr="00266CCE" w:rsidRDefault="002C5578" w:rsidP="00245E0F">
            <w:pPr>
              <w:pStyle w:val="NoSpacing"/>
              <w:jc w:val="both"/>
              <w:rPr>
                <w:noProof/>
                <w:sz w:val="2"/>
                <w:lang w:eastAsia="ko-KR"/>
              </w:rPr>
            </w:pPr>
          </w:p>
        </w:tc>
        <w:tc>
          <w:tcPr>
            <w:tcW w:w="4866" w:type="dxa"/>
            <w:tcBorders>
              <w:top w:val="single" w:sz="4" w:space="0" w:color="984806" w:themeColor="accent6" w:themeShade="80"/>
            </w:tcBorders>
          </w:tcPr>
          <w:p w14:paraId="676265AB" w14:textId="29845F35" w:rsidR="00472978" w:rsidRDefault="004950D4" w:rsidP="00472978">
            <w:pPr>
              <w:pStyle w:val="NoSpacing"/>
              <w:jc w:val="both"/>
              <w:rPr>
                <w:sz w:val="16"/>
                <w:szCs w:val="18"/>
              </w:rPr>
            </w:pPr>
            <w:r>
              <w:rPr>
                <w:sz w:val="16"/>
                <w:szCs w:val="18"/>
                <w:lang w:val="mn-MN"/>
              </w:rPr>
              <w:t>Голлох салбаруудад ажиллаж байгаа ажиллагсадын тоо</w:t>
            </w:r>
            <w:r w:rsidR="00472978">
              <w:rPr>
                <w:sz w:val="16"/>
                <w:szCs w:val="18"/>
              </w:rPr>
              <w:t>(</w:t>
            </w:r>
            <w:r>
              <w:rPr>
                <w:sz w:val="16"/>
                <w:szCs w:val="18"/>
                <w:lang w:val="mn-MN"/>
              </w:rPr>
              <w:t>мянган хүнээр</w:t>
            </w:r>
            <w:r w:rsidR="00472978">
              <w:rPr>
                <w:sz w:val="16"/>
                <w:szCs w:val="18"/>
              </w:rPr>
              <w:t>)</w:t>
            </w:r>
          </w:p>
          <w:p w14:paraId="0354A1E9" w14:textId="44E350CD" w:rsidR="002C5578" w:rsidRPr="00EA6573" w:rsidRDefault="00472978" w:rsidP="00472978">
            <w:pPr>
              <w:pStyle w:val="NoSpacing"/>
              <w:jc w:val="both"/>
              <w:rPr>
                <w:sz w:val="16"/>
                <w:szCs w:val="18"/>
                <w:lang w:eastAsia="ko-KR"/>
              </w:rPr>
            </w:pPr>
            <w:r w:rsidRPr="00472978">
              <w:rPr>
                <w:noProof/>
                <w:sz w:val="24"/>
              </w:rPr>
              <w:drawing>
                <wp:inline distT="0" distB="0" distL="0" distR="0" wp14:anchorId="25F6DFC4" wp14:editId="5B856C34">
                  <wp:extent cx="3121269" cy="2356338"/>
                  <wp:effectExtent l="0" t="0" r="3175" b="635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c>
      </w:tr>
      <w:tr w:rsidR="002C5578" w:rsidRPr="000A2BAB" w14:paraId="62550C32" w14:textId="77777777" w:rsidTr="00472978">
        <w:trPr>
          <w:trHeight w:val="89"/>
        </w:trPr>
        <w:tc>
          <w:tcPr>
            <w:tcW w:w="4140" w:type="dxa"/>
          </w:tcPr>
          <w:p w14:paraId="18496C69" w14:textId="77777777" w:rsidR="00472978" w:rsidRDefault="00472978" w:rsidP="00245E0F">
            <w:pPr>
              <w:pStyle w:val="NoSpacing"/>
              <w:jc w:val="both"/>
              <w:rPr>
                <w:sz w:val="14"/>
                <w:szCs w:val="18"/>
              </w:rPr>
            </w:pPr>
          </w:p>
          <w:p w14:paraId="64BDCB69" w14:textId="77777777" w:rsidR="004950D4" w:rsidRPr="00053F7B" w:rsidRDefault="004950D4" w:rsidP="004950D4">
            <w:pPr>
              <w:pStyle w:val="NoSpacing"/>
              <w:jc w:val="both"/>
              <w:rPr>
                <w:sz w:val="14"/>
                <w:szCs w:val="18"/>
              </w:rPr>
            </w:pPr>
            <w:r>
              <w:rPr>
                <w:sz w:val="14"/>
                <w:szCs w:val="18"/>
                <w:lang w:val="mn-MN"/>
              </w:rPr>
              <w:t>Эх үүсвэр</w:t>
            </w:r>
            <w:r w:rsidRPr="00053F7B">
              <w:rPr>
                <w:sz w:val="14"/>
                <w:szCs w:val="18"/>
              </w:rPr>
              <w:t xml:space="preserve">: </w:t>
            </w:r>
            <w:r>
              <w:rPr>
                <w:sz w:val="14"/>
                <w:szCs w:val="18"/>
                <w:lang w:val="mn-MN"/>
              </w:rPr>
              <w:t>ҮСХ, Улирлын ажиллах хүчний судалгаа, ДБ-ны мэргэжилтнүүдийн тооцоо</w:t>
            </w:r>
          </w:p>
          <w:p w14:paraId="41F0BF28" w14:textId="56454806" w:rsidR="002C5578" w:rsidRPr="00053F7B" w:rsidRDefault="002C5578" w:rsidP="00245E0F">
            <w:pPr>
              <w:pStyle w:val="NoSpacing"/>
              <w:jc w:val="both"/>
              <w:rPr>
                <w:sz w:val="14"/>
                <w:szCs w:val="18"/>
              </w:rPr>
            </w:pPr>
          </w:p>
          <w:p w14:paraId="4BE22989" w14:textId="77777777" w:rsidR="002C5578" w:rsidRPr="000A2BAB" w:rsidRDefault="002C5578" w:rsidP="00245E0F">
            <w:pPr>
              <w:pStyle w:val="NoSpacing"/>
              <w:jc w:val="both"/>
              <w:rPr>
                <w:sz w:val="14"/>
                <w:szCs w:val="18"/>
              </w:rPr>
            </w:pPr>
          </w:p>
        </w:tc>
        <w:tc>
          <w:tcPr>
            <w:tcW w:w="241" w:type="dxa"/>
          </w:tcPr>
          <w:p w14:paraId="3E605BF7" w14:textId="77777777" w:rsidR="002C5578" w:rsidRPr="00266CCE" w:rsidRDefault="002C5578" w:rsidP="00245E0F">
            <w:pPr>
              <w:pStyle w:val="NoSpacing"/>
              <w:jc w:val="both"/>
              <w:rPr>
                <w:i/>
                <w:sz w:val="2"/>
                <w:szCs w:val="18"/>
              </w:rPr>
            </w:pPr>
          </w:p>
        </w:tc>
        <w:tc>
          <w:tcPr>
            <w:tcW w:w="5087" w:type="dxa"/>
            <w:gridSpan w:val="2"/>
          </w:tcPr>
          <w:p w14:paraId="11B4DB7D" w14:textId="77777777" w:rsidR="002C5578" w:rsidRPr="000A2BAB" w:rsidRDefault="002C5578" w:rsidP="00245E0F">
            <w:pPr>
              <w:pStyle w:val="NoSpacing"/>
              <w:jc w:val="both"/>
              <w:rPr>
                <w:sz w:val="14"/>
              </w:rPr>
            </w:pPr>
          </w:p>
        </w:tc>
      </w:tr>
    </w:tbl>
    <w:p w14:paraId="65C8DDCC" w14:textId="64804706" w:rsidR="00A60C3E" w:rsidRDefault="004950D4" w:rsidP="00472978">
      <w:pPr>
        <w:snapToGrid w:val="0"/>
        <w:jc w:val="both"/>
        <w:rPr>
          <w:rFonts w:eastAsiaTheme="majorEastAsia" w:cstheme="minorHAnsi"/>
          <w:b/>
          <w:bCs/>
          <w:color w:val="002060"/>
          <w:sz w:val="24"/>
          <w:szCs w:val="26"/>
          <w:lang w:eastAsia="ko-KR"/>
        </w:rPr>
      </w:pPr>
      <w:r>
        <w:rPr>
          <w:rFonts w:ascii="Arial" w:hAnsi="Arial" w:cs="Arial"/>
          <w:b/>
          <w:sz w:val="20"/>
          <w:lang w:val="mn-MN"/>
        </w:rPr>
        <w:lastRenderedPageBreak/>
        <w:t>Мэдээллийн хязгаарлагдмал байдлаас шалтгаалж, албан ёсны тоо мэдээ нь хөдөлмөрийн зах зээлийн нөхцөл байдлы</w:t>
      </w:r>
      <w:r w:rsidR="002E0F55">
        <w:rPr>
          <w:rFonts w:ascii="Arial" w:hAnsi="Arial" w:cs="Arial"/>
          <w:b/>
          <w:sz w:val="20"/>
          <w:lang w:val="mn-MN"/>
        </w:rPr>
        <w:t>г</w:t>
      </w:r>
      <w:r>
        <w:rPr>
          <w:rFonts w:ascii="Arial" w:hAnsi="Arial" w:cs="Arial"/>
          <w:b/>
          <w:sz w:val="20"/>
          <w:lang w:val="mn-MN"/>
        </w:rPr>
        <w:t xml:space="preserve"> төдийлөн бодитоор харуулахгүй байх талтай. </w:t>
      </w:r>
      <w:r>
        <w:rPr>
          <w:rFonts w:ascii="Arial" w:hAnsi="Arial" w:cs="Arial"/>
          <w:sz w:val="20"/>
          <w:lang w:val="mn-MN"/>
        </w:rPr>
        <w:t xml:space="preserve">Хэдийгээр албан ёсны мэдээгээр ажилгүйдлийн түвшин буурч сайжралт гарч байгаа боловч уул уурхайн салбарын хүндрэл нь хөдөлмөрийн зах зээлд нөлөө үзүүлж, санаа зовоож байна. Нүүрсний зах зээлийн хэтийн төлөв сул байгаатай холбоотойгоор нүүрсний зарим компаниуд үйл ажиллагааныхаа зардлыг бууруулах тал дээр ажиллаж, ажиллагсадаа халах талтай. 7 дугаар сард ОТ уурхай нь уурхайн газрын гүний хөрөнгө оруулалт хойшлогдсонтой холбогдуулан </w:t>
      </w:r>
      <w:r w:rsidR="00A0532B" w:rsidRPr="00352D75">
        <w:rPr>
          <w:rFonts w:ascii="Arial" w:hAnsi="Arial" w:cs="Arial"/>
          <w:sz w:val="20"/>
        </w:rPr>
        <w:t>1,700</w:t>
      </w:r>
      <w:r>
        <w:rPr>
          <w:rFonts w:ascii="Arial" w:hAnsi="Arial" w:cs="Arial"/>
          <w:sz w:val="20"/>
          <w:lang w:val="mn-MN"/>
        </w:rPr>
        <w:t xml:space="preserve"> гаран ажиллагсадаа халах болно гэж мэдэгдэж байсан. Хөдөлмөрийн зах зээлд нөлөөлсөн өөр нэг үзэгдэл нь 9 дүгээр сард “Нарантуул” хар захад гал гарсан нь уг зах дээр ажилладаг даатгалгүй, найдваргүй хөдөлмөрийн нөхцөл байдалд ажилладаг, тэдгээрийн ихэнх нь эмэгтэйчүүд байдаг гэж мэдэгдэж байгаа бөгөөд тэдгээр</w:t>
      </w:r>
      <w:r w:rsidR="002E0F55">
        <w:rPr>
          <w:rFonts w:ascii="Arial" w:hAnsi="Arial" w:cs="Arial"/>
          <w:sz w:val="20"/>
          <w:lang w:val="mn-MN"/>
        </w:rPr>
        <w:t>т</w:t>
      </w:r>
      <w:r>
        <w:rPr>
          <w:rFonts w:ascii="Arial" w:hAnsi="Arial" w:cs="Arial"/>
          <w:sz w:val="20"/>
          <w:lang w:val="mn-MN"/>
        </w:rPr>
        <w:t xml:space="preserve"> </w:t>
      </w:r>
      <w:r w:rsidR="002E0F55">
        <w:rPr>
          <w:rFonts w:ascii="Arial" w:hAnsi="Arial" w:cs="Arial"/>
          <w:sz w:val="20"/>
          <w:lang w:val="mn-MN"/>
        </w:rPr>
        <w:t xml:space="preserve">гэнэтийн </w:t>
      </w:r>
      <w:r>
        <w:rPr>
          <w:rFonts w:ascii="Arial" w:hAnsi="Arial" w:cs="Arial"/>
          <w:sz w:val="20"/>
          <w:lang w:val="mn-MN"/>
        </w:rPr>
        <w:t>алдагдал авчирсан. Зарим салбаруудад хөдөлмөрийн нөхцөл байдлыг чангатгасан нь нийт хөдөлмөрийн тоо мэдээн</w:t>
      </w:r>
      <w:r w:rsidR="002E0F55">
        <w:rPr>
          <w:rFonts w:ascii="Arial" w:hAnsi="Arial" w:cs="Arial"/>
          <w:sz w:val="20"/>
          <w:lang w:val="mn-MN"/>
        </w:rPr>
        <w:t>ээс</w:t>
      </w:r>
      <w:r>
        <w:rPr>
          <w:rFonts w:ascii="Arial" w:hAnsi="Arial" w:cs="Arial"/>
          <w:sz w:val="20"/>
          <w:lang w:val="mn-MN"/>
        </w:rPr>
        <w:t xml:space="preserve"> харагдахгүй байгаа бөгөөд түр зуурын ажил эрхлэлт нэмэгдэж байгаа нь </w:t>
      </w:r>
      <w:r w:rsidR="002748A2">
        <w:rPr>
          <w:rFonts w:ascii="Arial" w:hAnsi="Arial" w:cs="Arial"/>
          <w:sz w:val="20"/>
        </w:rPr>
        <w:t>(</w:t>
      </w:r>
      <w:r>
        <w:rPr>
          <w:rFonts w:ascii="Arial" w:hAnsi="Arial" w:cs="Arial"/>
          <w:sz w:val="20"/>
          <w:lang w:val="mn-MN"/>
        </w:rPr>
        <w:t>жишээ нь барилгын үйл ажиллагаа, төрийн засварын ажил эхлэх зэргээр</w:t>
      </w:r>
      <w:r w:rsidR="002748A2">
        <w:rPr>
          <w:rFonts w:ascii="Arial" w:hAnsi="Arial" w:cs="Arial"/>
          <w:sz w:val="20"/>
        </w:rPr>
        <w:t>)</w:t>
      </w:r>
      <w:r>
        <w:rPr>
          <w:rFonts w:ascii="Arial" w:hAnsi="Arial" w:cs="Arial"/>
          <w:sz w:val="20"/>
          <w:lang w:val="mn-MN"/>
        </w:rPr>
        <w:t xml:space="preserve"> ажилгүйчүүдийг шингээж байх талтай</w:t>
      </w:r>
      <w:r w:rsidR="002748A2">
        <w:rPr>
          <w:rFonts w:ascii="Arial" w:hAnsi="Arial" w:cs="Arial"/>
          <w:sz w:val="20"/>
        </w:rPr>
        <w:t xml:space="preserve">. </w:t>
      </w:r>
      <w:bookmarkEnd w:id="31"/>
      <w:r w:rsidR="00941E01">
        <w:rPr>
          <w:rFonts w:cstheme="minorHAnsi"/>
          <w:color w:val="002060"/>
          <w:sz w:val="24"/>
          <w:lang w:eastAsia="ko-KR"/>
        </w:rPr>
        <w:br w:type="page"/>
      </w:r>
    </w:p>
    <w:p w14:paraId="680ECDEA" w14:textId="6C19A3D3" w:rsidR="00E95E5E" w:rsidRPr="00660167" w:rsidRDefault="004950D4" w:rsidP="00E95E5E">
      <w:pPr>
        <w:pStyle w:val="Heading2"/>
        <w:pBdr>
          <w:bottom w:val="single" w:sz="4" w:space="1" w:color="auto"/>
        </w:pBdr>
        <w:rPr>
          <w:rFonts w:asciiTheme="minorHAnsi" w:hAnsiTheme="minorHAnsi" w:cstheme="minorHAnsi"/>
          <w:color w:val="002060"/>
          <w:sz w:val="28"/>
          <w:lang w:val="mn-MN" w:eastAsia="ko-KR"/>
        </w:rPr>
      </w:pPr>
      <w:bookmarkStart w:id="42" w:name="_Toc371338279"/>
      <w:r>
        <w:rPr>
          <w:rFonts w:asciiTheme="minorHAnsi" w:hAnsiTheme="minorHAnsi" w:cstheme="minorHAnsi"/>
          <w:color w:val="002060"/>
          <w:sz w:val="28"/>
          <w:lang w:val="mn-MN" w:eastAsia="ko-KR"/>
        </w:rPr>
        <w:lastRenderedPageBreak/>
        <w:t>Төсвийн байдал болон хэтийн төлөв</w:t>
      </w:r>
      <w:bookmarkEnd w:id="42"/>
    </w:p>
    <w:p w14:paraId="1AFE6AF8" w14:textId="77777777" w:rsidR="00BB00ED" w:rsidRPr="00786D41" w:rsidRDefault="00BB00ED" w:rsidP="00786D41">
      <w:pPr>
        <w:pStyle w:val="ListParagraph"/>
        <w:spacing w:after="0"/>
        <w:ind w:left="0"/>
        <w:jc w:val="both"/>
        <w:rPr>
          <w:rFonts w:ascii="Arial" w:hAnsi="Arial" w:cs="Arial"/>
          <w:sz w:val="20"/>
          <w:szCs w:val="20"/>
        </w:rPr>
      </w:pPr>
    </w:p>
    <w:p w14:paraId="2D5A6138" w14:textId="77777777" w:rsidR="00CF6F24" w:rsidRPr="00660167" w:rsidRDefault="00CF6F24" w:rsidP="00786D41">
      <w:pPr>
        <w:pStyle w:val="ListParagraph"/>
        <w:spacing w:after="0"/>
        <w:ind w:left="0"/>
        <w:jc w:val="both"/>
        <w:rPr>
          <w:rFonts w:ascii="Arial" w:hAnsi="Arial" w:cs="Arial"/>
          <w:sz w:val="8"/>
          <w:szCs w:val="20"/>
        </w:rPr>
      </w:pPr>
    </w:p>
    <w:p w14:paraId="7F5072DD" w14:textId="135B0634" w:rsidR="00201122" w:rsidRPr="00352D75" w:rsidRDefault="0024576B" w:rsidP="00707402">
      <w:pPr>
        <w:jc w:val="both"/>
        <w:rPr>
          <w:rFonts w:ascii="Arial" w:hAnsi="Arial" w:cs="Arial"/>
          <w:sz w:val="20"/>
          <w:szCs w:val="20"/>
        </w:rPr>
      </w:pPr>
      <w:r>
        <w:rPr>
          <w:rFonts w:ascii="Arial" w:hAnsi="Arial" w:cs="Arial"/>
          <w:b/>
          <w:sz w:val="20"/>
          <w:szCs w:val="20"/>
          <w:lang w:val="mn-MN"/>
        </w:rPr>
        <w:t xml:space="preserve">Төсвийн бодлого нь их хэмжээний төсвөөс гадуурхи зарлагын улмаас тэлэлтийн байдалтай хэвээрээ байна. </w:t>
      </w:r>
      <w:r w:rsidR="00027758">
        <w:rPr>
          <w:rFonts w:ascii="Arial" w:hAnsi="Arial" w:cs="Arial"/>
          <w:sz w:val="20"/>
          <w:szCs w:val="20"/>
          <w:lang w:val="mn-MN"/>
        </w:rPr>
        <w:t xml:space="preserve">2013 оны төсвийн гүйцэтгэл нь төсвийн бодлогын бодит нөхцөл байдлын талаар холимог, магадгүй буруу дохио болсон. Нэг талаас төсвийн жинхэнэ гүйцэтгэлээс төлөвлөж байснаас бага орлого авсан. Мөн өнгөрсөн 2012 оны 11 сард гаргасан Чингис бондын орлогыг ашиглан Монгол улсын хөгжлийн банкаар </w:t>
      </w:r>
      <w:r w:rsidR="00027758">
        <w:rPr>
          <w:rFonts w:ascii="Arial" w:hAnsi="Arial" w:cs="Arial"/>
          <w:sz w:val="20"/>
          <w:szCs w:val="20"/>
        </w:rPr>
        <w:t>(</w:t>
      </w:r>
      <w:r w:rsidR="00027758">
        <w:rPr>
          <w:rFonts w:ascii="Arial" w:hAnsi="Arial" w:cs="Arial"/>
          <w:sz w:val="20"/>
          <w:szCs w:val="20"/>
          <w:lang w:val="mn-MN"/>
        </w:rPr>
        <w:t>МУХБ</w:t>
      </w:r>
      <w:r w:rsidR="00027758">
        <w:rPr>
          <w:rFonts w:ascii="Arial" w:hAnsi="Arial" w:cs="Arial"/>
          <w:sz w:val="20"/>
          <w:szCs w:val="20"/>
        </w:rPr>
        <w:t>)</w:t>
      </w:r>
      <w:r w:rsidR="00027758">
        <w:rPr>
          <w:rFonts w:ascii="Arial" w:hAnsi="Arial" w:cs="Arial"/>
          <w:sz w:val="20"/>
          <w:szCs w:val="20"/>
          <w:lang w:val="mn-MN"/>
        </w:rPr>
        <w:t xml:space="preserve"> дамжуулан төсвөөс гадуурх зарлага огцом нэмэгдсэн. Хэдийгээр МУХБ-ны зарлагын талаарх албан ёсны тоо мэдээлэл нийтэд хүртээмжгүй байгаа ч нийт төсвийн бодлого нь төсвөөс гадуурхи зарлагаар дамжин тэлэлтийн байдалтай хэвээрээ байгаа бөгөөд төсвийн алдагдал нь МУХБ-ны төсвөөс гадуурхи зарлагыг оруулан тооцвол ДНБ-ий 12 гаран хувьд хүрэх бөгөөд өмнөх жилийн түвшингээс өндөр болно</w:t>
      </w:r>
      <w:r w:rsidR="00E14690">
        <w:rPr>
          <w:rFonts w:ascii="Arial" w:hAnsi="Arial" w:cs="Arial"/>
          <w:sz w:val="20"/>
          <w:szCs w:val="20"/>
        </w:rPr>
        <w:t xml:space="preserve"> (10.9 </w:t>
      </w:r>
      <w:r w:rsidR="00027758">
        <w:rPr>
          <w:rFonts w:ascii="Arial" w:hAnsi="Arial" w:cs="Arial"/>
          <w:sz w:val="20"/>
          <w:szCs w:val="20"/>
          <w:lang w:val="mn-MN"/>
        </w:rPr>
        <w:t>хувь</w:t>
      </w:r>
      <w:r w:rsidR="00E14690">
        <w:rPr>
          <w:rFonts w:ascii="Arial" w:hAnsi="Arial" w:cs="Arial"/>
          <w:sz w:val="20"/>
          <w:szCs w:val="20"/>
        </w:rPr>
        <w:t>)</w:t>
      </w:r>
      <w:r w:rsidR="007A6713" w:rsidRPr="00352D75">
        <w:rPr>
          <w:rFonts w:ascii="Arial" w:hAnsi="Arial" w:cs="Arial"/>
          <w:sz w:val="20"/>
          <w:szCs w:val="20"/>
        </w:rPr>
        <w:t>.</w:t>
      </w:r>
      <w:r w:rsidR="009565C3" w:rsidRPr="00352D75">
        <w:rPr>
          <w:rFonts w:ascii="Arial" w:hAnsi="Arial" w:cs="Arial"/>
          <w:noProof/>
          <w:sz w:val="20"/>
          <w:lang w:eastAsia="ko-KR"/>
        </w:rPr>
        <w:t xml:space="preserve"> </w:t>
      </w:r>
    </w:p>
    <w:p w14:paraId="4C537A1A" w14:textId="5B5A4D00" w:rsidR="00A84EDA" w:rsidRPr="00352D75" w:rsidRDefault="008D5091" w:rsidP="00707402">
      <w:pPr>
        <w:jc w:val="both"/>
        <w:rPr>
          <w:rFonts w:ascii="Arial" w:hAnsi="Arial" w:cs="Arial"/>
          <w:sz w:val="20"/>
          <w:szCs w:val="20"/>
        </w:rPr>
      </w:pPr>
      <w:r>
        <w:rPr>
          <w:rFonts w:ascii="Arial" w:hAnsi="Arial" w:cs="Arial"/>
          <w:b/>
          <w:sz w:val="20"/>
          <w:szCs w:val="20"/>
          <w:lang w:val="mn-MN"/>
        </w:rPr>
        <w:t>Төсвийн албан ёсны зарлага</w:t>
      </w:r>
      <w:r w:rsidR="008132B2" w:rsidRPr="00352D75">
        <w:rPr>
          <w:rFonts w:ascii="Arial" w:hAnsi="Arial" w:cs="Arial"/>
          <w:b/>
          <w:sz w:val="20"/>
          <w:szCs w:val="20"/>
        </w:rPr>
        <w:t xml:space="preserve"> – </w:t>
      </w:r>
      <w:r>
        <w:rPr>
          <w:rFonts w:ascii="Arial" w:hAnsi="Arial" w:cs="Arial"/>
          <w:b/>
          <w:sz w:val="20"/>
          <w:szCs w:val="20"/>
          <w:lang w:val="mn-MN"/>
        </w:rPr>
        <w:t>энэ нь МУХБ-ны хийсэн зарлагыг хасаад</w:t>
      </w:r>
      <w:r w:rsidR="008132B2" w:rsidRPr="00352D75">
        <w:rPr>
          <w:rFonts w:ascii="Arial" w:hAnsi="Arial" w:cs="Arial"/>
          <w:b/>
          <w:sz w:val="20"/>
          <w:szCs w:val="20"/>
        </w:rPr>
        <w:t xml:space="preserve">– </w:t>
      </w:r>
      <w:r>
        <w:rPr>
          <w:rFonts w:ascii="Arial" w:hAnsi="Arial" w:cs="Arial"/>
          <w:b/>
          <w:sz w:val="20"/>
          <w:szCs w:val="20"/>
          <w:lang w:val="mn-MN"/>
        </w:rPr>
        <w:t>нь болгоомжлох түвшинтэй байгаа нь орлого нь төлөвлөж байснаас нэлээд их хэмжээгээр бага бай</w:t>
      </w:r>
      <w:r w:rsidR="002E0F55">
        <w:rPr>
          <w:rFonts w:ascii="Arial" w:hAnsi="Arial" w:cs="Arial"/>
          <w:b/>
          <w:sz w:val="20"/>
          <w:szCs w:val="20"/>
          <w:lang w:val="mn-MN"/>
        </w:rPr>
        <w:t>гаатай холбоотой</w:t>
      </w:r>
      <w:r w:rsidR="008132B2" w:rsidRPr="00352D75">
        <w:rPr>
          <w:rFonts w:ascii="Arial" w:hAnsi="Arial" w:cs="Arial"/>
          <w:b/>
          <w:sz w:val="20"/>
          <w:szCs w:val="20"/>
        </w:rPr>
        <w:t xml:space="preserve">. </w:t>
      </w:r>
      <w:r w:rsidR="001C5587">
        <w:rPr>
          <w:rFonts w:ascii="Arial" w:hAnsi="Arial" w:cs="Arial"/>
          <w:sz w:val="20"/>
          <w:szCs w:val="20"/>
          <w:lang w:val="mn-MN"/>
        </w:rPr>
        <w:t>Төсвийн зарлагы</w:t>
      </w:r>
      <w:r w:rsidR="002E0F55">
        <w:rPr>
          <w:rFonts w:ascii="Arial" w:hAnsi="Arial" w:cs="Arial"/>
          <w:sz w:val="20"/>
          <w:szCs w:val="20"/>
          <w:lang w:val="mn-MN"/>
        </w:rPr>
        <w:t>н</w:t>
      </w:r>
      <w:r w:rsidR="001C5587">
        <w:rPr>
          <w:rFonts w:ascii="Arial" w:hAnsi="Arial" w:cs="Arial"/>
          <w:sz w:val="20"/>
          <w:szCs w:val="20"/>
          <w:lang w:val="mn-MN"/>
        </w:rPr>
        <w:t xml:space="preserve"> гүйцэтгэл бага байсантай холбоотойгоор албан ёсны төсвийн тэнцэл 5 сар хүртэл ашигтай байсан боловч 6 сараас эхлэн алдагдалтай болж хувирсан. 1 дүгээр сар болон 9 сарын хооронд нийт төсвийн алдагдал нь </w:t>
      </w:r>
      <w:r w:rsidR="00EA6573">
        <w:rPr>
          <w:rFonts w:ascii="Arial" w:hAnsi="Arial" w:cs="Arial"/>
          <w:sz w:val="20"/>
          <w:szCs w:val="20"/>
        </w:rPr>
        <w:t>93</w:t>
      </w:r>
      <w:r w:rsidR="006B21A0" w:rsidRPr="00352D75">
        <w:rPr>
          <w:rFonts w:ascii="Arial" w:hAnsi="Arial" w:cs="Arial"/>
          <w:sz w:val="20"/>
          <w:szCs w:val="20"/>
        </w:rPr>
        <w:t xml:space="preserve"> </w:t>
      </w:r>
      <w:r w:rsidR="001C5587">
        <w:rPr>
          <w:rFonts w:ascii="Arial" w:hAnsi="Arial" w:cs="Arial"/>
          <w:sz w:val="20"/>
          <w:szCs w:val="20"/>
          <w:lang w:val="mn-MN"/>
        </w:rPr>
        <w:t>тэрбум төгрөг байгаа нь</w:t>
      </w:r>
      <w:r w:rsidR="006B21A0" w:rsidRPr="00352D75">
        <w:rPr>
          <w:rFonts w:ascii="Arial" w:hAnsi="Arial" w:cs="Arial"/>
          <w:sz w:val="20"/>
          <w:szCs w:val="20"/>
        </w:rPr>
        <w:t xml:space="preserve"> – </w:t>
      </w:r>
      <w:r w:rsidR="001C5587">
        <w:rPr>
          <w:rFonts w:ascii="Arial" w:hAnsi="Arial" w:cs="Arial"/>
          <w:sz w:val="20"/>
          <w:szCs w:val="20"/>
          <w:lang w:val="mn-MN"/>
        </w:rPr>
        <w:t>өмнөх оных буюу 531 тэрбум төгрөгөөс хамаагүй доогуур байна</w:t>
      </w:r>
      <w:r w:rsidR="006B21A0" w:rsidRPr="00352D75">
        <w:rPr>
          <w:rFonts w:ascii="Arial" w:hAnsi="Arial" w:cs="Arial"/>
          <w:sz w:val="20"/>
          <w:szCs w:val="20"/>
        </w:rPr>
        <w:t>.</w:t>
      </w:r>
      <w:r w:rsidR="0061657A" w:rsidRPr="00352D75">
        <w:rPr>
          <w:rFonts w:ascii="Arial" w:hAnsi="Arial" w:cs="Arial"/>
          <w:sz w:val="20"/>
          <w:szCs w:val="20"/>
        </w:rPr>
        <w:t xml:space="preserve"> </w:t>
      </w:r>
    </w:p>
    <w:p w14:paraId="39800DFD" w14:textId="5C752021" w:rsidR="00FC3530" w:rsidRDefault="001C5587" w:rsidP="00BC78C6">
      <w:pPr>
        <w:pStyle w:val="ListParagraph"/>
        <w:numPr>
          <w:ilvl w:val="0"/>
          <w:numId w:val="4"/>
        </w:numPr>
        <w:jc w:val="both"/>
        <w:rPr>
          <w:rFonts w:ascii="Arial" w:hAnsi="Arial" w:cs="Arial"/>
          <w:sz w:val="20"/>
          <w:szCs w:val="20"/>
        </w:rPr>
      </w:pPr>
      <w:r>
        <w:rPr>
          <w:rFonts w:ascii="Arial" w:hAnsi="Arial" w:cs="Arial"/>
          <w:b/>
          <w:sz w:val="20"/>
          <w:szCs w:val="20"/>
          <w:lang w:val="mn-MN"/>
        </w:rPr>
        <w:t xml:space="preserve">Өсөлт харьцангуй сайн байгаа ч төсвийн орлогын гүйцэтгэл нь таамаглаж байснаас нэлээд сул байна. </w:t>
      </w:r>
      <w:r w:rsidR="00865EB2">
        <w:rPr>
          <w:rFonts w:ascii="Arial" w:hAnsi="Arial" w:cs="Arial"/>
          <w:sz w:val="20"/>
          <w:szCs w:val="20"/>
          <w:lang w:val="mn-MN"/>
        </w:rPr>
        <w:t xml:space="preserve">Эхний 9 сарын байдлаар, нийт төсвийн орлого нь </w:t>
      </w:r>
      <w:r w:rsidR="00530ECA" w:rsidRPr="00BC78C6">
        <w:rPr>
          <w:rFonts w:ascii="Arial" w:hAnsi="Arial" w:cs="Arial"/>
          <w:sz w:val="20"/>
          <w:szCs w:val="20"/>
        </w:rPr>
        <w:t>(3.</w:t>
      </w:r>
      <w:r w:rsidR="00F042DA" w:rsidRPr="00BC78C6">
        <w:rPr>
          <w:rFonts w:ascii="Arial" w:hAnsi="Arial" w:cs="Arial"/>
          <w:sz w:val="20"/>
          <w:szCs w:val="20"/>
        </w:rPr>
        <w:t>5 </w:t>
      </w:r>
      <w:r w:rsidR="00865EB2">
        <w:rPr>
          <w:rFonts w:ascii="Arial" w:hAnsi="Arial" w:cs="Arial"/>
          <w:sz w:val="20"/>
          <w:szCs w:val="20"/>
          <w:lang w:val="mn-MN"/>
        </w:rPr>
        <w:t>их наяд төгрөг</w:t>
      </w:r>
      <w:r w:rsidR="00530ECA" w:rsidRPr="00BC78C6">
        <w:rPr>
          <w:rFonts w:ascii="Arial" w:hAnsi="Arial" w:cs="Arial"/>
          <w:sz w:val="20"/>
          <w:szCs w:val="20"/>
        </w:rPr>
        <w:t>)</w:t>
      </w:r>
      <w:r w:rsidR="00865EB2">
        <w:rPr>
          <w:rFonts w:ascii="Arial" w:hAnsi="Arial" w:cs="Arial"/>
          <w:sz w:val="20"/>
          <w:szCs w:val="20"/>
          <w:lang w:val="mn-MN"/>
        </w:rPr>
        <w:t xml:space="preserve"> төсөвлөсөн жилийн орлогын </w:t>
      </w:r>
      <w:r w:rsidR="00865EB2" w:rsidRPr="00BC78C6">
        <w:rPr>
          <w:rFonts w:ascii="Arial" w:hAnsi="Arial" w:cs="Arial"/>
          <w:sz w:val="20"/>
          <w:szCs w:val="20"/>
        </w:rPr>
        <w:t xml:space="preserve">(7.3 </w:t>
      </w:r>
      <w:r w:rsidR="00865EB2">
        <w:rPr>
          <w:rFonts w:ascii="Arial" w:hAnsi="Arial" w:cs="Arial"/>
          <w:sz w:val="20"/>
          <w:szCs w:val="20"/>
          <w:lang w:val="mn-MN"/>
        </w:rPr>
        <w:t>их наяд төгрөг</w:t>
      </w:r>
      <w:r w:rsidR="00865EB2" w:rsidRPr="00BC78C6">
        <w:rPr>
          <w:rFonts w:ascii="Arial" w:hAnsi="Arial" w:cs="Arial"/>
          <w:sz w:val="20"/>
          <w:szCs w:val="20"/>
        </w:rPr>
        <w:t>)</w:t>
      </w:r>
      <w:r w:rsidR="00865EB2">
        <w:rPr>
          <w:rFonts w:ascii="Arial" w:hAnsi="Arial" w:cs="Arial"/>
          <w:sz w:val="20"/>
          <w:szCs w:val="20"/>
          <w:lang w:val="mn-MN"/>
        </w:rPr>
        <w:t xml:space="preserve"> зөвхөн 55 хувь нь байна</w:t>
      </w:r>
      <w:r w:rsidR="00530ECA" w:rsidRPr="00BC78C6">
        <w:rPr>
          <w:rFonts w:ascii="Arial" w:hAnsi="Arial" w:cs="Arial"/>
          <w:sz w:val="20"/>
          <w:szCs w:val="20"/>
        </w:rPr>
        <w:t>.</w:t>
      </w:r>
      <w:r w:rsidR="00865EB2">
        <w:rPr>
          <w:rFonts w:ascii="Arial" w:hAnsi="Arial" w:cs="Arial"/>
          <w:sz w:val="20"/>
          <w:szCs w:val="20"/>
          <w:lang w:val="mn-MN"/>
        </w:rPr>
        <w:t xml:space="preserve"> Өнөөгийн хурдаар, жилийн төсвийн орлогын дутагдал нь төлөвлөгдсөн төсвийн орлогын 15-20 хувьд хүрэхээр байгаа бөгөөд энэ нь манай сүүлийн Монгол улсын эдийн засгийн улирлын тоймын орлогын төсөөлөлтэй ойролцоо байна. </w:t>
      </w:r>
      <w:r w:rsidR="00B6058F" w:rsidRPr="00BC78C6">
        <w:rPr>
          <w:rFonts w:ascii="Arial" w:hAnsi="Arial" w:cs="Arial"/>
          <w:sz w:val="20"/>
          <w:szCs w:val="20"/>
        </w:rPr>
        <w:t>(2013</w:t>
      </w:r>
      <w:r w:rsidR="00865EB2">
        <w:rPr>
          <w:rFonts w:ascii="Arial" w:hAnsi="Arial" w:cs="Arial"/>
          <w:sz w:val="20"/>
          <w:szCs w:val="20"/>
          <w:lang w:val="mn-MN"/>
        </w:rPr>
        <w:t xml:space="preserve"> оны 4 сар</w:t>
      </w:r>
      <w:r w:rsidR="00B6058F" w:rsidRPr="00BC78C6">
        <w:rPr>
          <w:rFonts w:ascii="Arial" w:hAnsi="Arial" w:cs="Arial"/>
          <w:sz w:val="20"/>
          <w:szCs w:val="20"/>
        </w:rPr>
        <w:t xml:space="preserve">). </w:t>
      </w:r>
      <w:r w:rsidR="00865EB2">
        <w:rPr>
          <w:rFonts w:ascii="Arial" w:hAnsi="Arial" w:cs="Arial"/>
          <w:sz w:val="20"/>
          <w:szCs w:val="20"/>
          <w:lang w:val="mn-MN"/>
        </w:rPr>
        <w:t xml:space="preserve">Орлогын дутагдал нь голдуу худалдаа болон уул уурхайтай холбоотой татварын орлогууд хүлээгдэж байснаас бага байгаатай холбоотой </w:t>
      </w:r>
      <w:r w:rsidR="003B2260">
        <w:rPr>
          <w:rFonts w:ascii="Arial" w:hAnsi="Arial" w:cs="Arial"/>
          <w:sz w:val="20"/>
          <w:szCs w:val="20"/>
        </w:rPr>
        <w:t>(</w:t>
      </w:r>
      <w:r w:rsidR="00865EB2">
        <w:rPr>
          <w:rFonts w:ascii="Arial" w:hAnsi="Arial" w:cs="Arial"/>
          <w:sz w:val="20"/>
          <w:szCs w:val="20"/>
          <w:lang w:val="mn-MN"/>
        </w:rPr>
        <w:t>Зураг</w:t>
      </w:r>
      <w:r w:rsidR="00865EB2">
        <w:rPr>
          <w:rFonts w:ascii="Arial" w:hAnsi="Arial" w:cs="Arial"/>
          <w:sz w:val="20"/>
          <w:szCs w:val="20"/>
        </w:rPr>
        <w:t xml:space="preserve"> </w:t>
      </w:r>
      <w:r w:rsidR="003B2260">
        <w:rPr>
          <w:rFonts w:ascii="Arial" w:hAnsi="Arial" w:cs="Arial"/>
          <w:sz w:val="20"/>
          <w:szCs w:val="20"/>
        </w:rPr>
        <w:t>23)</w:t>
      </w:r>
      <w:r w:rsidR="001B0B22">
        <w:rPr>
          <w:rFonts w:ascii="Arial" w:hAnsi="Arial" w:cs="Arial"/>
          <w:sz w:val="20"/>
          <w:szCs w:val="20"/>
        </w:rPr>
        <w:t>.</w:t>
      </w:r>
      <w:r w:rsidR="006B515A" w:rsidRPr="00BC78C6">
        <w:rPr>
          <w:rFonts w:ascii="Arial" w:hAnsi="Arial" w:cs="Arial"/>
          <w:noProof/>
          <w:sz w:val="20"/>
          <w:szCs w:val="20"/>
          <w:lang w:eastAsia="ko-KR"/>
        </w:rPr>
        <w:t xml:space="preserve"> </w:t>
      </w:r>
    </w:p>
    <w:tbl>
      <w:tblPr>
        <w:tblpPr w:leftFromText="180" w:rightFromText="180" w:vertAnchor="text" w:horzAnchor="margin" w:tblpXSpec="right" w:tblpY="536"/>
        <w:tblOverlap w:val="never"/>
        <w:tblW w:w="0" w:type="auto"/>
        <w:tblLook w:val="04A0" w:firstRow="1" w:lastRow="0" w:firstColumn="1" w:lastColumn="0" w:noHBand="0" w:noVBand="1"/>
      </w:tblPr>
      <w:tblGrid>
        <w:gridCol w:w="5136"/>
      </w:tblGrid>
      <w:tr w:rsidR="00BC78C6" w:rsidRPr="000A2BAB" w14:paraId="13D4C095" w14:textId="77777777" w:rsidTr="006B06B1">
        <w:trPr>
          <w:trHeight w:val="247"/>
        </w:trPr>
        <w:tc>
          <w:tcPr>
            <w:tcW w:w="5136" w:type="dxa"/>
            <w:tcBorders>
              <w:bottom w:val="single" w:sz="4" w:space="0" w:color="984806" w:themeColor="accent6" w:themeShade="80"/>
            </w:tcBorders>
          </w:tcPr>
          <w:p w14:paraId="2A5B839C" w14:textId="70CEE01A" w:rsidR="00BC78C6" w:rsidRPr="00660167" w:rsidRDefault="00BC78C6" w:rsidP="00630B23">
            <w:pPr>
              <w:pStyle w:val="Caption"/>
              <w:keepNext/>
              <w:spacing w:after="0"/>
              <w:rPr>
                <w:sz w:val="16"/>
                <w:szCs w:val="16"/>
              </w:rPr>
            </w:pPr>
            <w:r w:rsidRPr="00660167">
              <w:rPr>
                <w:color w:val="auto"/>
                <w:sz w:val="16"/>
                <w:szCs w:val="16"/>
              </w:rPr>
              <w:t xml:space="preserve"> </w:t>
            </w:r>
            <w:r w:rsidR="00151D55" w:rsidRPr="00660167">
              <w:rPr>
                <w:sz w:val="16"/>
                <w:szCs w:val="16"/>
              </w:rPr>
              <w:t xml:space="preserve"> </w:t>
            </w:r>
            <w:bookmarkStart w:id="43" w:name="_Toc371338631"/>
            <w:r w:rsidR="00865EB2">
              <w:rPr>
                <w:sz w:val="16"/>
                <w:szCs w:val="16"/>
                <w:lang w:val="mn-MN"/>
              </w:rPr>
              <w:t>Зураг</w:t>
            </w:r>
            <w:r w:rsidR="00151D55" w:rsidRPr="00660167">
              <w:rPr>
                <w:sz w:val="16"/>
                <w:szCs w:val="16"/>
              </w:rPr>
              <w:t xml:space="preserve"> </w:t>
            </w:r>
            <w:r w:rsidR="002E38E0">
              <w:rPr>
                <w:sz w:val="16"/>
                <w:szCs w:val="16"/>
              </w:rPr>
              <w:fldChar w:fldCharType="begin"/>
            </w:r>
            <w:r w:rsidR="002E38E0">
              <w:rPr>
                <w:sz w:val="16"/>
                <w:szCs w:val="16"/>
              </w:rPr>
              <w:instrText xml:space="preserve"> SEQ Figure \* ARABIC </w:instrText>
            </w:r>
            <w:r w:rsidR="002E38E0">
              <w:rPr>
                <w:sz w:val="16"/>
                <w:szCs w:val="16"/>
              </w:rPr>
              <w:fldChar w:fldCharType="separate"/>
            </w:r>
            <w:r w:rsidR="002E38E0">
              <w:rPr>
                <w:noProof/>
                <w:sz w:val="16"/>
                <w:szCs w:val="16"/>
              </w:rPr>
              <w:t>23</w:t>
            </w:r>
            <w:r w:rsidR="002E38E0">
              <w:rPr>
                <w:sz w:val="16"/>
                <w:szCs w:val="16"/>
              </w:rPr>
              <w:fldChar w:fldCharType="end"/>
            </w:r>
            <w:r w:rsidR="00151D55" w:rsidRPr="00660167">
              <w:rPr>
                <w:sz w:val="16"/>
                <w:szCs w:val="16"/>
              </w:rPr>
              <w:t xml:space="preserve">. </w:t>
            </w:r>
            <w:r w:rsidR="00865EB2">
              <w:rPr>
                <w:sz w:val="16"/>
                <w:szCs w:val="16"/>
                <w:lang w:val="mn-MN"/>
              </w:rPr>
              <w:t>Төсвийн орлогын дутагдал их байна</w:t>
            </w:r>
            <w:bookmarkEnd w:id="43"/>
          </w:p>
        </w:tc>
      </w:tr>
      <w:tr w:rsidR="00BC78C6" w:rsidRPr="000A2BAB" w14:paraId="669DDD55" w14:textId="77777777" w:rsidTr="006B06B1">
        <w:trPr>
          <w:trHeight w:val="2974"/>
        </w:trPr>
        <w:tc>
          <w:tcPr>
            <w:tcW w:w="5136" w:type="dxa"/>
            <w:tcBorders>
              <w:top w:val="single" w:sz="4" w:space="0" w:color="984806" w:themeColor="accent6" w:themeShade="80"/>
            </w:tcBorders>
          </w:tcPr>
          <w:p w14:paraId="63ECBD7D" w14:textId="59E7149E" w:rsidR="00BC78C6" w:rsidRPr="00053F7B" w:rsidRDefault="00BC78C6" w:rsidP="006B06B1">
            <w:pPr>
              <w:pStyle w:val="Caption"/>
              <w:rPr>
                <w:noProof/>
                <w:sz w:val="16"/>
                <w:lang w:eastAsia="ko-KR"/>
              </w:rPr>
            </w:pPr>
            <w:r w:rsidRPr="00053F7B">
              <w:rPr>
                <w:b w:val="0"/>
                <w:color w:val="auto"/>
                <w:sz w:val="16"/>
              </w:rPr>
              <w:t xml:space="preserve">2013 </w:t>
            </w:r>
            <w:r w:rsidR="00865EB2">
              <w:rPr>
                <w:b w:val="0"/>
                <w:color w:val="auto"/>
                <w:sz w:val="16"/>
                <w:lang w:val="mn-MN"/>
              </w:rPr>
              <w:t>оны орлогын өсөлт 2012 оны гүйцэтгэлээс</w:t>
            </w:r>
            <w:r w:rsidRPr="00053F7B">
              <w:rPr>
                <w:b w:val="0"/>
                <w:color w:val="auto"/>
                <w:sz w:val="16"/>
              </w:rPr>
              <w:t xml:space="preserve"> (%): </w:t>
            </w:r>
            <w:r w:rsidR="00E14690">
              <w:rPr>
                <w:b w:val="0"/>
                <w:color w:val="auto"/>
                <w:sz w:val="16"/>
              </w:rPr>
              <w:t>2013</w:t>
            </w:r>
            <w:r w:rsidR="00865EB2">
              <w:rPr>
                <w:b w:val="0"/>
                <w:color w:val="auto"/>
                <w:sz w:val="16"/>
                <w:lang w:val="mn-MN"/>
              </w:rPr>
              <w:t xml:space="preserve"> оны төсвийн төсөөлөл болон</w:t>
            </w:r>
            <w:r w:rsidR="00E14690">
              <w:rPr>
                <w:b w:val="0"/>
                <w:color w:val="auto"/>
                <w:sz w:val="16"/>
              </w:rPr>
              <w:t xml:space="preserve"> </w:t>
            </w:r>
            <w:r w:rsidR="00865EB2">
              <w:rPr>
                <w:b w:val="0"/>
                <w:color w:val="auto"/>
                <w:sz w:val="16"/>
                <w:lang w:val="mn-MN"/>
              </w:rPr>
              <w:t>жинхэнэ гүйцэтгэл</w:t>
            </w:r>
            <w:r w:rsidRPr="00053F7B">
              <w:rPr>
                <w:b w:val="0"/>
                <w:color w:val="auto"/>
                <w:sz w:val="16"/>
              </w:rPr>
              <w:t xml:space="preserve"> (</w:t>
            </w:r>
            <w:r w:rsidR="00865EB2">
              <w:rPr>
                <w:b w:val="0"/>
                <w:color w:val="auto"/>
                <w:sz w:val="16"/>
                <w:lang w:val="mn-MN"/>
              </w:rPr>
              <w:t>1 сараас- 9 сар</w:t>
            </w:r>
            <w:r w:rsidRPr="00053F7B">
              <w:rPr>
                <w:b w:val="0"/>
                <w:color w:val="auto"/>
                <w:sz w:val="16"/>
              </w:rPr>
              <w:t>)</w:t>
            </w:r>
          </w:p>
          <w:p w14:paraId="0C2E4871" w14:textId="4F50ADCC" w:rsidR="00BC78C6" w:rsidRPr="009F2038" w:rsidRDefault="001B0B22" w:rsidP="006B06B1">
            <w:pPr>
              <w:rPr>
                <w:sz w:val="8"/>
                <w:lang w:eastAsia="ko-KR"/>
              </w:rPr>
            </w:pPr>
            <w:r>
              <w:rPr>
                <w:noProof/>
              </w:rPr>
              <w:drawing>
                <wp:inline distT="0" distB="0" distL="0" distR="0" wp14:anchorId="65283FED" wp14:editId="55D3896B">
                  <wp:extent cx="3121270" cy="2110154"/>
                  <wp:effectExtent l="0" t="0" r="3175" b="4445"/>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c>
      </w:tr>
      <w:tr w:rsidR="00BC78C6" w:rsidRPr="000A2BAB" w14:paraId="43010E6D" w14:textId="77777777" w:rsidTr="006B06B1">
        <w:trPr>
          <w:trHeight w:val="71"/>
        </w:trPr>
        <w:tc>
          <w:tcPr>
            <w:tcW w:w="5136" w:type="dxa"/>
          </w:tcPr>
          <w:p w14:paraId="5140EE41" w14:textId="01BF9C01" w:rsidR="00BC78C6" w:rsidRPr="00660167" w:rsidRDefault="00BC78C6" w:rsidP="00660167">
            <w:pPr>
              <w:pStyle w:val="NoSpacing"/>
              <w:jc w:val="both"/>
              <w:rPr>
                <w:sz w:val="14"/>
                <w:szCs w:val="18"/>
                <w:lang w:val="mn-MN"/>
              </w:rPr>
            </w:pPr>
            <w:r>
              <w:rPr>
                <w:i/>
                <w:sz w:val="14"/>
                <w:szCs w:val="18"/>
              </w:rPr>
              <w:t xml:space="preserve">   </w:t>
            </w:r>
            <w:r w:rsidR="00667BD0">
              <w:rPr>
                <w:i/>
                <w:sz w:val="14"/>
                <w:szCs w:val="18"/>
                <w:lang w:val="mn-MN"/>
              </w:rPr>
              <w:t>Эх үүсвэр</w:t>
            </w:r>
            <w:r w:rsidRPr="000A2BAB">
              <w:rPr>
                <w:i/>
                <w:sz w:val="14"/>
                <w:szCs w:val="18"/>
              </w:rPr>
              <w:t>:</w:t>
            </w:r>
            <w:r w:rsidRPr="000A2BAB">
              <w:rPr>
                <w:sz w:val="14"/>
                <w:szCs w:val="18"/>
              </w:rPr>
              <w:t xml:space="preserve"> </w:t>
            </w:r>
            <w:r w:rsidR="00667BD0">
              <w:rPr>
                <w:sz w:val="14"/>
                <w:szCs w:val="18"/>
                <w:lang w:val="mn-MN"/>
              </w:rPr>
              <w:t>ҮСХ, ДБ мэргэжилтнүүд</w:t>
            </w:r>
          </w:p>
        </w:tc>
      </w:tr>
    </w:tbl>
    <w:p w14:paraId="6681D100" w14:textId="3256CB0A" w:rsidR="00A01CDA" w:rsidRPr="00053F7B" w:rsidRDefault="00865EB2" w:rsidP="005B7A69">
      <w:pPr>
        <w:pStyle w:val="ListParagraph"/>
        <w:numPr>
          <w:ilvl w:val="0"/>
          <w:numId w:val="4"/>
        </w:numPr>
        <w:jc w:val="both"/>
        <w:rPr>
          <w:rFonts w:ascii="Arial" w:hAnsi="Arial" w:cs="Arial"/>
          <w:sz w:val="20"/>
          <w:szCs w:val="20"/>
        </w:rPr>
      </w:pPr>
      <w:r>
        <w:rPr>
          <w:rFonts w:ascii="Arial" w:hAnsi="Arial" w:cs="Arial"/>
          <w:b/>
          <w:sz w:val="20"/>
          <w:szCs w:val="20"/>
          <w:lang w:val="mn-MN"/>
        </w:rPr>
        <w:t>Төсвийн орлогын дутагдал</w:t>
      </w:r>
      <w:r w:rsidR="002E0F55">
        <w:rPr>
          <w:rFonts w:ascii="Arial" w:hAnsi="Arial" w:cs="Arial"/>
          <w:b/>
          <w:sz w:val="20"/>
          <w:szCs w:val="20"/>
          <w:lang w:val="mn-MN"/>
        </w:rPr>
        <w:t>тай байх</w:t>
      </w:r>
      <w:r>
        <w:rPr>
          <w:rFonts w:ascii="Arial" w:hAnsi="Arial" w:cs="Arial"/>
          <w:b/>
          <w:sz w:val="20"/>
          <w:szCs w:val="20"/>
          <w:lang w:val="mn-MN"/>
        </w:rPr>
        <w:t xml:space="preserve"> нь өмнө нь таамаглагдаж байсан бөгөөд учир нь төсвийн орлогын таамаглалыг хэт өөдрөг, бодитой бус таамаглал дээр үндэслэн бэлтгэсэн байсан. </w:t>
      </w:r>
      <w:r>
        <w:rPr>
          <w:rFonts w:ascii="Arial" w:hAnsi="Arial" w:cs="Arial"/>
          <w:sz w:val="20"/>
          <w:szCs w:val="20"/>
          <w:lang w:val="mn-MN"/>
        </w:rPr>
        <w:t xml:space="preserve">2013 оны төсөв нь худалдааны талаарх хэт өөдрөг таамаглал дээр үндэслэн татварын орлогыг хэт өндрөөр тооцоолсон байсан нь импортын НӨТ болон гаалийн хураамжид ихээхэн хэмжээний дутагдал бий болоход хүргэлээ. </w:t>
      </w:r>
      <w:r w:rsidR="00A01CDA" w:rsidRPr="00053F7B">
        <w:rPr>
          <w:rFonts w:ascii="Arial" w:hAnsi="Arial" w:cs="Arial"/>
          <w:sz w:val="20"/>
          <w:szCs w:val="20"/>
        </w:rPr>
        <w:t xml:space="preserve"> </w:t>
      </w:r>
      <w:r>
        <w:rPr>
          <w:rFonts w:ascii="Arial" w:hAnsi="Arial" w:cs="Arial"/>
          <w:sz w:val="20"/>
          <w:szCs w:val="20"/>
          <w:lang w:val="mn-MN"/>
        </w:rPr>
        <w:t>Оюу толгой компаниас нэмэлт орлого</w:t>
      </w:r>
      <w:r w:rsidR="00A01CDA" w:rsidRPr="00053F7B">
        <w:rPr>
          <w:rFonts w:ascii="Arial" w:hAnsi="Arial" w:cs="Arial"/>
          <w:sz w:val="20"/>
          <w:szCs w:val="20"/>
        </w:rPr>
        <w:t xml:space="preserve"> (445 </w:t>
      </w:r>
      <w:r>
        <w:rPr>
          <w:rFonts w:ascii="Arial" w:hAnsi="Arial" w:cs="Arial"/>
          <w:sz w:val="20"/>
          <w:szCs w:val="20"/>
          <w:lang w:val="mn-MN"/>
        </w:rPr>
        <w:t>тэрбум төгрөг</w:t>
      </w:r>
      <w:r w:rsidR="00A01CDA" w:rsidRPr="00053F7B">
        <w:rPr>
          <w:rFonts w:ascii="Arial" w:hAnsi="Arial" w:cs="Arial"/>
          <w:sz w:val="20"/>
          <w:szCs w:val="20"/>
        </w:rPr>
        <w:t>)</w:t>
      </w:r>
      <w:r>
        <w:rPr>
          <w:rFonts w:ascii="Arial" w:hAnsi="Arial" w:cs="Arial"/>
          <w:sz w:val="20"/>
          <w:szCs w:val="20"/>
          <w:lang w:val="mn-MN"/>
        </w:rPr>
        <w:t xml:space="preserve"> оруулсан нь</w:t>
      </w:r>
      <w:r w:rsidR="00A01CDA" w:rsidRPr="00053F7B">
        <w:rPr>
          <w:rFonts w:ascii="Arial" w:hAnsi="Arial" w:cs="Arial"/>
          <w:sz w:val="20"/>
          <w:szCs w:val="20"/>
        </w:rPr>
        <w:t xml:space="preserve"> – </w:t>
      </w:r>
      <w:r>
        <w:rPr>
          <w:rFonts w:ascii="Arial" w:hAnsi="Arial" w:cs="Arial"/>
          <w:sz w:val="20"/>
          <w:szCs w:val="20"/>
          <w:lang w:val="mn-MN"/>
        </w:rPr>
        <w:t>төсвийг бэлтгэх явцад тодорхойгүй, маргаантай байсан нь</w:t>
      </w:r>
      <w:r w:rsidR="00645B5B" w:rsidRPr="00053F7B">
        <w:rPr>
          <w:rFonts w:ascii="Arial" w:hAnsi="Arial" w:cs="Arial"/>
          <w:sz w:val="20"/>
          <w:szCs w:val="20"/>
        </w:rPr>
        <w:t xml:space="preserve">– </w:t>
      </w:r>
      <w:r>
        <w:rPr>
          <w:rFonts w:ascii="Arial" w:hAnsi="Arial" w:cs="Arial"/>
          <w:sz w:val="20"/>
          <w:szCs w:val="20"/>
          <w:lang w:val="mn-MN"/>
        </w:rPr>
        <w:t>татварын төлбөрийг оруулаад хэд хэдэн асуудал</w:t>
      </w:r>
      <w:r w:rsidR="0074125A">
        <w:rPr>
          <w:rFonts w:ascii="Arial" w:hAnsi="Arial" w:cs="Arial"/>
          <w:sz w:val="20"/>
          <w:szCs w:val="20"/>
          <w:lang w:val="mn-MN"/>
        </w:rPr>
        <w:t xml:space="preserve"> дээр</w:t>
      </w:r>
      <w:r>
        <w:rPr>
          <w:rFonts w:ascii="Arial" w:hAnsi="Arial" w:cs="Arial"/>
          <w:sz w:val="20"/>
          <w:szCs w:val="20"/>
          <w:lang w:val="mn-MN"/>
        </w:rPr>
        <w:t xml:space="preserve"> сунжирсан хэлэлцээрийн улмаас орлогы</w:t>
      </w:r>
      <w:r w:rsidR="0074125A">
        <w:rPr>
          <w:rFonts w:ascii="Arial" w:hAnsi="Arial" w:cs="Arial"/>
          <w:sz w:val="20"/>
          <w:szCs w:val="20"/>
          <w:lang w:val="mn-MN"/>
        </w:rPr>
        <w:t>н</w:t>
      </w:r>
      <w:r>
        <w:rPr>
          <w:rFonts w:ascii="Arial" w:hAnsi="Arial" w:cs="Arial"/>
          <w:sz w:val="20"/>
          <w:szCs w:val="20"/>
          <w:lang w:val="mn-MN"/>
        </w:rPr>
        <w:t xml:space="preserve"> зайлшгүй дутагдалд хүрсэн. </w:t>
      </w:r>
    </w:p>
    <w:p w14:paraId="1D3BD11C" w14:textId="77777777" w:rsidR="0061657A" w:rsidRPr="00786D41" w:rsidRDefault="0061657A" w:rsidP="00786D41">
      <w:pPr>
        <w:pStyle w:val="ListParagraph"/>
        <w:spacing w:after="0"/>
        <w:ind w:left="0"/>
        <w:jc w:val="both"/>
        <w:rPr>
          <w:rFonts w:ascii="Arial" w:hAnsi="Arial" w:cs="Arial"/>
          <w:sz w:val="20"/>
          <w:szCs w:val="20"/>
        </w:rPr>
      </w:pPr>
    </w:p>
    <w:p w14:paraId="2AD6D9EC" w14:textId="580051DB" w:rsidR="006B06B1" w:rsidRPr="006B06B1" w:rsidRDefault="00667BD0" w:rsidP="006B06B1">
      <w:pPr>
        <w:pStyle w:val="ListParagraph"/>
        <w:numPr>
          <w:ilvl w:val="0"/>
          <w:numId w:val="4"/>
        </w:numPr>
        <w:jc w:val="both"/>
        <w:rPr>
          <w:rFonts w:ascii="Arial" w:hAnsi="Arial" w:cs="Arial"/>
          <w:sz w:val="20"/>
          <w:szCs w:val="20"/>
        </w:rPr>
      </w:pPr>
      <w:r>
        <w:rPr>
          <w:rFonts w:ascii="Arial" w:hAnsi="Arial" w:cs="Arial"/>
          <w:b/>
          <w:sz w:val="20"/>
          <w:szCs w:val="20"/>
          <w:lang w:val="mn-MN"/>
        </w:rPr>
        <w:t>Төсвийн гүйцэтгэл нь өмнөх үетэй харьцуулбал бага байгаа ч төсвийн удирдлагууд орлого сул байгаад болгоомжтой хандсан хэвээрээ байна</w:t>
      </w:r>
      <w:r w:rsidR="00C00FCE" w:rsidRPr="006B06B1">
        <w:rPr>
          <w:rFonts w:ascii="Arial" w:hAnsi="Arial" w:cs="Arial"/>
          <w:b/>
          <w:sz w:val="20"/>
          <w:szCs w:val="20"/>
        </w:rPr>
        <w:t>.</w:t>
      </w:r>
      <w:r w:rsidR="00C00FCE" w:rsidRPr="006B06B1">
        <w:rPr>
          <w:rFonts w:ascii="Arial" w:hAnsi="Arial" w:cs="Arial"/>
          <w:sz w:val="20"/>
          <w:szCs w:val="20"/>
        </w:rPr>
        <w:t xml:space="preserve"> </w:t>
      </w:r>
      <w:r>
        <w:rPr>
          <w:rFonts w:ascii="Arial" w:hAnsi="Arial" w:cs="Arial"/>
          <w:sz w:val="20"/>
          <w:szCs w:val="20"/>
          <w:lang w:val="mn-MN"/>
        </w:rPr>
        <w:t>Төсвийн илүү болгоомжилсон гүйцэтгэлтэй байгааг</w:t>
      </w:r>
      <w:r w:rsidR="00C00FCE" w:rsidRPr="006B06B1">
        <w:rPr>
          <w:rFonts w:ascii="Arial" w:hAnsi="Arial" w:cs="Arial"/>
          <w:sz w:val="20"/>
          <w:szCs w:val="20"/>
        </w:rPr>
        <w:t xml:space="preserve">: </w:t>
      </w:r>
      <w:r>
        <w:rPr>
          <w:rFonts w:ascii="Arial" w:hAnsi="Arial" w:cs="Arial"/>
          <w:sz w:val="20"/>
          <w:szCs w:val="20"/>
          <w:lang w:val="mn-MN"/>
        </w:rPr>
        <w:t>1 дүгээр сараас 9 сарын хооронд хийгдсэн хөрөнгийн зарцуулалтын гүйцэтгэлээс харж болох бөгөөд энэ нь нийт жилийн төсвийн зарцуулалтын төлөвлөгөөний 32 хувь нь байна. Мөн эхний 9 сарын байдлаар урсгал зардлын 65 хувь нь хийгдсэн байна</w:t>
      </w:r>
      <w:r w:rsidR="003B2260">
        <w:rPr>
          <w:rFonts w:ascii="Arial" w:hAnsi="Arial" w:cs="Arial"/>
          <w:sz w:val="20"/>
          <w:szCs w:val="20"/>
        </w:rPr>
        <w:t xml:space="preserve"> (</w:t>
      </w:r>
      <w:r>
        <w:rPr>
          <w:rFonts w:ascii="Arial" w:hAnsi="Arial" w:cs="Arial"/>
          <w:sz w:val="20"/>
          <w:szCs w:val="20"/>
          <w:lang w:val="mn-MN"/>
        </w:rPr>
        <w:t>Зураг</w:t>
      </w:r>
      <w:r>
        <w:rPr>
          <w:rFonts w:ascii="Arial" w:hAnsi="Arial" w:cs="Arial"/>
          <w:sz w:val="20"/>
          <w:szCs w:val="20"/>
        </w:rPr>
        <w:t xml:space="preserve"> </w:t>
      </w:r>
      <w:r w:rsidR="003B2260">
        <w:rPr>
          <w:rFonts w:ascii="Arial" w:hAnsi="Arial" w:cs="Arial"/>
          <w:sz w:val="20"/>
          <w:szCs w:val="20"/>
        </w:rPr>
        <w:t>24)</w:t>
      </w:r>
      <w:r w:rsidR="0061657A" w:rsidRPr="006B06B1">
        <w:rPr>
          <w:rFonts w:ascii="Arial" w:hAnsi="Arial" w:cs="Arial"/>
          <w:sz w:val="20"/>
          <w:szCs w:val="20"/>
        </w:rPr>
        <w:t>.</w:t>
      </w:r>
    </w:p>
    <w:p w14:paraId="5AF24D03" w14:textId="77777777" w:rsidR="008837C8" w:rsidRPr="00280CBB" w:rsidRDefault="008837C8" w:rsidP="00630B23">
      <w:pPr>
        <w:pStyle w:val="ListParagraph"/>
        <w:spacing w:after="0"/>
        <w:jc w:val="both"/>
        <w:rPr>
          <w:rFonts w:ascii="Arial" w:hAnsi="Arial" w:cs="Arial"/>
          <w:szCs w:val="20"/>
        </w:rPr>
      </w:pPr>
    </w:p>
    <w:tbl>
      <w:tblPr>
        <w:tblpPr w:leftFromText="180" w:rightFromText="180" w:vertAnchor="text" w:horzAnchor="margin" w:tblpY="169"/>
        <w:tblW w:w="0" w:type="auto"/>
        <w:tblLook w:val="04A0" w:firstRow="1" w:lastRow="0" w:firstColumn="1" w:lastColumn="0" w:noHBand="0" w:noVBand="1"/>
      </w:tblPr>
      <w:tblGrid>
        <w:gridCol w:w="3910"/>
        <w:gridCol w:w="787"/>
        <w:gridCol w:w="222"/>
        <w:gridCol w:w="4657"/>
      </w:tblGrid>
      <w:tr w:rsidR="00BC78C6" w:rsidRPr="000A2BAB" w14:paraId="3C11A7A8" w14:textId="77777777" w:rsidTr="00BC78C6">
        <w:tc>
          <w:tcPr>
            <w:tcW w:w="4697" w:type="dxa"/>
            <w:gridSpan w:val="2"/>
            <w:tcBorders>
              <w:bottom w:val="single" w:sz="4" w:space="0" w:color="984806" w:themeColor="accent6" w:themeShade="80"/>
            </w:tcBorders>
          </w:tcPr>
          <w:p w14:paraId="188AB2E7" w14:textId="3777DFDD" w:rsidR="00BC78C6" w:rsidRPr="00660167" w:rsidRDefault="00BC78C6" w:rsidP="00630B23">
            <w:pPr>
              <w:pStyle w:val="Caption"/>
              <w:spacing w:after="0"/>
              <w:rPr>
                <w:color w:val="auto"/>
                <w:sz w:val="16"/>
                <w:szCs w:val="16"/>
              </w:rPr>
            </w:pPr>
            <w:r w:rsidRPr="00B6378E">
              <w:rPr>
                <w:color w:val="auto"/>
              </w:rPr>
              <w:t xml:space="preserve"> </w:t>
            </w:r>
            <w:r w:rsidR="00151D55">
              <w:t xml:space="preserve"> </w:t>
            </w:r>
            <w:bookmarkStart w:id="44" w:name="_Toc371338632"/>
            <w:r w:rsidR="00A03EB6">
              <w:rPr>
                <w:sz w:val="16"/>
                <w:szCs w:val="16"/>
                <w:lang w:val="mn-MN"/>
              </w:rPr>
              <w:t>Зураг</w:t>
            </w:r>
            <w:r w:rsidR="00151D55" w:rsidRPr="00660167">
              <w:rPr>
                <w:sz w:val="16"/>
                <w:szCs w:val="16"/>
              </w:rPr>
              <w:t xml:space="preserve"> </w:t>
            </w:r>
            <w:r w:rsidR="002E38E0">
              <w:rPr>
                <w:sz w:val="16"/>
                <w:szCs w:val="16"/>
              </w:rPr>
              <w:fldChar w:fldCharType="begin"/>
            </w:r>
            <w:r w:rsidR="002E38E0">
              <w:rPr>
                <w:sz w:val="16"/>
                <w:szCs w:val="16"/>
              </w:rPr>
              <w:instrText xml:space="preserve"> SEQ Figure \* ARABIC </w:instrText>
            </w:r>
            <w:r w:rsidR="002E38E0">
              <w:rPr>
                <w:sz w:val="16"/>
                <w:szCs w:val="16"/>
              </w:rPr>
              <w:fldChar w:fldCharType="separate"/>
            </w:r>
            <w:r w:rsidR="002E38E0">
              <w:rPr>
                <w:noProof/>
                <w:sz w:val="16"/>
                <w:szCs w:val="16"/>
              </w:rPr>
              <w:t>24</w:t>
            </w:r>
            <w:r w:rsidR="002E38E0">
              <w:rPr>
                <w:sz w:val="16"/>
                <w:szCs w:val="16"/>
              </w:rPr>
              <w:fldChar w:fldCharType="end"/>
            </w:r>
            <w:r w:rsidR="00151D55" w:rsidRPr="00660167">
              <w:rPr>
                <w:sz w:val="16"/>
                <w:szCs w:val="16"/>
              </w:rPr>
              <w:t xml:space="preserve">. </w:t>
            </w:r>
            <w:r w:rsidR="00C645E5">
              <w:rPr>
                <w:sz w:val="16"/>
                <w:szCs w:val="16"/>
                <w:lang w:val="mn-MN"/>
              </w:rPr>
              <w:t>Төсвийн гүйцэтгэл нэлээд доогуур байна</w:t>
            </w:r>
            <w:bookmarkEnd w:id="44"/>
            <w:r w:rsidR="00C645E5" w:rsidRPr="00151D55" w:rsidDel="00151D55">
              <w:rPr>
                <w:color w:val="auto"/>
                <w:sz w:val="16"/>
                <w:szCs w:val="16"/>
              </w:rPr>
              <w:t xml:space="preserve"> </w:t>
            </w:r>
          </w:p>
        </w:tc>
        <w:tc>
          <w:tcPr>
            <w:tcW w:w="222" w:type="dxa"/>
          </w:tcPr>
          <w:p w14:paraId="1BFE146C" w14:textId="77777777" w:rsidR="00BC78C6" w:rsidRPr="00266CCE" w:rsidRDefault="00BC78C6" w:rsidP="00630B23">
            <w:pPr>
              <w:pStyle w:val="Caption"/>
              <w:spacing w:after="0"/>
              <w:jc w:val="center"/>
              <w:rPr>
                <w:color w:val="auto"/>
                <w:sz w:val="2"/>
              </w:rPr>
            </w:pPr>
          </w:p>
        </w:tc>
        <w:tc>
          <w:tcPr>
            <w:tcW w:w="4657" w:type="dxa"/>
            <w:tcBorders>
              <w:bottom w:val="single" w:sz="4" w:space="0" w:color="984806" w:themeColor="accent6" w:themeShade="80"/>
            </w:tcBorders>
          </w:tcPr>
          <w:p w14:paraId="7D62382A" w14:textId="24C4533E" w:rsidR="00BC78C6" w:rsidRPr="00660167" w:rsidRDefault="00BC78C6" w:rsidP="00630B23">
            <w:pPr>
              <w:pStyle w:val="Caption"/>
              <w:spacing w:after="0"/>
              <w:rPr>
                <w:rFonts w:ascii="Arial" w:hAnsi="Arial" w:cs="Arial"/>
                <w:noProof/>
                <w:sz w:val="16"/>
                <w:szCs w:val="16"/>
              </w:rPr>
            </w:pPr>
            <w:r w:rsidRPr="00660167">
              <w:rPr>
                <w:color w:val="auto"/>
                <w:sz w:val="16"/>
                <w:szCs w:val="16"/>
              </w:rPr>
              <w:t xml:space="preserve"> </w:t>
            </w:r>
            <w:r w:rsidR="00151D55" w:rsidRPr="00660167">
              <w:rPr>
                <w:sz w:val="16"/>
                <w:szCs w:val="16"/>
              </w:rPr>
              <w:t xml:space="preserve"> </w:t>
            </w:r>
            <w:bookmarkStart w:id="45" w:name="_Toc371338633"/>
            <w:r w:rsidR="00C645E5">
              <w:rPr>
                <w:sz w:val="16"/>
                <w:szCs w:val="16"/>
                <w:lang w:val="mn-MN"/>
              </w:rPr>
              <w:t>Зураг</w:t>
            </w:r>
            <w:r w:rsidR="00151D55" w:rsidRPr="00660167">
              <w:rPr>
                <w:sz w:val="16"/>
                <w:szCs w:val="16"/>
              </w:rPr>
              <w:t xml:space="preserve"> </w:t>
            </w:r>
            <w:r w:rsidR="002E38E0">
              <w:rPr>
                <w:sz w:val="16"/>
                <w:szCs w:val="16"/>
              </w:rPr>
              <w:fldChar w:fldCharType="begin"/>
            </w:r>
            <w:r w:rsidR="002E38E0">
              <w:rPr>
                <w:sz w:val="16"/>
                <w:szCs w:val="16"/>
              </w:rPr>
              <w:instrText xml:space="preserve"> SEQ Figure \* ARABIC </w:instrText>
            </w:r>
            <w:r w:rsidR="002E38E0">
              <w:rPr>
                <w:sz w:val="16"/>
                <w:szCs w:val="16"/>
              </w:rPr>
              <w:fldChar w:fldCharType="separate"/>
            </w:r>
            <w:r w:rsidR="002E38E0">
              <w:rPr>
                <w:noProof/>
                <w:sz w:val="16"/>
                <w:szCs w:val="16"/>
              </w:rPr>
              <w:t>25</w:t>
            </w:r>
            <w:r w:rsidR="002E38E0">
              <w:rPr>
                <w:sz w:val="16"/>
                <w:szCs w:val="16"/>
              </w:rPr>
              <w:fldChar w:fldCharType="end"/>
            </w:r>
            <w:r w:rsidR="00151D55" w:rsidRPr="00660167">
              <w:rPr>
                <w:sz w:val="16"/>
                <w:szCs w:val="16"/>
              </w:rPr>
              <w:t xml:space="preserve">. </w:t>
            </w:r>
            <w:r w:rsidR="00C645E5">
              <w:rPr>
                <w:sz w:val="16"/>
                <w:szCs w:val="16"/>
                <w:lang w:val="mn-MN"/>
              </w:rPr>
              <w:t>Албан ёсны төсвийн алдагдал мөн харьцангуй бага байна</w:t>
            </w:r>
            <w:bookmarkEnd w:id="45"/>
            <w:r w:rsidR="00C645E5" w:rsidDel="00151D55">
              <w:rPr>
                <w:color w:val="auto"/>
              </w:rPr>
              <w:t xml:space="preserve"> </w:t>
            </w:r>
          </w:p>
        </w:tc>
      </w:tr>
      <w:tr w:rsidR="00BC78C6" w:rsidRPr="000A2BAB" w14:paraId="079A2A67" w14:textId="77777777" w:rsidTr="006B06B1">
        <w:trPr>
          <w:trHeight w:val="3098"/>
        </w:trPr>
        <w:tc>
          <w:tcPr>
            <w:tcW w:w="4697" w:type="dxa"/>
            <w:gridSpan w:val="2"/>
            <w:tcBorders>
              <w:top w:val="single" w:sz="4" w:space="0" w:color="984806" w:themeColor="accent6" w:themeShade="80"/>
            </w:tcBorders>
          </w:tcPr>
          <w:p w14:paraId="0C59B060" w14:textId="1ABA49A4" w:rsidR="00BC78C6" w:rsidRPr="000A2BAB" w:rsidRDefault="00BC78C6" w:rsidP="00660167">
            <w:pPr>
              <w:pStyle w:val="NoSpacing"/>
              <w:jc w:val="both"/>
            </w:pPr>
            <w:r w:rsidRPr="00352D75">
              <w:rPr>
                <w:rFonts w:ascii="Arial" w:hAnsi="Arial" w:cs="Arial"/>
                <w:noProof/>
                <w:sz w:val="20"/>
              </w:rPr>
              <w:drawing>
                <wp:anchor distT="0" distB="0" distL="114300" distR="114300" simplePos="0" relativeHeight="251737600" behindDoc="0" locked="0" layoutInCell="1" allowOverlap="1" wp14:anchorId="4F0F3B16" wp14:editId="1715C8A1">
                  <wp:simplePos x="0" y="0"/>
                  <wp:positionH relativeFrom="column">
                    <wp:posOffset>-68580</wp:posOffset>
                  </wp:positionH>
                  <wp:positionV relativeFrom="paragraph">
                    <wp:posOffset>143510</wp:posOffset>
                  </wp:positionV>
                  <wp:extent cx="2938780" cy="1850390"/>
                  <wp:effectExtent l="0" t="0" r="0" b="0"/>
                  <wp:wrapSquare wrapText="bothSides"/>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page">
                    <wp14:pctWidth>0</wp14:pctWidth>
                  </wp14:sizeRelH>
                  <wp14:sizeRelV relativeFrom="page">
                    <wp14:pctHeight>0</wp14:pctHeight>
                  </wp14:sizeRelV>
                </wp:anchor>
              </w:drawing>
            </w:r>
            <w:r w:rsidR="00C645E5">
              <w:rPr>
                <w:sz w:val="16"/>
                <w:lang w:val="mn-MN"/>
              </w:rPr>
              <w:t>Төсвийн зарлагын гүйцэтгэлийн байдал</w:t>
            </w:r>
            <w:r>
              <w:rPr>
                <w:sz w:val="16"/>
              </w:rPr>
              <w:t xml:space="preserve"> Ration (Year to Date, %): 2012 vs. 2013</w:t>
            </w:r>
          </w:p>
        </w:tc>
        <w:tc>
          <w:tcPr>
            <w:tcW w:w="222" w:type="dxa"/>
          </w:tcPr>
          <w:p w14:paraId="67D00C45" w14:textId="77777777" w:rsidR="00BC78C6" w:rsidRDefault="00BC78C6" w:rsidP="00BC78C6">
            <w:pPr>
              <w:pStyle w:val="NoSpacing"/>
              <w:jc w:val="both"/>
              <w:rPr>
                <w:noProof/>
                <w:sz w:val="2"/>
                <w:lang w:eastAsia="ko-KR"/>
              </w:rPr>
            </w:pPr>
          </w:p>
          <w:p w14:paraId="33739227" w14:textId="77777777" w:rsidR="00BC78C6" w:rsidRPr="00266CCE" w:rsidRDefault="00BC78C6" w:rsidP="00BC78C6">
            <w:pPr>
              <w:pStyle w:val="NoSpacing"/>
              <w:jc w:val="both"/>
              <w:rPr>
                <w:noProof/>
                <w:sz w:val="2"/>
                <w:lang w:eastAsia="ko-KR"/>
              </w:rPr>
            </w:pPr>
          </w:p>
        </w:tc>
        <w:tc>
          <w:tcPr>
            <w:tcW w:w="4657" w:type="dxa"/>
            <w:tcBorders>
              <w:top w:val="single" w:sz="4" w:space="0" w:color="984806" w:themeColor="accent6" w:themeShade="80"/>
            </w:tcBorders>
          </w:tcPr>
          <w:p w14:paraId="73BAA8E6" w14:textId="147D27C2" w:rsidR="00BC78C6" w:rsidRDefault="00C645E5" w:rsidP="00BC78C6">
            <w:pPr>
              <w:pStyle w:val="NoSpacing"/>
              <w:jc w:val="both"/>
              <w:rPr>
                <w:sz w:val="16"/>
                <w:szCs w:val="18"/>
                <w:lang w:eastAsia="ko-KR"/>
              </w:rPr>
            </w:pPr>
            <w:r>
              <w:rPr>
                <w:sz w:val="16"/>
                <w:szCs w:val="18"/>
                <w:lang w:val="mn-MN"/>
              </w:rPr>
              <w:t>Сар бүрийн төсвийн гүйцэтгэл</w:t>
            </w:r>
            <w:r w:rsidR="00BC78C6">
              <w:rPr>
                <w:sz w:val="16"/>
                <w:szCs w:val="18"/>
              </w:rPr>
              <w:t xml:space="preserve"> (</w:t>
            </w:r>
            <w:r>
              <w:rPr>
                <w:sz w:val="16"/>
                <w:szCs w:val="18"/>
                <w:lang w:val="mn-MN"/>
              </w:rPr>
              <w:t>жилийн эхнээс</w:t>
            </w:r>
            <w:r w:rsidR="00BC78C6">
              <w:rPr>
                <w:sz w:val="16"/>
                <w:szCs w:val="18"/>
              </w:rPr>
              <w:t xml:space="preserve">, </w:t>
            </w:r>
            <w:r>
              <w:rPr>
                <w:sz w:val="16"/>
                <w:szCs w:val="18"/>
                <w:lang w:val="mn-MN"/>
              </w:rPr>
              <w:t>тэрбум төгрөгөөр</w:t>
            </w:r>
            <w:r w:rsidR="00BC78C6">
              <w:rPr>
                <w:sz w:val="16"/>
                <w:szCs w:val="18"/>
              </w:rPr>
              <w:t xml:space="preserve">) </w:t>
            </w:r>
          </w:p>
          <w:p w14:paraId="5AEE6B60" w14:textId="605E5A1E" w:rsidR="00BC78C6" w:rsidRPr="000A2BAB" w:rsidRDefault="00BC78C6" w:rsidP="00BC78C6">
            <w:pPr>
              <w:pStyle w:val="NoSpacing"/>
              <w:jc w:val="both"/>
              <w:rPr>
                <w:lang w:eastAsia="ko-KR"/>
              </w:rPr>
            </w:pPr>
            <w:r w:rsidRPr="00352D75">
              <w:rPr>
                <w:rFonts w:ascii="Arial" w:hAnsi="Arial" w:cs="Arial"/>
                <w:b/>
                <w:noProof/>
                <w:sz w:val="20"/>
              </w:rPr>
              <w:drawing>
                <wp:anchor distT="0" distB="0" distL="114300" distR="114300" simplePos="0" relativeHeight="251736576" behindDoc="0" locked="0" layoutInCell="1" allowOverlap="1" wp14:anchorId="2AA25159" wp14:editId="1EB41228">
                  <wp:simplePos x="0" y="0"/>
                  <wp:positionH relativeFrom="column">
                    <wp:posOffset>-56515</wp:posOffset>
                  </wp:positionH>
                  <wp:positionV relativeFrom="paragraph">
                    <wp:posOffset>41910</wp:posOffset>
                  </wp:positionV>
                  <wp:extent cx="2917190" cy="1774190"/>
                  <wp:effectExtent l="0" t="0" r="0" b="0"/>
                  <wp:wrapSquare wrapText="bothSides"/>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page">
                    <wp14:pctWidth>0</wp14:pctWidth>
                  </wp14:sizeRelH>
                  <wp14:sizeRelV relativeFrom="page">
                    <wp14:pctHeight>0</wp14:pctHeight>
                  </wp14:sizeRelV>
                </wp:anchor>
              </w:drawing>
            </w:r>
          </w:p>
        </w:tc>
      </w:tr>
      <w:tr w:rsidR="00BC78C6" w:rsidRPr="000A2BAB" w14:paraId="63D0746C" w14:textId="77777777" w:rsidTr="006B06B1">
        <w:trPr>
          <w:trHeight w:val="75"/>
        </w:trPr>
        <w:tc>
          <w:tcPr>
            <w:tcW w:w="3873" w:type="dxa"/>
          </w:tcPr>
          <w:p w14:paraId="405973CE" w14:textId="47FA1AAA" w:rsidR="00BC78C6" w:rsidRPr="000A2BAB" w:rsidRDefault="00C645E5" w:rsidP="00BC78C6">
            <w:pPr>
              <w:pStyle w:val="NoSpacing"/>
              <w:jc w:val="both"/>
              <w:rPr>
                <w:sz w:val="14"/>
                <w:szCs w:val="18"/>
              </w:rPr>
            </w:pPr>
            <w:r>
              <w:rPr>
                <w:i/>
                <w:sz w:val="14"/>
                <w:szCs w:val="18"/>
                <w:lang w:val="mn-MN"/>
              </w:rPr>
              <w:t>Эх үүсвэр</w:t>
            </w:r>
            <w:r w:rsidRPr="000A2BAB">
              <w:rPr>
                <w:i/>
                <w:sz w:val="14"/>
                <w:szCs w:val="18"/>
              </w:rPr>
              <w:t>:</w:t>
            </w:r>
            <w:r w:rsidRPr="000A2BAB">
              <w:rPr>
                <w:sz w:val="14"/>
                <w:szCs w:val="18"/>
              </w:rPr>
              <w:t xml:space="preserve"> </w:t>
            </w:r>
            <w:r>
              <w:rPr>
                <w:sz w:val="14"/>
                <w:szCs w:val="18"/>
                <w:lang w:val="mn-MN"/>
              </w:rPr>
              <w:t>ҮСХ эмхэтгэл, ДБ-ны мэргэжилтнүүдийн тооцоо</w:t>
            </w:r>
          </w:p>
        </w:tc>
        <w:tc>
          <w:tcPr>
            <w:tcW w:w="824" w:type="dxa"/>
          </w:tcPr>
          <w:p w14:paraId="42BC7D21" w14:textId="77777777" w:rsidR="00BC78C6" w:rsidRPr="00266CCE" w:rsidRDefault="00BC78C6" w:rsidP="00BC78C6">
            <w:pPr>
              <w:pStyle w:val="NoSpacing"/>
              <w:jc w:val="both"/>
              <w:rPr>
                <w:i/>
                <w:sz w:val="2"/>
                <w:szCs w:val="18"/>
              </w:rPr>
            </w:pPr>
          </w:p>
        </w:tc>
        <w:tc>
          <w:tcPr>
            <w:tcW w:w="4879" w:type="dxa"/>
            <w:gridSpan w:val="2"/>
          </w:tcPr>
          <w:p w14:paraId="541925EA" w14:textId="77777777" w:rsidR="00BC78C6" w:rsidRPr="000A2BAB" w:rsidRDefault="00BC78C6" w:rsidP="00BC78C6">
            <w:pPr>
              <w:pStyle w:val="NoSpacing"/>
              <w:jc w:val="both"/>
              <w:rPr>
                <w:sz w:val="14"/>
              </w:rPr>
            </w:pPr>
          </w:p>
        </w:tc>
      </w:tr>
    </w:tbl>
    <w:p w14:paraId="44212D80" w14:textId="77777777" w:rsidR="006B06B1" w:rsidRPr="00FD523B" w:rsidRDefault="006B06B1" w:rsidP="00707402">
      <w:pPr>
        <w:jc w:val="both"/>
        <w:rPr>
          <w:rFonts w:ascii="Arial" w:hAnsi="Arial" w:cs="Arial"/>
          <w:b/>
          <w:sz w:val="10"/>
          <w:szCs w:val="20"/>
        </w:rPr>
      </w:pPr>
    </w:p>
    <w:p w14:paraId="31FEAF26" w14:textId="206D01AC" w:rsidR="00905C45" w:rsidRDefault="00C645E5" w:rsidP="00905C45">
      <w:pPr>
        <w:jc w:val="both"/>
        <w:rPr>
          <w:rFonts w:ascii="Arial" w:hAnsi="Arial" w:cs="Arial"/>
          <w:sz w:val="20"/>
          <w:szCs w:val="20"/>
        </w:rPr>
      </w:pPr>
      <w:r>
        <w:rPr>
          <w:rFonts w:ascii="Arial" w:hAnsi="Arial" w:cs="Arial"/>
          <w:b/>
          <w:sz w:val="20"/>
          <w:szCs w:val="20"/>
          <w:lang w:val="mn-MN"/>
        </w:rPr>
        <w:t>Төсвийн орлогын ихээхэн хомсдолтой байгаатай уялдуулж, Засгийн газраас төсвий</w:t>
      </w:r>
      <w:r w:rsidR="0074125A">
        <w:rPr>
          <w:rFonts w:ascii="Arial" w:hAnsi="Arial" w:cs="Arial"/>
          <w:b/>
          <w:sz w:val="20"/>
          <w:szCs w:val="20"/>
          <w:lang w:val="mn-MN"/>
        </w:rPr>
        <w:t>г</w:t>
      </w:r>
      <w:r>
        <w:rPr>
          <w:rFonts w:ascii="Arial" w:hAnsi="Arial" w:cs="Arial"/>
          <w:b/>
          <w:sz w:val="20"/>
          <w:szCs w:val="20"/>
          <w:lang w:val="mn-MN"/>
        </w:rPr>
        <w:t xml:space="preserve"> </w:t>
      </w:r>
      <w:r w:rsidR="0074125A">
        <w:rPr>
          <w:rFonts w:ascii="Arial" w:hAnsi="Arial" w:cs="Arial"/>
          <w:b/>
          <w:sz w:val="20"/>
          <w:szCs w:val="20"/>
          <w:lang w:val="mn-MN"/>
        </w:rPr>
        <w:t xml:space="preserve">сайжруулах </w:t>
      </w:r>
      <w:r>
        <w:rPr>
          <w:rFonts w:ascii="Arial" w:hAnsi="Arial" w:cs="Arial"/>
          <w:b/>
          <w:sz w:val="20"/>
          <w:szCs w:val="20"/>
          <w:lang w:val="mn-MN"/>
        </w:rPr>
        <w:t xml:space="preserve">төлөвлөгөөг зарласан бөгөөд Төсвийн тогтвортой байдлын тухай хуулийн </w:t>
      </w:r>
      <w:r>
        <w:rPr>
          <w:rFonts w:ascii="Arial" w:hAnsi="Arial" w:cs="Arial"/>
          <w:b/>
          <w:sz w:val="20"/>
          <w:szCs w:val="20"/>
        </w:rPr>
        <w:t>(</w:t>
      </w:r>
      <w:r>
        <w:rPr>
          <w:rFonts w:ascii="Arial" w:hAnsi="Arial" w:cs="Arial"/>
          <w:b/>
          <w:sz w:val="20"/>
          <w:szCs w:val="20"/>
          <w:lang w:val="mn-MN"/>
        </w:rPr>
        <w:t>ТТБТХ</w:t>
      </w:r>
      <w:r>
        <w:rPr>
          <w:rFonts w:ascii="Arial" w:hAnsi="Arial" w:cs="Arial"/>
          <w:b/>
          <w:sz w:val="20"/>
          <w:szCs w:val="20"/>
        </w:rPr>
        <w:t>)</w:t>
      </w:r>
      <w:r>
        <w:rPr>
          <w:rFonts w:ascii="Arial" w:hAnsi="Arial" w:cs="Arial"/>
          <w:b/>
          <w:sz w:val="20"/>
          <w:szCs w:val="20"/>
          <w:lang w:val="mn-MN"/>
        </w:rPr>
        <w:t xml:space="preserve"> бүтцийн алдагдлын ДНБ-ий хоёр хувьд хүргэх шаардлагыг хангах зорилгоор 10 дугаар сард 2013 оны төсөвт тодотгол хийгдсэн. </w:t>
      </w:r>
      <w:r w:rsidR="00A06BB1">
        <w:rPr>
          <w:rFonts w:ascii="Arial" w:hAnsi="Arial" w:cs="Arial"/>
          <w:sz w:val="20"/>
          <w:szCs w:val="20"/>
          <w:lang w:val="mn-MN"/>
        </w:rPr>
        <w:t>Төсвийн бүтцийн алдагдлын хоёр хувийн зорилтыг биелүүлэхийн тулд дараах арга хэмжээг авч хэрэгжүүлнэ</w:t>
      </w:r>
      <w:r w:rsidR="00905C45">
        <w:rPr>
          <w:rFonts w:ascii="Arial" w:hAnsi="Arial" w:cs="Arial"/>
          <w:sz w:val="20"/>
          <w:szCs w:val="20"/>
        </w:rPr>
        <w:t>:</w:t>
      </w:r>
    </w:p>
    <w:p w14:paraId="36140BA5" w14:textId="60935D93" w:rsidR="00576DC2" w:rsidRPr="00110C46" w:rsidRDefault="009050CC" w:rsidP="00576DC2">
      <w:pPr>
        <w:pStyle w:val="ListParagraph"/>
        <w:numPr>
          <w:ilvl w:val="0"/>
          <w:numId w:val="22"/>
        </w:numPr>
        <w:jc w:val="both"/>
        <w:rPr>
          <w:rFonts w:ascii="Arial" w:hAnsi="Arial" w:cs="Arial"/>
          <w:b/>
          <w:sz w:val="20"/>
          <w:szCs w:val="20"/>
        </w:rPr>
      </w:pPr>
      <w:r>
        <w:rPr>
          <w:rFonts w:ascii="Arial" w:hAnsi="Arial" w:cs="Arial"/>
          <w:b/>
          <w:sz w:val="20"/>
          <w:szCs w:val="20"/>
          <w:lang w:val="mn-MN"/>
        </w:rPr>
        <w:t>Нэмэлт өөрчлөлт орсон төсөвт орлогын дутагдлыг 1.1 их наядад хүрнэ гэж таамагласан</w:t>
      </w:r>
      <w:r w:rsidR="00576DC2">
        <w:rPr>
          <w:rFonts w:ascii="Arial" w:hAnsi="Arial" w:cs="Arial"/>
          <w:b/>
          <w:sz w:val="20"/>
          <w:szCs w:val="20"/>
        </w:rPr>
        <w:t xml:space="preserve"> </w:t>
      </w:r>
      <w:r w:rsidR="00905C45" w:rsidRPr="00110C46">
        <w:rPr>
          <w:rFonts w:ascii="Arial" w:hAnsi="Arial" w:cs="Arial"/>
          <w:b/>
          <w:sz w:val="20"/>
          <w:szCs w:val="20"/>
        </w:rPr>
        <w:t>(</w:t>
      </w:r>
      <w:r>
        <w:rPr>
          <w:rFonts w:ascii="Arial" w:hAnsi="Arial" w:cs="Arial"/>
          <w:b/>
          <w:sz w:val="20"/>
          <w:szCs w:val="20"/>
          <w:lang w:val="mn-MN"/>
        </w:rPr>
        <w:t>анхны таамаглалын 1</w:t>
      </w:r>
      <w:r w:rsidR="00576DC2">
        <w:rPr>
          <w:rFonts w:ascii="Arial" w:hAnsi="Arial" w:cs="Arial"/>
          <w:b/>
          <w:sz w:val="20"/>
          <w:szCs w:val="20"/>
        </w:rPr>
        <w:t>4</w:t>
      </w:r>
      <w:r>
        <w:rPr>
          <w:rFonts w:ascii="Arial" w:hAnsi="Arial" w:cs="Arial"/>
          <w:b/>
          <w:sz w:val="20"/>
          <w:szCs w:val="20"/>
          <w:lang w:val="mn-MN"/>
        </w:rPr>
        <w:t xml:space="preserve"> хувь</w:t>
      </w:r>
      <w:r w:rsidR="00905C45" w:rsidRPr="00110C46">
        <w:rPr>
          <w:rFonts w:ascii="Arial" w:hAnsi="Arial" w:cs="Arial"/>
          <w:b/>
          <w:sz w:val="20"/>
          <w:szCs w:val="20"/>
        </w:rPr>
        <w:t>).</w:t>
      </w:r>
      <w:r w:rsidR="00905C45" w:rsidRPr="00110C46">
        <w:rPr>
          <w:rFonts w:ascii="Arial" w:hAnsi="Arial" w:cs="Arial"/>
          <w:sz w:val="20"/>
          <w:szCs w:val="20"/>
        </w:rPr>
        <w:t xml:space="preserve"> </w:t>
      </w:r>
      <w:r w:rsidR="002C08C1">
        <w:rPr>
          <w:rFonts w:ascii="Arial" w:hAnsi="Arial" w:cs="Arial"/>
          <w:sz w:val="20"/>
          <w:szCs w:val="20"/>
          <w:lang w:val="mn-MN"/>
        </w:rPr>
        <w:t xml:space="preserve">Нэмэлт өөрчлөлт орсон төсвийн төлөвлөгөөгөөр орлогын 920 тэрбумын дутагдлыг янз бүрийн эх үүсвэрээс нэмэлт татварын эх үүсвэр бүрдүүлэх замаар </w:t>
      </w:r>
      <w:r w:rsidR="0074125A">
        <w:rPr>
          <w:rFonts w:ascii="Arial" w:hAnsi="Arial" w:cs="Arial"/>
          <w:sz w:val="20"/>
          <w:szCs w:val="20"/>
          <w:lang w:val="mn-MN"/>
        </w:rPr>
        <w:t>бүрдүүлэх</w:t>
      </w:r>
      <w:r w:rsidR="0074125A">
        <w:rPr>
          <w:rFonts w:ascii="Arial" w:hAnsi="Arial" w:cs="Arial"/>
          <w:sz w:val="20"/>
          <w:szCs w:val="20"/>
        </w:rPr>
        <w:t xml:space="preserve"> </w:t>
      </w:r>
      <w:r w:rsidR="00C4651C">
        <w:rPr>
          <w:rFonts w:ascii="Arial" w:hAnsi="Arial" w:cs="Arial"/>
          <w:sz w:val="20"/>
          <w:szCs w:val="20"/>
        </w:rPr>
        <w:t>(</w:t>
      </w:r>
      <w:r w:rsidR="002C08C1">
        <w:rPr>
          <w:rFonts w:ascii="Arial" w:hAnsi="Arial" w:cs="Arial"/>
          <w:sz w:val="20"/>
          <w:szCs w:val="20"/>
          <w:lang w:val="mn-MN"/>
        </w:rPr>
        <w:t>жишээ нь онцгой албан татвар, хөрөнгийн татвар, болон нийгмийн даатгалын шимэтгэл</w:t>
      </w:r>
      <w:r w:rsidR="00C4651C">
        <w:rPr>
          <w:rFonts w:ascii="Arial" w:hAnsi="Arial" w:cs="Arial"/>
          <w:sz w:val="20"/>
          <w:szCs w:val="20"/>
        </w:rPr>
        <w:t>).</w:t>
      </w:r>
    </w:p>
    <w:p w14:paraId="19E0CD81" w14:textId="77777777" w:rsidR="00905C45" w:rsidRPr="00FD523B" w:rsidRDefault="00905C45" w:rsidP="002E44D1">
      <w:pPr>
        <w:pStyle w:val="ListParagraph"/>
        <w:jc w:val="both"/>
        <w:rPr>
          <w:rFonts w:ascii="Arial" w:hAnsi="Arial" w:cs="Arial"/>
          <w:b/>
          <w:sz w:val="12"/>
          <w:szCs w:val="20"/>
        </w:rPr>
      </w:pPr>
    </w:p>
    <w:p w14:paraId="7E3155F2" w14:textId="29C398D2" w:rsidR="00032738" w:rsidRPr="00352D75" w:rsidRDefault="002C08C1" w:rsidP="005B7A69">
      <w:pPr>
        <w:pStyle w:val="ListParagraph"/>
        <w:numPr>
          <w:ilvl w:val="0"/>
          <w:numId w:val="5"/>
        </w:numPr>
        <w:jc w:val="both"/>
        <w:rPr>
          <w:rFonts w:ascii="Arial" w:hAnsi="Arial" w:cs="Arial"/>
          <w:sz w:val="20"/>
          <w:szCs w:val="20"/>
        </w:rPr>
      </w:pPr>
      <w:r>
        <w:rPr>
          <w:rFonts w:ascii="Arial" w:hAnsi="Arial" w:cs="Arial"/>
          <w:b/>
          <w:sz w:val="20"/>
          <w:szCs w:val="20"/>
          <w:lang w:val="mn-MN"/>
        </w:rPr>
        <w:t>Төсвийн зарлагыг 10.9 хувиар бууруулах</w:t>
      </w:r>
      <w:r w:rsidR="007570BB">
        <w:rPr>
          <w:rFonts w:ascii="Arial" w:hAnsi="Arial" w:cs="Arial"/>
          <w:b/>
          <w:sz w:val="20"/>
          <w:szCs w:val="20"/>
        </w:rPr>
        <w:t xml:space="preserve"> (</w:t>
      </w:r>
      <w:r w:rsidR="00285853">
        <w:rPr>
          <w:rFonts w:ascii="Arial" w:hAnsi="Arial" w:cs="Arial"/>
          <w:b/>
          <w:sz w:val="20"/>
          <w:szCs w:val="20"/>
        </w:rPr>
        <w:t>814</w:t>
      </w:r>
      <w:r w:rsidR="00032738" w:rsidRPr="00352D75">
        <w:rPr>
          <w:rFonts w:ascii="Arial" w:hAnsi="Arial" w:cs="Arial"/>
          <w:b/>
          <w:sz w:val="20"/>
          <w:szCs w:val="20"/>
        </w:rPr>
        <w:t xml:space="preserve"> </w:t>
      </w:r>
      <w:r>
        <w:rPr>
          <w:rFonts w:ascii="Arial" w:hAnsi="Arial" w:cs="Arial"/>
          <w:b/>
          <w:sz w:val="20"/>
          <w:szCs w:val="20"/>
          <w:lang w:val="mn-MN"/>
        </w:rPr>
        <w:t>тэрбум төгрөг</w:t>
      </w:r>
      <w:r w:rsidR="007570BB">
        <w:rPr>
          <w:rFonts w:ascii="Arial" w:hAnsi="Arial" w:cs="Arial"/>
          <w:b/>
          <w:sz w:val="20"/>
          <w:szCs w:val="20"/>
        </w:rPr>
        <w:t>)</w:t>
      </w:r>
      <w:r w:rsidR="00032738" w:rsidRPr="00352D75">
        <w:rPr>
          <w:rFonts w:ascii="Arial" w:hAnsi="Arial" w:cs="Arial"/>
          <w:b/>
          <w:sz w:val="20"/>
          <w:szCs w:val="20"/>
        </w:rPr>
        <w:t>.</w:t>
      </w:r>
      <w:r w:rsidR="00032738" w:rsidRPr="00352D75">
        <w:rPr>
          <w:rFonts w:ascii="Arial" w:hAnsi="Arial" w:cs="Arial"/>
          <w:sz w:val="20"/>
          <w:szCs w:val="20"/>
        </w:rPr>
        <w:t xml:space="preserve"> </w:t>
      </w:r>
      <w:r>
        <w:rPr>
          <w:rFonts w:ascii="Arial" w:hAnsi="Arial" w:cs="Arial"/>
          <w:sz w:val="20"/>
          <w:szCs w:val="20"/>
          <w:lang w:val="mn-MN"/>
        </w:rPr>
        <w:t>Хөрөнгийн зардлыг 620 тэрбум төгрөгөөр бууруулах</w:t>
      </w:r>
      <w:r w:rsidR="00157149">
        <w:rPr>
          <w:rFonts w:ascii="Arial" w:hAnsi="Arial" w:cs="Arial"/>
          <w:sz w:val="20"/>
          <w:szCs w:val="20"/>
        </w:rPr>
        <w:t>:</w:t>
      </w:r>
      <w:r w:rsidR="00EA6E77" w:rsidRPr="00352D75">
        <w:rPr>
          <w:rFonts w:ascii="Arial" w:hAnsi="Arial" w:cs="Arial"/>
          <w:sz w:val="20"/>
          <w:szCs w:val="20"/>
        </w:rPr>
        <w:t xml:space="preserve"> </w:t>
      </w:r>
      <w:r w:rsidR="00157149">
        <w:rPr>
          <w:rFonts w:ascii="Arial" w:hAnsi="Arial" w:cs="Arial"/>
          <w:sz w:val="20"/>
          <w:szCs w:val="20"/>
        </w:rPr>
        <w:t xml:space="preserve">(i) </w:t>
      </w:r>
      <w:r>
        <w:rPr>
          <w:rFonts w:ascii="Arial" w:hAnsi="Arial" w:cs="Arial"/>
          <w:sz w:val="20"/>
          <w:szCs w:val="20"/>
          <w:lang w:val="mn-MN"/>
        </w:rPr>
        <w:t xml:space="preserve">мэдэгдэхүйц дэвшил гаргаагүй улсын хөрөнгө оруулалтын төслүүдийг зогсоож </w:t>
      </w:r>
      <w:r w:rsidR="00285853">
        <w:rPr>
          <w:rFonts w:ascii="Arial" w:hAnsi="Arial" w:cs="Arial"/>
          <w:sz w:val="20"/>
          <w:szCs w:val="20"/>
        </w:rPr>
        <w:t>459</w:t>
      </w:r>
      <w:r>
        <w:rPr>
          <w:rFonts w:ascii="Arial" w:hAnsi="Arial" w:cs="Arial"/>
          <w:sz w:val="20"/>
          <w:szCs w:val="20"/>
          <w:lang w:val="mn-MN"/>
        </w:rPr>
        <w:t xml:space="preserve"> тэрбум төгрөг</w:t>
      </w:r>
      <w:r w:rsidR="00C4651C">
        <w:rPr>
          <w:rFonts w:ascii="Arial" w:hAnsi="Arial" w:cs="Arial"/>
          <w:sz w:val="20"/>
          <w:szCs w:val="20"/>
        </w:rPr>
        <w:t>;</w:t>
      </w:r>
      <w:r w:rsidR="00157149">
        <w:rPr>
          <w:rFonts w:ascii="Arial" w:hAnsi="Arial" w:cs="Arial"/>
          <w:sz w:val="20"/>
          <w:szCs w:val="20"/>
        </w:rPr>
        <w:t xml:space="preserve"> (ii)</w:t>
      </w:r>
      <w:r w:rsidR="00285853">
        <w:rPr>
          <w:rFonts w:ascii="Arial" w:hAnsi="Arial" w:cs="Arial"/>
          <w:sz w:val="20"/>
          <w:szCs w:val="20"/>
        </w:rPr>
        <w:t xml:space="preserve"> </w:t>
      </w:r>
      <w:r>
        <w:rPr>
          <w:rFonts w:ascii="Arial" w:hAnsi="Arial" w:cs="Arial"/>
          <w:sz w:val="20"/>
          <w:szCs w:val="20"/>
          <w:lang w:val="mn-MN"/>
        </w:rPr>
        <w:t>гадаадын зээлээр санхүүжигдэх байсан ч хойшлогдсон 1</w:t>
      </w:r>
      <w:r w:rsidR="00285853">
        <w:rPr>
          <w:rFonts w:ascii="Arial" w:hAnsi="Arial" w:cs="Arial"/>
          <w:sz w:val="20"/>
          <w:szCs w:val="20"/>
        </w:rPr>
        <w:t xml:space="preserve">56 </w:t>
      </w:r>
      <w:r>
        <w:rPr>
          <w:rFonts w:ascii="Arial" w:hAnsi="Arial" w:cs="Arial"/>
          <w:sz w:val="20"/>
          <w:szCs w:val="20"/>
          <w:lang w:val="mn-MN"/>
        </w:rPr>
        <w:t>тэрбум</w:t>
      </w:r>
      <w:r w:rsidR="0074125A">
        <w:rPr>
          <w:rFonts w:ascii="Arial" w:hAnsi="Arial" w:cs="Arial"/>
          <w:sz w:val="20"/>
          <w:szCs w:val="20"/>
          <w:lang w:val="mn-MN"/>
        </w:rPr>
        <w:t>ы</w:t>
      </w:r>
      <w:r>
        <w:rPr>
          <w:rFonts w:ascii="Arial" w:hAnsi="Arial" w:cs="Arial"/>
          <w:sz w:val="20"/>
          <w:szCs w:val="20"/>
          <w:lang w:val="mn-MN"/>
        </w:rPr>
        <w:t>н төслийг</w:t>
      </w:r>
      <w:r w:rsidR="00C4651C">
        <w:rPr>
          <w:rFonts w:ascii="Arial" w:hAnsi="Arial" w:cs="Arial"/>
          <w:sz w:val="20"/>
          <w:szCs w:val="20"/>
        </w:rPr>
        <w:t>;</w:t>
      </w:r>
      <w:r w:rsidR="00157149">
        <w:rPr>
          <w:rFonts w:ascii="Arial" w:hAnsi="Arial" w:cs="Arial"/>
          <w:sz w:val="20"/>
          <w:szCs w:val="20"/>
        </w:rPr>
        <w:t xml:space="preserve"> </w:t>
      </w:r>
      <w:r>
        <w:rPr>
          <w:rFonts w:ascii="Arial" w:hAnsi="Arial" w:cs="Arial"/>
          <w:sz w:val="20"/>
          <w:szCs w:val="20"/>
          <w:lang w:val="mn-MN"/>
        </w:rPr>
        <w:t>мөн</w:t>
      </w:r>
      <w:r>
        <w:rPr>
          <w:rFonts w:ascii="Arial" w:hAnsi="Arial" w:cs="Arial"/>
          <w:sz w:val="20"/>
          <w:szCs w:val="20"/>
        </w:rPr>
        <w:t xml:space="preserve"> </w:t>
      </w:r>
      <w:r w:rsidR="00157149">
        <w:rPr>
          <w:rFonts w:ascii="Arial" w:hAnsi="Arial" w:cs="Arial"/>
          <w:sz w:val="20"/>
          <w:szCs w:val="20"/>
        </w:rPr>
        <w:t xml:space="preserve">(iii) </w:t>
      </w:r>
      <w:r>
        <w:rPr>
          <w:rFonts w:ascii="Arial" w:hAnsi="Arial" w:cs="Arial"/>
          <w:sz w:val="20"/>
          <w:szCs w:val="20"/>
          <w:lang w:val="mn-MN"/>
        </w:rPr>
        <w:t>засвар үйлчилгээний зардалд 5 тэрбум төгрөгийг</w:t>
      </w:r>
      <w:r w:rsidR="00157149">
        <w:rPr>
          <w:rFonts w:ascii="Arial" w:hAnsi="Arial" w:cs="Arial"/>
          <w:sz w:val="20"/>
          <w:szCs w:val="20"/>
        </w:rPr>
        <w:t xml:space="preserve">. </w:t>
      </w:r>
      <w:r>
        <w:rPr>
          <w:rFonts w:ascii="Arial" w:hAnsi="Arial" w:cs="Arial"/>
          <w:sz w:val="20"/>
          <w:szCs w:val="20"/>
          <w:lang w:val="mn-MN"/>
        </w:rPr>
        <w:t xml:space="preserve">Нэмэлт </w:t>
      </w:r>
      <w:r w:rsidR="00157149">
        <w:rPr>
          <w:rFonts w:ascii="Arial" w:hAnsi="Arial" w:cs="Arial"/>
          <w:sz w:val="20"/>
          <w:szCs w:val="20"/>
        </w:rPr>
        <w:t>234</w:t>
      </w:r>
      <w:r w:rsidR="0014521B" w:rsidRPr="00352D75">
        <w:rPr>
          <w:rFonts w:ascii="Arial" w:hAnsi="Arial" w:cs="Arial"/>
          <w:sz w:val="20"/>
          <w:szCs w:val="20"/>
        </w:rPr>
        <w:t xml:space="preserve"> </w:t>
      </w:r>
      <w:r>
        <w:rPr>
          <w:rFonts w:ascii="Arial" w:hAnsi="Arial" w:cs="Arial"/>
          <w:sz w:val="20"/>
          <w:szCs w:val="20"/>
          <w:lang w:val="mn-MN"/>
        </w:rPr>
        <w:t xml:space="preserve">тэрбум төгрөгийг үйл ажиллагааны зардлыг танах, хойшлогдсон гадаад өрийн зээлийн хүүгийн төлбөрийг бууруулах замаар багасгана. Зардлыг бууруулах хэмжээ нь төсвийн анхны </w:t>
      </w:r>
      <w:r w:rsidR="0074125A">
        <w:rPr>
          <w:rFonts w:ascii="Arial" w:hAnsi="Arial" w:cs="Arial"/>
          <w:sz w:val="20"/>
          <w:szCs w:val="20"/>
          <w:lang w:val="mn-MN"/>
        </w:rPr>
        <w:t xml:space="preserve">сайжруулалт хийнэ гэж </w:t>
      </w:r>
      <w:r>
        <w:rPr>
          <w:rFonts w:ascii="Arial" w:hAnsi="Arial" w:cs="Arial"/>
          <w:sz w:val="20"/>
          <w:szCs w:val="20"/>
          <w:lang w:val="mn-MN"/>
        </w:rPr>
        <w:t>мэдэгдэж байсан хувилбараас бага байна</w:t>
      </w:r>
      <w:r w:rsidR="00C4651C">
        <w:rPr>
          <w:rFonts w:ascii="Arial" w:hAnsi="Arial" w:cs="Arial"/>
          <w:sz w:val="20"/>
          <w:szCs w:val="20"/>
        </w:rPr>
        <w:t xml:space="preserve"> </w:t>
      </w:r>
      <w:r w:rsidR="00157149">
        <w:rPr>
          <w:rFonts w:ascii="Arial" w:hAnsi="Arial" w:cs="Arial"/>
          <w:sz w:val="20"/>
          <w:szCs w:val="20"/>
        </w:rPr>
        <w:t xml:space="preserve">(945 </w:t>
      </w:r>
      <w:r>
        <w:rPr>
          <w:rFonts w:ascii="Arial" w:hAnsi="Arial" w:cs="Arial"/>
          <w:sz w:val="20"/>
          <w:szCs w:val="20"/>
          <w:lang w:val="mn-MN"/>
        </w:rPr>
        <w:t>тэрбум төгрөг</w:t>
      </w:r>
      <w:r w:rsidR="00157149">
        <w:rPr>
          <w:rFonts w:ascii="Arial" w:hAnsi="Arial" w:cs="Arial"/>
          <w:sz w:val="20"/>
          <w:szCs w:val="20"/>
        </w:rPr>
        <w:t>)</w:t>
      </w:r>
    </w:p>
    <w:p w14:paraId="4E1C9849" w14:textId="4FCA87F4" w:rsidR="00A422E7" w:rsidRPr="00352D75" w:rsidRDefault="0074125A" w:rsidP="00C4651C">
      <w:pPr>
        <w:jc w:val="both"/>
        <w:rPr>
          <w:rFonts w:ascii="Arial" w:hAnsi="Arial" w:cs="Arial"/>
          <w:b/>
          <w:sz w:val="20"/>
          <w:szCs w:val="20"/>
        </w:rPr>
      </w:pPr>
      <w:r>
        <w:rPr>
          <w:rFonts w:ascii="Arial" w:hAnsi="Arial" w:cs="Arial"/>
          <w:b/>
          <w:sz w:val="20"/>
          <w:szCs w:val="20"/>
          <w:lang w:val="mn-MN"/>
        </w:rPr>
        <w:t xml:space="preserve">Сайжруулах </w:t>
      </w:r>
      <w:r w:rsidR="002C08C1">
        <w:rPr>
          <w:rFonts w:ascii="Arial" w:hAnsi="Arial" w:cs="Arial"/>
          <w:b/>
          <w:sz w:val="20"/>
          <w:szCs w:val="20"/>
          <w:lang w:val="mn-MN"/>
        </w:rPr>
        <w:t>төлөвлөгөө нь төсвийн илүү тогтвортой хүрээг бий болгоход дэвшил гарч байгааг харуулж байна</w:t>
      </w:r>
      <w:r w:rsidR="002C68C7" w:rsidRPr="00352D75">
        <w:rPr>
          <w:rFonts w:ascii="Arial" w:hAnsi="Arial" w:cs="Arial"/>
          <w:b/>
          <w:sz w:val="20"/>
          <w:szCs w:val="20"/>
        </w:rPr>
        <w:t>.</w:t>
      </w:r>
      <w:r w:rsidR="002C68C7" w:rsidRPr="00352D75">
        <w:rPr>
          <w:rFonts w:ascii="Arial" w:hAnsi="Arial" w:cs="Arial"/>
          <w:sz w:val="20"/>
          <w:szCs w:val="20"/>
        </w:rPr>
        <w:t xml:space="preserve"> </w:t>
      </w:r>
      <w:r w:rsidR="00EA0965">
        <w:rPr>
          <w:rFonts w:ascii="Arial" w:hAnsi="Arial" w:cs="Arial"/>
          <w:sz w:val="20"/>
          <w:szCs w:val="20"/>
          <w:lang w:val="mn-MN"/>
        </w:rPr>
        <w:t xml:space="preserve">Зарлагын томоохон хэмжээний тохируулгын төлөвлөгөө нь Төсвийн тогтвортой байдлын тухай хуулийн зарчмыг дагах амлалтыг мөн харуулж байна. Шинээр хийгдсэн </w:t>
      </w:r>
      <w:r w:rsidR="00EA0965">
        <w:rPr>
          <w:rFonts w:ascii="Arial" w:hAnsi="Arial" w:cs="Arial"/>
          <w:sz w:val="20"/>
          <w:szCs w:val="20"/>
          <w:lang w:val="mn-MN"/>
        </w:rPr>
        <w:lastRenderedPageBreak/>
        <w:t xml:space="preserve">төсвийн таамаглал нь өнөөгийн орлогын гүйцэтгэлийн хандлагыг илэрхийлж, илүү бодитой харагдаж байна. Гэвч удирдлагууд өнөөгийн орлогын гүйцэтгэл сул байгаа энэ үед нэмэлт татварын орлогыг олохоор төлөвлөсөн нь зарлагыг улам илүү танах хэрэгтэй болно. </w:t>
      </w:r>
    </w:p>
    <w:p w14:paraId="3A0B0FB2" w14:textId="27CE896A" w:rsidR="006B06B1" w:rsidRDefault="005A6F75" w:rsidP="00707402">
      <w:pPr>
        <w:jc w:val="both"/>
        <w:rPr>
          <w:noProof/>
          <w:lang w:eastAsia="ko-KR"/>
        </w:rPr>
      </w:pPr>
      <w:r>
        <w:rPr>
          <w:rFonts w:ascii="Arial" w:hAnsi="Arial" w:cs="Arial"/>
          <w:b/>
          <w:sz w:val="20"/>
          <w:szCs w:val="20"/>
          <w:lang w:val="mn-MN"/>
        </w:rPr>
        <w:t xml:space="preserve">Төсвийг ТТБТХуулийн шаардлагыг хангахын тулд чангаруулж байгаа боловч засгийн газрын ихээхэн хэмжээний зарлага нь төсвийн гадуур үлдэж байна. </w:t>
      </w:r>
      <w:r w:rsidR="00517721">
        <w:rPr>
          <w:rFonts w:ascii="Arial" w:hAnsi="Arial" w:cs="Arial"/>
          <w:sz w:val="20"/>
          <w:szCs w:val="20"/>
          <w:lang w:val="mn-MN"/>
        </w:rPr>
        <w:t>Монгол улсын хөгжлийн банкаар</w:t>
      </w:r>
      <w:r w:rsidR="00517721">
        <w:rPr>
          <w:rFonts w:ascii="Arial" w:hAnsi="Arial" w:cs="Arial"/>
          <w:sz w:val="20"/>
          <w:szCs w:val="20"/>
        </w:rPr>
        <w:t xml:space="preserve"> </w:t>
      </w:r>
      <w:r w:rsidR="00517721">
        <w:rPr>
          <w:rFonts w:ascii="Arial" w:hAnsi="Arial" w:cs="Arial"/>
          <w:sz w:val="20"/>
          <w:szCs w:val="20"/>
          <w:lang w:val="mn-MN"/>
        </w:rPr>
        <w:t xml:space="preserve">голчилон </w:t>
      </w:r>
      <w:r w:rsidR="00517721">
        <w:rPr>
          <w:rFonts w:ascii="Arial" w:hAnsi="Arial" w:cs="Arial"/>
          <w:sz w:val="20"/>
          <w:szCs w:val="20"/>
        </w:rPr>
        <w:t>(</w:t>
      </w:r>
      <w:r w:rsidR="00517721">
        <w:rPr>
          <w:rFonts w:ascii="Arial" w:hAnsi="Arial" w:cs="Arial"/>
          <w:sz w:val="20"/>
          <w:szCs w:val="20"/>
          <w:lang w:val="mn-MN"/>
        </w:rPr>
        <w:t>МУХБ</w:t>
      </w:r>
      <w:r w:rsidR="00517721">
        <w:rPr>
          <w:rFonts w:ascii="Arial" w:hAnsi="Arial" w:cs="Arial"/>
          <w:sz w:val="20"/>
          <w:szCs w:val="20"/>
        </w:rPr>
        <w:t>)</w:t>
      </w:r>
      <w:r w:rsidR="00517721">
        <w:rPr>
          <w:rFonts w:ascii="Arial" w:hAnsi="Arial" w:cs="Arial"/>
          <w:sz w:val="20"/>
          <w:szCs w:val="20"/>
          <w:lang w:val="mn-MN"/>
        </w:rPr>
        <w:t xml:space="preserve"> дамжуулан </w:t>
      </w:r>
      <w:r w:rsidR="002C1753">
        <w:rPr>
          <w:rFonts w:ascii="Arial" w:hAnsi="Arial" w:cs="Arial"/>
          <w:sz w:val="20"/>
          <w:szCs w:val="20"/>
          <w:lang w:val="mn-MN"/>
        </w:rPr>
        <w:t>Чингис бондын ихээхэн хувийг төсвөөс гадуурх хөрөнгө оруулалтын хөтөлбөрүүдийг санхүүжүүлж байна</w:t>
      </w:r>
      <w:r w:rsidR="0061657A" w:rsidRPr="00352D75">
        <w:rPr>
          <w:rFonts w:ascii="Arial" w:hAnsi="Arial" w:cs="Arial"/>
          <w:sz w:val="20"/>
          <w:szCs w:val="20"/>
        </w:rPr>
        <w:t xml:space="preserve">. </w:t>
      </w:r>
      <w:r w:rsidR="004654FD">
        <w:rPr>
          <w:rFonts w:ascii="Arial" w:hAnsi="Arial" w:cs="Arial"/>
          <w:sz w:val="20"/>
          <w:szCs w:val="20"/>
          <w:lang w:val="mn-MN"/>
        </w:rPr>
        <w:t xml:space="preserve">Хэдийгээр Чингис бондын орлогын зарцуулалтын талаар албан ёсны тоо байхгүй байгаа ч Ерөнхий сайдын хэвлэлийн бага хуралд хийсэн мэдэгдлээр Засгийн газар нь Чингис бондын орлогын </w:t>
      </w:r>
      <w:r w:rsidR="004654FD">
        <w:rPr>
          <w:rFonts w:ascii="Arial" w:hAnsi="Arial" w:cs="Arial"/>
          <w:sz w:val="20"/>
          <w:szCs w:val="20"/>
        </w:rPr>
        <w:t>(</w:t>
      </w:r>
      <w:r w:rsidR="004654FD">
        <w:rPr>
          <w:rFonts w:ascii="Arial" w:hAnsi="Arial" w:cs="Arial"/>
          <w:sz w:val="20"/>
          <w:szCs w:val="20"/>
          <w:lang w:val="mn-MN"/>
        </w:rPr>
        <w:t>1.5 тэрбум ам.долларын</w:t>
      </w:r>
      <w:r w:rsidR="004654FD">
        <w:rPr>
          <w:rFonts w:ascii="Arial" w:hAnsi="Arial" w:cs="Arial"/>
          <w:sz w:val="20"/>
          <w:szCs w:val="20"/>
        </w:rPr>
        <w:t>)</w:t>
      </w:r>
      <w:r w:rsidR="004654FD">
        <w:rPr>
          <w:rFonts w:ascii="Arial" w:hAnsi="Arial" w:cs="Arial"/>
          <w:sz w:val="20"/>
          <w:szCs w:val="20"/>
          <w:lang w:val="mn-MN"/>
        </w:rPr>
        <w:t xml:space="preserve"> 0.7 тэрбум ам.долларыг</w:t>
      </w:r>
      <w:r w:rsidR="007609F4" w:rsidRPr="00352D75">
        <w:rPr>
          <w:rFonts w:ascii="Arial" w:hAnsi="Arial" w:cs="Arial"/>
          <w:sz w:val="20"/>
          <w:szCs w:val="20"/>
        </w:rPr>
        <w:t xml:space="preserve">– </w:t>
      </w:r>
      <w:r w:rsidR="004654FD">
        <w:rPr>
          <w:rFonts w:ascii="Arial" w:hAnsi="Arial" w:cs="Arial"/>
          <w:sz w:val="20"/>
          <w:szCs w:val="20"/>
          <w:lang w:val="mn-MN"/>
        </w:rPr>
        <w:t>ДНБ-ий 6 орчим хувьтай тэнцэх хэмжээний мөнгийг 2013 оны 5 сараас 9 сарын хооронд хэрэглэсэн. Жилийн сүүлийн 4 сарын хугацаанд ойролцоогоор 0.2-0.3 тэрбум ам.долларыг зарцуулна гэж үзвэл Чингис бондын нийт зарлага нь 2013 онд ДНБ-ий 8 хувь орчимд байхаар байна.</w:t>
      </w:r>
      <w:r w:rsidR="0026047D" w:rsidRPr="0026047D">
        <w:rPr>
          <w:noProof/>
          <w:lang w:eastAsia="ko-KR"/>
        </w:rPr>
        <w:t xml:space="preserve"> </w:t>
      </w:r>
    </w:p>
    <w:p w14:paraId="286D641D" w14:textId="3785AB29" w:rsidR="006B06B1" w:rsidRPr="00403F35" w:rsidRDefault="000820CB" w:rsidP="00381FC7">
      <w:pPr>
        <w:jc w:val="both"/>
        <w:rPr>
          <w:rFonts w:ascii="Arial" w:hAnsi="Arial" w:cs="Arial"/>
          <w:sz w:val="20"/>
          <w:szCs w:val="20"/>
        </w:rPr>
      </w:pPr>
      <w:r>
        <w:rPr>
          <w:rFonts w:ascii="Arial" w:hAnsi="Arial" w:cs="Arial"/>
          <w:b/>
          <w:sz w:val="20"/>
          <w:szCs w:val="20"/>
          <w:lang w:val="mn-MN"/>
        </w:rPr>
        <w:t>Монгол улсын хөгжлийн банк нь 2012 оноос эхлэн төсвөөс гадуурхи төслүүдийг гүйцэтгэж байна</w:t>
      </w:r>
      <w:r w:rsidR="00190B18" w:rsidRPr="00403F35">
        <w:rPr>
          <w:rFonts w:ascii="Arial" w:hAnsi="Arial" w:cs="Arial"/>
          <w:b/>
          <w:sz w:val="18"/>
          <w:szCs w:val="20"/>
        </w:rPr>
        <w:t>.</w:t>
      </w:r>
      <w:r w:rsidR="00190B18" w:rsidRPr="00403F35">
        <w:rPr>
          <w:rFonts w:ascii="Arial" w:hAnsi="Arial" w:cs="Arial"/>
          <w:sz w:val="18"/>
          <w:szCs w:val="20"/>
        </w:rPr>
        <w:t xml:space="preserve"> </w:t>
      </w:r>
      <w:r w:rsidR="005E29D5">
        <w:rPr>
          <w:rFonts w:ascii="Arial" w:hAnsi="Arial" w:cs="Arial"/>
          <w:sz w:val="20"/>
          <w:szCs w:val="20"/>
          <w:lang w:val="mn-MN"/>
        </w:rPr>
        <w:t>Санхүүжилтийн гол эх үүсвэр нь 2012 онд гаргасан 5 жилийн хугацаатай Евро бондын орлого</w:t>
      </w:r>
      <w:r w:rsidR="00190B18" w:rsidRPr="00403F35">
        <w:rPr>
          <w:rStyle w:val="FootnoteReference"/>
          <w:rFonts w:ascii="Arial" w:hAnsi="Arial" w:cs="Arial"/>
          <w:sz w:val="20"/>
          <w:szCs w:val="20"/>
        </w:rPr>
        <w:footnoteReference w:id="8"/>
      </w:r>
      <w:r w:rsidR="00190B18" w:rsidRPr="00403F35">
        <w:rPr>
          <w:rFonts w:ascii="Arial" w:hAnsi="Arial" w:cs="Arial"/>
          <w:sz w:val="20"/>
          <w:szCs w:val="20"/>
        </w:rPr>
        <w:t xml:space="preserve"> (580 </w:t>
      </w:r>
      <w:r w:rsidR="005E29D5">
        <w:rPr>
          <w:rFonts w:ascii="Arial" w:hAnsi="Arial" w:cs="Arial"/>
          <w:sz w:val="20"/>
          <w:szCs w:val="20"/>
          <w:lang w:val="mn-MN"/>
        </w:rPr>
        <w:t>сая ам.доллар</w:t>
      </w:r>
      <w:r w:rsidR="00190B18" w:rsidRPr="00403F35">
        <w:rPr>
          <w:rFonts w:ascii="Arial" w:hAnsi="Arial" w:cs="Arial"/>
          <w:sz w:val="20"/>
          <w:szCs w:val="20"/>
        </w:rPr>
        <w:t>)</w:t>
      </w:r>
      <w:r w:rsidR="005E29D5">
        <w:rPr>
          <w:rFonts w:ascii="Arial" w:hAnsi="Arial" w:cs="Arial"/>
          <w:sz w:val="20"/>
          <w:szCs w:val="20"/>
          <w:lang w:val="mn-MN"/>
        </w:rPr>
        <w:t xml:space="preserve"> мөн Чингис бондын орлого юм. Дэлхийн банкны тооцож байгаагаар 2012 онд гаргасан Евро бондын </w:t>
      </w:r>
      <w:r w:rsidR="005E29D5">
        <w:rPr>
          <w:rFonts w:ascii="Arial" w:hAnsi="Arial" w:cs="Arial"/>
          <w:sz w:val="20"/>
          <w:szCs w:val="20"/>
        </w:rPr>
        <w:t>(</w:t>
      </w:r>
      <w:r w:rsidR="005E29D5">
        <w:rPr>
          <w:rFonts w:ascii="Arial" w:hAnsi="Arial" w:cs="Arial"/>
          <w:sz w:val="20"/>
          <w:szCs w:val="20"/>
          <w:lang w:val="mn-MN"/>
        </w:rPr>
        <w:t>580 сая ам.доллар</w:t>
      </w:r>
      <w:r w:rsidR="005E29D5">
        <w:rPr>
          <w:rFonts w:ascii="Arial" w:hAnsi="Arial" w:cs="Arial"/>
          <w:sz w:val="20"/>
          <w:szCs w:val="20"/>
        </w:rPr>
        <w:t>)</w:t>
      </w:r>
      <w:r w:rsidR="005E29D5">
        <w:rPr>
          <w:rFonts w:ascii="Arial" w:hAnsi="Arial" w:cs="Arial"/>
          <w:sz w:val="20"/>
          <w:szCs w:val="20"/>
          <w:lang w:val="mn-MN"/>
        </w:rPr>
        <w:t xml:space="preserve"> орлогын 60 хувийг 2012 онд Хөгжлийн банк зарцуулсан мөн</w:t>
      </w:r>
      <w:r w:rsidR="00190B18" w:rsidRPr="00403F35">
        <w:rPr>
          <w:rFonts w:ascii="Arial" w:hAnsi="Arial" w:cs="Arial"/>
          <w:sz w:val="20"/>
          <w:szCs w:val="20"/>
        </w:rPr>
        <w:t xml:space="preserve"> </w:t>
      </w:r>
      <w:r w:rsidR="005E29D5">
        <w:rPr>
          <w:rFonts w:ascii="Arial" w:hAnsi="Arial" w:cs="Arial"/>
          <w:sz w:val="20"/>
          <w:szCs w:val="20"/>
          <w:lang w:val="mn-MN"/>
        </w:rPr>
        <w:t xml:space="preserve">Евро бондын үлдсэн хэсгийг 2013 онд зарцуулж байна. МУХБ-аар дамжуулан зарцуулсан төсвөөс гадуурхи нийт зарлага нь </w:t>
      </w:r>
      <w:r w:rsidR="00190B18" w:rsidRPr="00403F35">
        <w:rPr>
          <w:rFonts w:ascii="Arial" w:hAnsi="Arial" w:cs="Arial"/>
          <w:sz w:val="20"/>
          <w:szCs w:val="20"/>
        </w:rPr>
        <w:t>(</w:t>
      </w:r>
      <w:r w:rsidR="005E29D5">
        <w:rPr>
          <w:rFonts w:ascii="Arial" w:hAnsi="Arial" w:cs="Arial"/>
          <w:sz w:val="20"/>
          <w:szCs w:val="20"/>
          <w:lang w:val="mn-MN"/>
        </w:rPr>
        <w:t>Чингис бондоор зарцуулсан төслүүдийг оролцуулаад</w:t>
      </w:r>
      <w:r w:rsidR="00190B18" w:rsidRPr="00403F35">
        <w:rPr>
          <w:rFonts w:ascii="Arial" w:hAnsi="Arial" w:cs="Arial"/>
          <w:sz w:val="20"/>
          <w:szCs w:val="20"/>
        </w:rPr>
        <w:t>)</w:t>
      </w:r>
      <w:r w:rsidR="005E29D5">
        <w:rPr>
          <w:rFonts w:ascii="Arial" w:hAnsi="Arial" w:cs="Arial"/>
          <w:sz w:val="20"/>
          <w:szCs w:val="20"/>
          <w:lang w:val="mn-MN"/>
        </w:rPr>
        <w:t xml:space="preserve"> 2013 онд ДНБ-ий 10 орчим хувьд хүрэхээр байна. Бүх зарлагуудыг тооцвол, төсвийн нийт алдагдал нь ДНБ-ий 12 гаран хувьд хүрэхээр байна. </w:t>
      </w:r>
      <w:r w:rsidR="000130A3">
        <w:rPr>
          <w:rFonts w:ascii="Arial" w:hAnsi="Arial" w:cs="Arial"/>
          <w:sz w:val="20"/>
          <w:szCs w:val="20"/>
          <w:lang w:val="mn-MN"/>
        </w:rPr>
        <w:t>Монгол улсын төсвийн алдагдал нь тус бүс нутаг дахь хөгжиж буй орнуудтай харьцуулбал онцгой өндөр байна</w:t>
      </w:r>
      <w:r w:rsidR="00B92653">
        <w:rPr>
          <w:rFonts w:ascii="Arial" w:hAnsi="Arial" w:cs="Arial"/>
          <w:sz w:val="20"/>
          <w:szCs w:val="20"/>
        </w:rPr>
        <w:t xml:space="preserve"> (</w:t>
      </w:r>
      <w:r w:rsidR="000130A3">
        <w:rPr>
          <w:rFonts w:ascii="Arial" w:hAnsi="Arial" w:cs="Arial"/>
          <w:sz w:val="20"/>
          <w:szCs w:val="20"/>
          <w:lang w:val="mn-MN"/>
        </w:rPr>
        <w:t>Зураг</w:t>
      </w:r>
      <w:r w:rsidR="000130A3">
        <w:rPr>
          <w:rFonts w:ascii="Arial" w:hAnsi="Arial" w:cs="Arial"/>
          <w:sz w:val="20"/>
          <w:szCs w:val="20"/>
        </w:rPr>
        <w:t xml:space="preserve"> </w:t>
      </w:r>
      <w:r w:rsidR="00B92653">
        <w:rPr>
          <w:rFonts w:ascii="Arial" w:hAnsi="Arial" w:cs="Arial"/>
          <w:sz w:val="20"/>
          <w:szCs w:val="20"/>
        </w:rPr>
        <w:t>28).</w:t>
      </w:r>
    </w:p>
    <w:p w14:paraId="26651AA5" w14:textId="7450C1EE" w:rsidR="00504A56" w:rsidRDefault="001A7ABA" w:rsidP="00403F35">
      <w:pPr>
        <w:spacing w:after="240"/>
        <w:jc w:val="both"/>
        <w:rPr>
          <w:rFonts w:ascii="Arial" w:hAnsi="Arial" w:cs="Arial"/>
          <w:sz w:val="20"/>
          <w:szCs w:val="20"/>
        </w:rPr>
      </w:pPr>
      <w:r>
        <w:rPr>
          <w:rFonts w:ascii="Arial" w:hAnsi="Arial" w:cs="Arial"/>
          <w:b/>
          <w:sz w:val="20"/>
          <w:szCs w:val="20"/>
          <w:lang w:val="mn-MN"/>
        </w:rPr>
        <w:t xml:space="preserve">Төсвийн тэнцэл үргэлжилэн муудаж байгаа, мөн засгийн газрын зарлагын өсөлт хурдтай байгаа нь нийт эрэлтийг нэмэгдүүлж, төлбөрийн тэнцэл болон дотоодын үнэд дарамт үүсгэж байна. </w:t>
      </w:r>
      <w:r w:rsidR="00E805B6">
        <w:rPr>
          <w:rFonts w:ascii="Arial" w:hAnsi="Arial" w:cs="Arial"/>
          <w:sz w:val="20"/>
          <w:szCs w:val="20"/>
          <w:lang w:val="mn-MN"/>
        </w:rPr>
        <w:t>Засгийн газрын зарлагын ДНБ-д эзлэх хувийн жин</w:t>
      </w:r>
      <w:r w:rsidR="00B850E4" w:rsidRPr="00403F35">
        <w:rPr>
          <w:rFonts w:ascii="Arial" w:hAnsi="Arial" w:cs="Arial"/>
          <w:sz w:val="20"/>
          <w:szCs w:val="20"/>
        </w:rPr>
        <w:t xml:space="preserve"> (</w:t>
      </w:r>
      <w:r w:rsidR="00E805B6">
        <w:rPr>
          <w:rFonts w:ascii="Arial" w:hAnsi="Arial" w:cs="Arial"/>
          <w:sz w:val="20"/>
          <w:szCs w:val="20"/>
          <w:lang w:val="mn-MN"/>
        </w:rPr>
        <w:t>МУХБ-ны зарлагыг оролцуулаад</w:t>
      </w:r>
      <w:r w:rsidR="00B850E4" w:rsidRPr="00403F35">
        <w:rPr>
          <w:rFonts w:ascii="Arial" w:hAnsi="Arial" w:cs="Arial"/>
          <w:sz w:val="20"/>
          <w:szCs w:val="20"/>
        </w:rPr>
        <w:t>)</w:t>
      </w:r>
      <w:r w:rsidR="00E805B6">
        <w:rPr>
          <w:rFonts w:ascii="Arial" w:hAnsi="Arial" w:cs="Arial"/>
          <w:sz w:val="20"/>
          <w:szCs w:val="20"/>
          <w:lang w:val="mn-MN"/>
        </w:rPr>
        <w:t xml:space="preserve"> нь 2010 оноос хойш огцом өссөн</w:t>
      </w:r>
      <w:r w:rsidR="00B850E4" w:rsidRPr="00403F35">
        <w:rPr>
          <w:rFonts w:ascii="Arial" w:hAnsi="Arial" w:cs="Arial"/>
          <w:sz w:val="20"/>
          <w:szCs w:val="20"/>
        </w:rPr>
        <w:t xml:space="preserve">: </w:t>
      </w:r>
      <w:r w:rsidR="00E805B6">
        <w:rPr>
          <w:rFonts w:ascii="Arial" w:hAnsi="Arial" w:cs="Arial"/>
          <w:sz w:val="20"/>
          <w:szCs w:val="20"/>
          <w:lang w:val="mn-MN"/>
        </w:rPr>
        <w:t xml:space="preserve">2010 онд </w:t>
      </w:r>
      <w:r w:rsidR="00B850E4" w:rsidRPr="00403F35">
        <w:rPr>
          <w:rFonts w:ascii="Arial" w:hAnsi="Arial" w:cs="Arial"/>
          <w:sz w:val="20"/>
          <w:szCs w:val="20"/>
        </w:rPr>
        <w:t>36.6</w:t>
      </w:r>
      <w:r w:rsidR="00E805B6">
        <w:rPr>
          <w:rFonts w:ascii="Arial" w:hAnsi="Arial" w:cs="Arial"/>
          <w:sz w:val="20"/>
          <w:szCs w:val="20"/>
          <w:lang w:val="mn-MN"/>
        </w:rPr>
        <w:t xml:space="preserve"> хувь байснаа</w:t>
      </w:r>
      <w:r w:rsidR="00B850E4" w:rsidRPr="00403F35">
        <w:rPr>
          <w:rFonts w:ascii="Arial" w:hAnsi="Arial" w:cs="Arial"/>
          <w:sz w:val="20"/>
          <w:szCs w:val="20"/>
        </w:rPr>
        <w:t xml:space="preserve"> </w:t>
      </w:r>
      <w:r w:rsidR="00E805B6">
        <w:rPr>
          <w:rFonts w:ascii="Arial" w:hAnsi="Arial" w:cs="Arial"/>
          <w:sz w:val="20"/>
          <w:szCs w:val="20"/>
          <w:lang w:val="mn-MN"/>
        </w:rPr>
        <w:t xml:space="preserve">2012 онд </w:t>
      </w:r>
      <w:r w:rsidR="00B850E4" w:rsidRPr="00403F35">
        <w:rPr>
          <w:rFonts w:ascii="Arial" w:hAnsi="Arial" w:cs="Arial"/>
          <w:sz w:val="20"/>
          <w:szCs w:val="20"/>
        </w:rPr>
        <w:t xml:space="preserve">46.7 </w:t>
      </w:r>
      <w:r w:rsidR="00E805B6">
        <w:rPr>
          <w:rFonts w:ascii="Arial" w:hAnsi="Arial" w:cs="Arial"/>
          <w:sz w:val="20"/>
          <w:szCs w:val="20"/>
          <w:lang w:val="mn-MN"/>
        </w:rPr>
        <w:t>хувь болсон</w:t>
      </w:r>
      <w:r w:rsidR="00B850E4" w:rsidRPr="00403F35">
        <w:rPr>
          <w:rFonts w:ascii="Arial" w:hAnsi="Arial" w:cs="Arial"/>
          <w:sz w:val="20"/>
          <w:szCs w:val="20"/>
        </w:rPr>
        <w:t>.</w:t>
      </w:r>
      <w:r w:rsidR="00E805B6">
        <w:rPr>
          <w:rFonts w:ascii="Arial" w:hAnsi="Arial" w:cs="Arial"/>
          <w:sz w:val="20"/>
          <w:szCs w:val="20"/>
          <w:lang w:val="mn-MN"/>
        </w:rPr>
        <w:t xml:space="preserve"> Харин</w:t>
      </w:r>
      <w:r w:rsidR="00B850E4" w:rsidRPr="00403F35">
        <w:rPr>
          <w:rFonts w:ascii="Arial" w:hAnsi="Arial" w:cs="Arial"/>
          <w:sz w:val="20"/>
          <w:szCs w:val="20"/>
        </w:rPr>
        <w:t xml:space="preserve"> 2013</w:t>
      </w:r>
      <w:r w:rsidR="00E805B6">
        <w:rPr>
          <w:rFonts w:ascii="Arial" w:hAnsi="Arial" w:cs="Arial"/>
          <w:sz w:val="20"/>
          <w:szCs w:val="20"/>
          <w:lang w:val="mn-MN"/>
        </w:rPr>
        <w:t xml:space="preserve"> онд</w:t>
      </w:r>
      <w:r w:rsidR="00B850E4" w:rsidRPr="00403F35">
        <w:rPr>
          <w:rFonts w:ascii="Arial" w:hAnsi="Arial" w:cs="Arial"/>
          <w:sz w:val="20"/>
          <w:szCs w:val="20"/>
        </w:rPr>
        <w:t xml:space="preserve">, </w:t>
      </w:r>
      <w:r w:rsidR="00E805B6">
        <w:rPr>
          <w:rFonts w:ascii="Arial" w:hAnsi="Arial" w:cs="Arial"/>
          <w:sz w:val="20"/>
          <w:szCs w:val="20"/>
          <w:lang w:val="mn-MN"/>
        </w:rPr>
        <w:t xml:space="preserve"> засгийн газрын зарлагын ДНБ-д эзлэх хувийн жин ДНБ-ий 47 гаран хувьд хүрэхээр байна. </w:t>
      </w:r>
      <w:proofErr w:type="gramStart"/>
      <w:r w:rsidR="003B2260">
        <w:rPr>
          <w:rFonts w:ascii="Arial" w:hAnsi="Arial" w:cs="Arial"/>
          <w:sz w:val="20"/>
          <w:szCs w:val="20"/>
        </w:rPr>
        <w:t>(</w:t>
      </w:r>
      <w:r w:rsidR="00E805B6">
        <w:rPr>
          <w:rFonts w:ascii="Arial" w:hAnsi="Arial" w:cs="Arial"/>
          <w:sz w:val="20"/>
          <w:szCs w:val="20"/>
          <w:lang w:val="mn-MN"/>
        </w:rPr>
        <w:t>Зураг</w:t>
      </w:r>
      <w:r w:rsidR="00E805B6">
        <w:rPr>
          <w:rFonts w:ascii="Arial" w:hAnsi="Arial" w:cs="Arial"/>
          <w:sz w:val="20"/>
          <w:szCs w:val="20"/>
        </w:rPr>
        <w:t xml:space="preserve"> </w:t>
      </w:r>
      <w:r w:rsidR="00B92653">
        <w:rPr>
          <w:rFonts w:ascii="Arial" w:hAnsi="Arial" w:cs="Arial"/>
          <w:sz w:val="20"/>
          <w:szCs w:val="20"/>
        </w:rPr>
        <w:t>29)</w:t>
      </w:r>
      <w:r w:rsidR="00B850E4" w:rsidRPr="00403F35">
        <w:rPr>
          <w:rFonts w:ascii="Arial" w:hAnsi="Arial" w:cs="Arial"/>
          <w:sz w:val="20"/>
          <w:szCs w:val="20"/>
        </w:rPr>
        <w:t>.</w:t>
      </w:r>
      <w:proofErr w:type="gramEnd"/>
      <w:r w:rsidR="00B850E4" w:rsidRPr="00403F35">
        <w:rPr>
          <w:rFonts w:ascii="Arial" w:hAnsi="Arial" w:cs="Arial"/>
          <w:sz w:val="20"/>
          <w:szCs w:val="20"/>
        </w:rPr>
        <w:t xml:space="preserve"> </w:t>
      </w:r>
      <w:r w:rsidR="00E805B6">
        <w:rPr>
          <w:rFonts w:ascii="Arial" w:hAnsi="Arial" w:cs="Arial"/>
          <w:sz w:val="20"/>
          <w:szCs w:val="20"/>
          <w:lang w:val="mn-MN"/>
        </w:rPr>
        <w:t xml:space="preserve">Үүнээс гадна, засгийн газрын орлогын ДНБ-д эзлэх хувийн жин нь ДНБ-ий 40 хувиас доогуур хэвээрээ байгаа бөгөөд 2013 онд </w:t>
      </w:r>
      <w:r w:rsidR="00DA4F30" w:rsidRPr="00403F35">
        <w:rPr>
          <w:rFonts w:ascii="Arial" w:hAnsi="Arial" w:cs="Arial"/>
          <w:sz w:val="20"/>
          <w:szCs w:val="20"/>
        </w:rPr>
        <w:t>35-40</w:t>
      </w:r>
      <w:r w:rsidR="0026047D" w:rsidRPr="00403F35">
        <w:rPr>
          <w:rFonts w:ascii="Arial" w:hAnsi="Arial" w:cs="Arial"/>
          <w:sz w:val="20"/>
          <w:szCs w:val="20"/>
        </w:rPr>
        <w:t xml:space="preserve"> </w:t>
      </w:r>
      <w:r w:rsidR="00E805B6">
        <w:rPr>
          <w:rFonts w:ascii="Arial" w:hAnsi="Arial" w:cs="Arial"/>
          <w:sz w:val="20"/>
          <w:szCs w:val="20"/>
          <w:lang w:val="mn-MN"/>
        </w:rPr>
        <w:t>хувьд байхаар байна</w:t>
      </w:r>
      <w:r w:rsidR="0026047D" w:rsidRPr="00403F35">
        <w:rPr>
          <w:rFonts w:ascii="Arial" w:hAnsi="Arial" w:cs="Arial"/>
          <w:sz w:val="20"/>
          <w:szCs w:val="20"/>
        </w:rPr>
        <w:t>.</w:t>
      </w:r>
      <w:r w:rsidR="00CD174A">
        <w:rPr>
          <w:rFonts w:ascii="Arial" w:hAnsi="Arial" w:cs="Arial"/>
          <w:sz w:val="20"/>
          <w:szCs w:val="20"/>
        </w:rPr>
        <w:t xml:space="preserve"> </w:t>
      </w:r>
    </w:p>
    <w:p w14:paraId="408F4AB3" w14:textId="616E22E1" w:rsidR="008003C7" w:rsidRDefault="008003C7" w:rsidP="008003C7">
      <w:pPr>
        <w:spacing w:after="0"/>
        <w:jc w:val="both"/>
        <w:rPr>
          <w:rFonts w:ascii="Arial" w:hAnsi="Arial" w:cs="Arial"/>
          <w:sz w:val="20"/>
          <w:szCs w:val="20"/>
        </w:rPr>
      </w:pPr>
      <w:r>
        <w:rPr>
          <w:rFonts w:ascii="Arial" w:hAnsi="Arial" w:cs="Arial"/>
          <w:b/>
          <w:sz w:val="20"/>
          <w:szCs w:val="20"/>
          <w:lang w:val="mn-MN"/>
        </w:rPr>
        <w:t xml:space="preserve">Их хэмжээний төсвөөс гадуурхи зарлага нь засгийн газрын төсвийн байдалд буруу дохио үүсгэх талтай. </w:t>
      </w:r>
      <w:r>
        <w:rPr>
          <w:rFonts w:ascii="Arial" w:hAnsi="Arial" w:cs="Arial"/>
          <w:sz w:val="20"/>
          <w:szCs w:val="20"/>
          <w:lang w:val="mn-MN"/>
        </w:rPr>
        <w:t>Төсвийн зарчмыг дагах амлалт болон албан ёсны төсвийг сайжруулах төлөвлөгөөнийхөө эсрэг, төсвөөс гадуурхи зардлыг гаргаж байгаа нь төсвийн нийт бодлогыг гурван жил дараалан хэт тэлэлтийн замд оруулаад байна</w:t>
      </w:r>
      <w:r>
        <w:rPr>
          <w:rFonts w:ascii="Arial" w:hAnsi="Arial" w:cs="Arial"/>
          <w:sz w:val="20"/>
          <w:szCs w:val="20"/>
        </w:rPr>
        <w:t xml:space="preserve"> (</w:t>
      </w:r>
      <w:r>
        <w:rPr>
          <w:rFonts w:ascii="Arial" w:hAnsi="Arial" w:cs="Arial"/>
          <w:sz w:val="20"/>
          <w:szCs w:val="20"/>
          <w:lang w:val="mn-MN"/>
        </w:rPr>
        <w:t>Зураг</w:t>
      </w:r>
      <w:r>
        <w:rPr>
          <w:rFonts w:ascii="Arial" w:hAnsi="Arial" w:cs="Arial"/>
          <w:sz w:val="20"/>
          <w:szCs w:val="20"/>
        </w:rPr>
        <w:t xml:space="preserve"> 26). </w:t>
      </w:r>
      <w:r>
        <w:rPr>
          <w:rFonts w:ascii="Arial" w:hAnsi="Arial" w:cs="Arial"/>
          <w:sz w:val="20"/>
          <w:szCs w:val="20"/>
          <w:lang w:val="mn-MN"/>
        </w:rPr>
        <w:t>Албан ёсоор бууруулахаар шинэчилсэн төсөв нь төсвийн бодлогыг хумиж байна гэсэн үг бус харин төсвөөс гадуурхи зарлагыг заавал оруулах ёстой</w:t>
      </w:r>
      <w:r>
        <w:rPr>
          <w:rFonts w:ascii="Arial" w:hAnsi="Arial" w:cs="Arial"/>
          <w:sz w:val="20"/>
          <w:szCs w:val="20"/>
        </w:rPr>
        <w:t xml:space="preserve">; </w:t>
      </w:r>
      <w:r>
        <w:rPr>
          <w:rFonts w:ascii="Arial" w:hAnsi="Arial" w:cs="Arial"/>
          <w:sz w:val="20"/>
          <w:szCs w:val="20"/>
          <w:lang w:val="mn-MN"/>
        </w:rPr>
        <w:t>хөрөнгийн зарлага нь өнгөрсөн оны түвшингээс 30 гаран хувиар нэмэгдэхээр байгаа бөгөөд энэ өсөлт нь нэрлэсэн ДНБ</w:t>
      </w:r>
      <w:r>
        <w:rPr>
          <w:rFonts w:ascii="Arial" w:hAnsi="Arial" w:cs="Arial"/>
          <w:sz w:val="20"/>
          <w:szCs w:val="20"/>
        </w:rPr>
        <w:t>-</w:t>
      </w:r>
      <w:r>
        <w:rPr>
          <w:rFonts w:ascii="Arial" w:hAnsi="Arial" w:cs="Arial"/>
          <w:sz w:val="20"/>
          <w:szCs w:val="20"/>
          <w:lang w:val="mn-MN"/>
        </w:rPr>
        <w:t>ийхөө өсөлтөөс хамаагүй өндөр байгаа юм. Чингис бонд нь Засгийн газрын шууд гадаад зээлжилтээр санхүүжигдэж байгаа бөгөөд бондын орлогыг ашиглан санхүүжих нь төсвийн алдагдлыг тэр хэмжээгээр нэмэгдүүлэх ёстой. МУХБ</w:t>
      </w:r>
      <w:r>
        <w:rPr>
          <w:rFonts w:ascii="Arial" w:hAnsi="Arial" w:cs="Arial"/>
          <w:sz w:val="20"/>
          <w:szCs w:val="20"/>
        </w:rPr>
        <w:t>-</w:t>
      </w:r>
      <w:r>
        <w:rPr>
          <w:rFonts w:ascii="Arial" w:hAnsi="Arial" w:cs="Arial"/>
          <w:sz w:val="20"/>
          <w:szCs w:val="20"/>
          <w:lang w:val="mn-MN"/>
        </w:rPr>
        <w:t xml:space="preserve">ны төсвөөс гадуурхи зарлагыг оруулахгүйгээр төсвийг өнөөгийн байдлаар удирдах нь </w:t>
      </w:r>
      <w:r>
        <w:rPr>
          <w:rFonts w:ascii="Arial" w:hAnsi="Arial" w:cs="Arial"/>
          <w:sz w:val="20"/>
          <w:szCs w:val="20"/>
        </w:rPr>
        <w:t>(</w:t>
      </w:r>
      <w:r>
        <w:rPr>
          <w:rFonts w:ascii="Arial" w:hAnsi="Arial" w:cs="Arial"/>
          <w:sz w:val="20"/>
          <w:szCs w:val="20"/>
          <w:lang w:val="mn-MN"/>
        </w:rPr>
        <w:t>ялангуяа Чингис бондын орлогыг</w:t>
      </w:r>
      <w:r>
        <w:rPr>
          <w:rFonts w:ascii="Arial" w:hAnsi="Arial" w:cs="Arial"/>
          <w:sz w:val="20"/>
          <w:szCs w:val="20"/>
        </w:rPr>
        <w:t>)</w:t>
      </w:r>
      <w:r>
        <w:rPr>
          <w:rFonts w:ascii="Arial" w:hAnsi="Arial" w:cs="Arial"/>
          <w:sz w:val="20"/>
          <w:szCs w:val="20"/>
          <w:lang w:val="mn-MN"/>
        </w:rPr>
        <w:t xml:space="preserve"> Төсвийн тогтвортой байдлын тухай хууль болон төсвийн удирдлагын олон улсын зарчмуудтай уялдахгүй байна. Чингис бонд болон МУХБ</w:t>
      </w:r>
      <w:r>
        <w:rPr>
          <w:rFonts w:ascii="Arial" w:hAnsi="Arial" w:cs="Arial"/>
          <w:sz w:val="20"/>
          <w:szCs w:val="20"/>
        </w:rPr>
        <w:t>-</w:t>
      </w:r>
      <w:r>
        <w:rPr>
          <w:rFonts w:ascii="Arial" w:hAnsi="Arial" w:cs="Arial"/>
          <w:sz w:val="20"/>
          <w:szCs w:val="20"/>
          <w:lang w:val="mn-MN"/>
        </w:rPr>
        <w:t xml:space="preserve">аар санхүүжигдэж байгаа төслүүдийн талаар сар бүрийн тайланг төсвийн албан ёсны тоо мэдээллийг дэлгэрэнгүй байдлаар гаргадагтай адил хэвлэн гаргаж байх нь чухал, учир нь тэдгээрийн макро эдийн засагт үзүүлэх төсвийн дарамт өндөр билээ. </w:t>
      </w:r>
    </w:p>
    <w:tbl>
      <w:tblPr>
        <w:tblpPr w:leftFromText="180" w:rightFromText="180" w:vertAnchor="text" w:horzAnchor="margin" w:tblpY="169"/>
        <w:tblW w:w="0" w:type="auto"/>
        <w:tblLook w:val="04A0" w:firstRow="1" w:lastRow="0" w:firstColumn="1" w:lastColumn="0" w:noHBand="0" w:noVBand="1"/>
      </w:tblPr>
      <w:tblGrid>
        <w:gridCol w:w="4013"/>
        <w:gridCol w:w="216"/>
        <w:gridCol w:w="452"/>
        <w:gridCol w:w="216"/>
        <w:gridCol w:w="216"/>
        <w:gridCol w:w="216"/>
        <w:gridCol w:w="4247"/>
      </w:tblGrid>
      <w:tr w:rsidR="008003C7" w14:paraId="589B5E65" w14:textId="77777777" w:rsidTr="008003C7">
        <w:tc>
          <w:tcPr>
            <w:tcW w:w="4672" w:type="dxa"/>
            <w:gridSpan w:val="3"/>
            <w:tcBorders>
              <w:top w:val="nil"/>
              <w:left w:val="nil"/>
              <w:bottom w:val="single" w:sz="4" w:space="0" w:color="984806" w:themeColor="accent6" w:themeShade="80"/>
              <w:right w:val="nil"/>
            </w:tcBorders>
            <w:hideMark/>
          </w:tcPr>
          <w:p w14:paraId="54318041" w14:textId="77777777" w:rsidR="008003C7" w:rsidRDefault="008003C7" w:rsidP="00630B23">
            <w:pPr>
              <w:pStyle w:val="Caption"/>
              <w:spacing w:after="0"/>
              <w:rPr>
                <w:color w:val="auto"/>
              </w:rPr>
            </w:pPr>
            <w:r>
              <w:rPr>
                <w:sz w:val="16"/>
                <w:szCs w:val="16"/>
                <w:lang w:val="mn-MN"/>
              </w:rPr>
              <w:lastRenderedPageBreak/>
              <w:t xml:space="preserve">Зураг </w:t>
            </w:r>
            <w:r w:rsidRPr="00630B23">
              <w:rPr>
                <w:sz w:val="16"/>
                <w:szCs w:val="16"/>
                <w:lang w:val="mn-MN"/>
              </w:rPr>
              <w:fldChar w:fldCharType="begin"/>
            </w:r>
            <w:r w:rsidRPr="00630B23">
              <w:rPr>
                <w:sz w:val="16"/>
                <w:szCs w:val="16"/>
                <w:lang w:val="mn-MN"/>
              </w:rPr>
              <w:instrText xml:space="preserve"> SEQ Figure \* ARABIC </w:instrText>
            </w:r>
            <w:r w:rsidRPr="00630B23">
              <w:rPr>
                <w:sz w:val="16"/>
                <w:szCs w:val="16"/>
                <w:lang w:val="mn-MN"/>
              </w:rPr>
              <w:fldChar w:fldCharType="separate"/>
            </w:r>
            <w:r w:rsidRPr="00630B23">
              <w:rPr>
                <w:sz w:val="16"/>
                <w:szCs w:val="16"/>
                <w:lang w:val="mn-MN"/>
              </w:rPr>
              <w:t>26</w:t>
            </w:r>
            <w:r w:rsidRPr="00630B23">
              <w:rPr>
                <w:sz w:val="16"/>
                <w:szCs w:val="16"/>
                <w:lang w:val="mn-MN"/>
              </w:rPr>
              <w:fldChar w:fldCharType="end"/>
            </w:r>
            <w:r w:rsidRPr="00630B23">
              <w:rPr>
                <w:sz w:val="16"/>
                <w:szCs w:val="16"/>
                <w:lang w:val="mn-MN"/>
              </w:rPr>
              <w:t>. Төсвөөс гадуурхи зарлага нэмэгдэж байна</w:t>
            </w:r>
          </w:p>
        </w:tc>
        <w:tc>
          <w:tcPr>
            <w:tcW w:w="342" w:type="dxa"/>
            <w:gridSpan w:val="2"/>
          </w:tcPr>
          <w:p w14:paraId="0A12258B" w14:textId="77777777" w:rsidR="008003C7" w:rsidRDefault="008003C7" w:rsidP="00630B23">
            <w:pPr>
              <w:pStyle w:val="Caption"/>
              <w:spacing w:after="0"/>
              <w:jc w:val="center"/>
              <w:rPr>
                <w:color w:val="auto"/>
                <w:sz w:val="2"/>
              </w:rPr>
            </w:pPr>
          </w:p>
        </w:tc>
        <w:tc>
          <w:tcPr>
            <w:tcW w:w="4562" w:type="dxa"/>
            <w:gridSpan w:val="2"/>
            <w:tcBorders>
              <w:top w:val="nil"/>
              <w:left w:val="nil"/>
              <w:bottom w:val="single" w:sz="4" w:space="0" w:color="984806" w:themeColor="accent6" w:themeShade="80"/>
              <w:right w:val="nil"/>
            </w:tcBorders>
            <w:hideMark/>
          </w:tcPr>
          <w:p w14:paraId="7536F67F" w14:textId="6ABD07D0" w:rsidR="008003C7" w:rsidRDefault="008003C7" w:rsidP="00630B23">
            <w:pPr>
              <w:pStyle w:val="Caption"/>
              <w:spacing w:after="0"/>
              <w:rPr>
                <w:rFonts w:ascii="Arial" w:hAnsi="Arial" w:cs="Arial"/>
                <w:noProof/>
                <w:sz w:val="16"/>
                <w:szCs w:val="16"/>
              </w:rPr>
            </w:pPr>
            <w:bookmarkStart w:id="46" w:name="_Toc371338634"/>
            <w:r>
              <w:rPr>
                <w:sz w:val="16"/>
                <w:szCs w:val="16"/>
                <w:lang w:val="mn-MN"/>
              </w:rPr>
              <w:t xml:space="preserve">Зураг </w:t>
            </w:r>
            <w:r w:rsidRPr="00630B23">
              <w:rPr>
                <w:sz w:val="16"/>
                <w:szCs w:val="16"/>
                <w:lang w:val="mn-MN"/>
              </w:rPr>
              <w:fldChar w:fldCharType="begin"/>
            </w:r>
            <w:r w:rsidRPr="00630B23">
              <w:rPr>
                <w:sz w:val="16"/>
                <w:szCs w:val="16"/>
                <w:lang w:val="mn-MN"/>
              </w:rPr>
              <w:instrText xml:space="preserve"> SEQ Figure \* ARABIC </w:instrText>
            </w:r>
            <w:r w:rsidRPr="00630B23">
              <w:rPr>
                <w:sz w:val="16"/>
                <w:szCs w:val="16"/>
                <w:lang w:val="mn-MN"/>
              </w:rPr>
              <w:fldChar w:fldCharType="separate"/>
            </w:r>
            <w:r w:rsidRPr="00630B23">
              <w:rPr>
                <w:sz w:val="16"/>
                <w:szCs w:val="16"/>
                <w:lang w:val="mn-MN"/>
              </w:rPr>
              <w:t>27</w:t>
            </w:r>
            <w:r w:rsidRPr="00630B23">
              <w:rPr>
                <w:sz w:val="16"/>
                <w:szCs w:val="16"/>
                <w:lang w:val="mn-MN"/>
              </w:rPr>
              <w:fldChar w:fldCharType="end"/>
            </w:r>
            <w:r w:rsidRPr="00630B23">
              <w:rPr>
                <w:sz w:val="16"/>
                <w:szCs w:val="16"/>
                <w:lang w:val="mn-MN"/>
              </w:rPr>
              <w:t xml:space="preserve">. </w:t>
            </w:r>
            <w:r>
              <w:rPr>
                <w:sz w:val="16"/>
                <w:szCs w:val="16"/>
                <w:lang w:val="mn-MN"/>
              </w:rPr>
              <w:t>Т</w:t>
            </w:r>
            <w:r w:rsidRPr="00630B23">
              <w:rPr>
                <w:sz w:val="16"/>
                <w:szCs w:val="16"/>
                <w:lang w:val="mn-MN"/>
              </w:rPr>
              <w:t>өсвөөс гадуурхи зарлагыг оролцуулаад төсвийн нийт тэнцэл ДНБ-ий 1</w:t>
            </w:r>
            <w:r w:rsidR="0017164F">
              <w:rPr>
                <w:sz w:val="16"/>
                <w:szCs w:val="16"/>
                <w:lang w:val="mn-MN"/>
              </w:rPr>
              <w:t>2</w:t>
            </w:r>
            <w:r w:rsidRPr="00630B23">
              <w:rPr>
                <w:sz w:val="16"/>
                <w:szCs w:val="16"/>
                <w:lang w:val="mn-MN"/>
              </w:rPr>
              <w:t xml:space="preserve"> гаран хувийг эзлэх болно</w:t>
            </w:r>
            <w:bookmarkEnd w:id="46"/>
          </w:p>
        </w:tc>
      </w:tr>
      <w:tr w:rsidR="008003C7" w14:paraId="67286946" w14:textId="77777777" w:rsidTr="008003C7">
        <w:trPr>
          <w:trHeight w:val="3221"/>
        </w:trPr>
        <w:tc>
          <w:tcPr>
            <w:tcW w:w="4672" w:type="dxa"/>
            <w:gridSpan w:val="3"/>
            <w:tcBorders>
              <w:top w:val="single" w:sz="4" w:space="0" w:color="984806" w:themeColor="accent6" w:themeShade="80"/>
              <w:left w:val="nil"/>
              <w:bottom w:val="nil"/>
              <w:right w:val="nil"/>
            </w:tcBorders>
            <w:hideMark/>
          </w:tcPr>
          <w:p w14:paraId="5B81370F" w14:textId="5885F247" w:rsidR="008003C7" w:rsidRDefault="008003C7">
            <w:pPr>
              <w:pStyle w:val="NoSpacing"/>
            </w:pPr>
            <w:r>
              <w:rPr>
                <w:noProof/>
              </w:rPr>
              <w:drawing>
                <wp:anchor distT="0" distB="0" distL="114300" distR="114300" simplePos="0" relativeHeight="251768320" behindDoc="0" locked="0" layoutInCell="1" allowOverlap="1" wp14:anchorId="20193CAC" wp14:editId="1403183B">
                  <wp:simplePos x="0" y="0"/>
                  <wp:positionH relativeFrom="column">
                    <wp:posOffset>-61595</wp:posOffset>
                  </wp:positionH>
                  <wp:positionV relativeFrom="paragraph">
                    <wp:posOffset>162560</wp:posOffset>
                  </wp:positionV>
                  <wp:extent cx="2865755" cy="1775460"/>
                  <wp:effectExtent l="0" t="0" r="0" b="0"/>
                  <wp:wrapSquare wrapText="bothSides"/>
                  <wp:docPr id="346" name="Chart 346"/>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page">
                    <wp14:pctWidth>0</wp14:pctWidth>
                  </wp14:sizeRelH>
                  <wp14:sizeRelV relativeFrom="page">
                    <wp14:pctHeight>0</wp14:pctHeight>
                  </wp14:sizeRelV>
                </wp:anchor>
              </w:drawing>
            </w:r>
            <w:r>
              <w:rPr>
                <w:sz w:val="16"/>
                <w:lang w:val="mn-MN"/>
              </w:rPr>
              <w:t>Т</w:t>
            </w:r>
            <w:r>
              <w:rPr>
                <w:rFonts w:ascii="Arial" w:hAnsi="Arial" w:cs="Arial"/>
                <w:sz w:val="16"/>
                <w:lang w:val="mn-MN"/>
              </w:rPr>
              <w:t xml:space="preserve">өсөвт байгаа болон төсвөөс гадуурхи </w:t>
            </w:r>
            <w:r>
              <w:rPr>
                <w:sz w:val="16"/>
                <w:lang w:val="mn-MN"/>
              </w:rPr>
              <w:t xml:space="preserve">зардал </w:t>
            </w:r>
            <w:r>
              <w:rPr>
                <w:sz w:val="16"/>
              </w:rPr>
              <w:t>(</w:t>
            </w:r>
            <w:r>
              <w:rPr>
                <w:sz w:val="16"/>
                <w:lang w:val="mn-MN"/>
              </w:rPr>
              <w:t>тэрбум т</w:t>
            </w:r>
            <w:r>
              <w:rPr>
                <w:rFonts w:ascii="Arial" w:hAnsi="Arial" w:cs="Arial"/>
                <w:sz w:val="16"/>
                <w:lang w:val="mn-MN"/>
              </w:rPr>
              <w:t>өгрөг</w:t>
            </w:r>
            <w:r>
              <w:rPr>
                <w:sz w:val="16"/>
              </w:rPr>
              <w:t>)</w:t>
            </w:r>
          </w:p>
        </w:tc>
        <w:tc>
          <w:tcPr>
            <w:tcW w:w="342" w:type="dxa"/>
            <w:gridSpan w:val="2"/>
          </w:tcPr>
          <w:p w14:paraId="072A29A6" w14:textId="77777777" w:rsidR="008003C7" w:rsidRDefault="008003C7">
            <w:pPr>
              <w:pStyle w:val="NoSpacing"/>
              <w:jc w:val="both"/>
              <w:rPr>
                <w:noProof/>
                <w:sz w:val="2"/>
                <w:lang w:eastAsia="ko-KR"/>
              </w:rPr>
            </w:pPr>
          </w:p>
          <w:p w14:paraId="778C67B2" w14:textId="77777777" w:rsidR="008003C7" w:rsidRDefault="008003C7">
            <w:pPr>
              <w:pStyle w:val="NoSpacing"/>
              <w:jc w:val="both"/>
              <w:rPr>
                <w:noProof/>
                <w:sz w:val="2"/>
                <w:lang w:eastAsia="ko-KR"/>
              </w:rPr>
            </w:pPr>
          </w:p>
        </w:tc>
        <w:tc>
          <w:tcPr>
            <w:tcW w:w="4562" w:type="dxa"/>
            <w:gridSpan w:val="2"/>
            <w:tcBorders>
              <w:top w:val="single" w:sz="4" w:space="0" w:color="984806" w:themeColor="accent6" w:themeShade="80"/>
              <w:left w:val="nil"/>
              <w:bottom w:val="nil"/>
              <w:right w:val="nil"/>
            </w:tcBorders>
            <w:hideMark/>
          </w:tcPr>
          <w:p w14:paraId="6072FFD0" w14:textId="77777777" w:rsidR="008003C7" w:rsidRDefault="008003C7">
            <w:pPr>
              <w:pStyle w:val="NoSpacing"/>
              <w:jc w:val="both"/>
              <w:rPr>
                <w:sz w:val="16"/>
              </w:rPr>
            </w:pPr>
            <w:r>
              <w:rPr>
                <w:sz w:val="16"/>
                <w:lang w:val="mn-MN"/>
              </w:rPr>
              <w:t>Т</w:t>
            </w:r>
            <w:r>
              <w:rPr>
                <w:rFonts w:ascii="Arial" w:hAnsi="Arial" w:cs="Arial"/>
                <w:sz w:val="16"/>
                <w:lang w:val="mn-MN"/>
              </w:rPr>
              <w:t>өсвийн нийт тэнцлийн ДНБ</w:t>
            </w:r>
            <w:r>
              <w:rPr>
                <w:rFonts w:ascii="Arial" w:hAnsi="Arial" w:cs="Arial"/>
                <w:sz w:val="16"/>
              </w:rPr>
              <w:t>-</w:t>
            </w:r>
            <w:r>
              <w:rPr>
                <w:rFonts w:ascii="Arial" w:hAnsi="Arial" w:cs="Arial"/>
                <w:sz w:val="16"/>
                <w:lang w:val="mn-MN"/>
              </w:rPr>
              <w:t>д эзлэх хувь</w:t>
            </w:r>
            <w:r>
              <w:rPr>
                <w:sz w:val="16"/>
              </w:rPr>
              <w:t xml:space="preserve"> (%)</w:t>
            </w:r>
          </w:p>
          <w:p w14:paraId="36CCBAD6" w14:textId="6569476D" w:rsidR="008003C7" w:rsidRDefault="008003C7">
            <w:pPr>
              <w:pStyle w:val="NoSpacing"/>
              <w:jc w:val="both"/>
              <w:rPr>
                <w:lang w:eastAsia="ko-KR"/>
              </w:rPr>
            </w:pPr>
            <w:r>
              <w:rPr>
                <w:noProof/>
              </w:rPr>
              <w:drawing>
                <wp:anchor distT="0" distB="0" distL="114300" distR="114300" simplePos="0" relativeHeight="251769344" behindDoc="0" locked="0" layoutInCell="1" allowOverlap="1" wp14:anchorId="033951F4" wp14:editId="088870B4">
                  <wp:simplePos x="0" y="0"/>
                  <wp:positionH relativeFrom="column">
                    <wp:posOffset>-71755</wp:posOffset>
                  </wp:positionH>
                  <wp:positionV relativeFrom="paragraph">
                    <wp:posOffset>38735</wp:posOffset>
                  </wp:positionV>
                  <wp:extent cx="2980690" cy="1725295"/>
                  <wp:effectExtent l="0" t="0" r="0" b="0"/>
                  <wp:wrapSquare wrapText="bothSides"/>
                  <wp:docPr id="345" name="Chart 345"/>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page">
                    <wp14:pctWidth>0</wp14:pctWidth>
                  </wp14:sizeRelH>
                  <wp14:sizeRelV relativeFrom="page">
                    <wp14:pctHeight>0</wp14:pctHeight>
                  </wp14:sizeRelV>
                </wp:anchor>
              </w:drawing>
            </w:r>
          </w:p>
        </w:tc>
      </w:tr>
      <w:tr w:rsidR="008003C7" w14:paraId="13C5CB59" w14:textId="77777777" w:rsidTr="008003C7">
        <w:trPr>
          <w:trHeight w:val="89"/>
        </w:trPr>
        <w:tc>
          <w:tcPr>
            <w:tcW w:w="3936" w:type="dxa"/>
            <w:hideMark/>
          </w:tcPr>
          <w:p w14:paraId="145B91DA" w14:textId="77777777" w:rsidR="008003C7" w:rsidRDefault="008003C7">
            <w:pPr>
              <w:pStyle w:val="NoSpacing"/>
              <w:jc w:val="both"/>
              <w:rPr>
                <w:rFonts w:ascii="Arial" w:hAnsi="Arial" w:cs="Arial"/>
                <w:sz w:val="14"/>
                <w:szCs w:val="18"/>
                <w:lang w:val="mn-MN"/>
              </w:rPr>
            </w:pPr>
            <w:r>
              <w:rPr>
                <w:i/>
                <w:sz w:val="14"/>
                <w:szCs w:val="18"/>
                <w:lang w:val="mn-MN"/>
              </w:rPr>
              <w:t xml:space="preserve">Эх </w:t>
            </w:r>
            <w:r>
              <w:rPr>
                <w:rFonts w:ascii="Arial" w:hAnsi="Arial" w:cs="Arial"/>
                <w:i/>
                <w:sz w:val="14"/>
                <w:szCs w:val="18"/>
                <w:lang w:val="mn-MN"/>
              </w:rPr>
              <w:t>үүсвэр</w:t>
            </w:r>
            <w:r>
              <w:rPr>
                <w:i/>
                <w:sz w:val="14"/>
                <w:szCs w:val="18"/>
              </w:rPr>
              <w:t>:</w:t>
            </w:r>
            <w:r>
              <w:rPr>
                <w:rFonts w:ascii="Arial" w:hAnsi="Arial" w:cs="Arial"/>
                <w:sz w:val="14"/>
                <w:szCs w:val="18"/>
                <w:lang w:val="mn-MN"/>
              </w:rPr>
              <w:t>ҮСХ эмхэтгэл, ДБ мэргэжилтнүүдийн тооцоо</w:t>
            </w:r>
          </w:p>
        </w:tc>
        <w:tc>
          <w:tcPr>
            <w:tcW w:w="736" w:type="dxa"/>
            <w:gridSpan w:val="2"/>
          </w:tcPr>
          <w:p w14:paraId="17F70F7F" w14:textId="77777777" w:rsidR="008003C7" w:rsidRDefault="008003C7">
            <w:pPr>
              <w:pStyle w:val="NoSpacing"/>
              <w:jc w:val="both"/>
              <w:rPr>
                <w:i/>
                <w:sz w:val="2"/>
                <w:szCs w:val="18"/>
              </w:rPr>
            </w:pPr>
          </w:p>
        </w:tc>
        <w:tc>
          <w:tcPr>
            <w:tcW w:w="4904" w:type="dxa"/>
            <w:gridSpan w:val="4"/>
          </w:tcPr>
          <w:p w14:paraId="7C1A308F" w14:textId="77777777" w:rsidR="008003C7" w:rsidRDefault="008003C7">
            <w:pPr>
              <w:pStyle w:val="NoSpacing"/>
              <w:jc w:val="both"/>
              <w:rPr>
                <w:sz w:val="14"/>
              </w:rPr>
            </w:pPr>
          </w:p>
        </w:tc>
      </w:tr>
      <w:tr w:rsidR="008003C7" w14:paraId="61ED33EB" w14:textId="77777777" w:rsidTr="008003C7">
        <w:tc>
          <w:tcPr>
            <w:tcW w:w="4861" w:type="dxa"/>
            <w:gridSpan w:val="4"/>
            <w:tcBorders>
              <w:top w:val="nil"/>
              <w:left w:val="nil"/>
              <w:bottom w:val="single" w:sz="4" w:space="0" w:color="984806" w:themeColor="accent6" w:themeShade="80"/>
              <w:right w:val="nil"/>
            </w:tcBorders>
            <w:hideMark/>
          </w:tcPr>
          <w:p w14:paraId="4541D4FE" w14:textId="77777777" w:rsidR="0074125A" w:rsidRDefault="0074125A">
            <w:pPr>
              <w:pStyle w:val="Caption"/>
              <w:keepNext/>
              <w:rPr>
                <w:sz w:val="16"/>
                <w:szCs w:val="16"/>
                <w:lang w:val="mn-MN"/>
              </w:rPr>
            </w:pPr>
          </w:p>
          <w:p w14:paraId="2616D04D" w14:textId="77777777" w:rsidR="008003C7" w:rsidRDefault="008003C7" w:rsidP="00630B23">
            <w:pPr>
              <w:pStyle w:val="Caption"/>
              <w:spacing w:after="0"/>
              <w:rPr>
                <w:color w:val="auto"/>
                <w:sz w:val="16"/>
                <w:szCs w:val="16"/>
              </w:rPr>
            </w:pPr>
            <w:bookmarkStart w:id="47" w:name="_Toc371338635"/>
            <w:r>
              <w:rPr>
                <w:sz w:val="16"/>
                <w:szCs w:val="16"/>
                <w:lang w:val="mn-MN"/>
              </w:rPr>
              <w:t xml:space="preserve">Зураг </w:t>
            </w:r>
            <w:r w:rsidRPr="00630B23">
              <w:rPr>
                <w:sz w:val="16"/>
                <w:szCs w:val="16"/>
                <w:lang w:val="mn-MN"/>
              </w:rPr>
              <w:fldChar w:fldCharType="begin"/>
            </w:r>
            <w:r w:rsidRPr="00630B23">
              <w:rPr>
                <w:sz w:val="16"/>
                <w:szCs w:val="16"/>
                <w:lang w:val="mn-MN"/>
              </w:rPr>
              <w:instrText xml:space="preserve"> SEQ Figure \* ARABIC </w:instrText>
            </w:r>
            <w:r w:rsidRPr="00630B23">
              <w:rPr>
                <w:sz w:val="16"/>
                <w:szCs w:val="16"/>
                <w:lang w:val="mn-MN"/>
              </w:rPr>
              <w:fldChar w:fldCharType="separate"/>
            </w:r>
            <w:r w:rsidRPr="00630B23">
              <w:rPr>
                <w:sz w:val="16"/>
                <w:szCs w:val="16"/>
                <w:lang w:val="mn-MN"/>
              </w:rPr>
              <w:t>28</w:t>
            </w:r>
            <w:r w:rsidRPr="00630B23">
              <w:rPr>
                <w:sz w:val="16"/>
                <w:szCs w:val="16"/>
                <w:lang w:val="mn-MN"/>
              </w:rPr>
              <w:fldChar w:fldCharType="end"/>
            </w:r>
            <w:r w:rsidRPr="00630B23">
              <w:rPr>
                <w:sz w:val="16"/>
                <w:szCs w:val="16"/>
                <w:lang w:val="mn-MN"/>
              </w:rPr>
              <w:t xml:space="preserve">. </w:t>
            </w:r>
            <w:r>
              <w:rPr>
                <w:sz w:val="16"/>
                <w:szCs w:val="16"/>
                <w:lang w:val="mn-MN"/>
              </w:rPr>
              <w:t>Монгол улсын т</w:t>
            </w:r>
            <w:r w:rsidRPr="00630B23">
              <w:rPr>
                <w:sz w:val="16"/>
                <w:szCs w:val="16"/>
                <w:lang w:val="mn-MN"/>
              </w:rPr>
              <w:t>өсвийн алдагдал нь Зүүн Азийн орнууд дотроо хамгийн өндөр нь байна</w:t>
            </w:r>
            <w:bookmarkEnd w:id="47"/>
          </w:p>
        </w:tc>
        <w:tc>
          <w:tcPr>
            <w:tcW w:w="240" w:type="dxa"/>
            <w:gridSpan w:val="2"/>
          </w:tcPr>
          <w:p w14:paraId="5441F1F0" w14:textId="77777777" w:rsidR="008003C7" w:rsidRDefault="008003C7">
            <w:pPr>
              <w:pStyle w:val="Caption"/>
              <w:jc w:val="center"/>
              <w:rPr>
                <w:color w:val="auto"/>
                <w:sz w:val="2"/>
              </w:rPr>
            </w:pPr>
          </w:p>
        </w:tc>
        <w:tc>
          <w:tcPr>
            <w:tcW w:w="4475" w:type="dxa"/>
            <w:tcBorders>
              <w:top w:val="nil"/>
              <w:left w:val="nil"/>
              <w:bottom w:val="single" w:sz="4" w:space="0" w:color="984806" w:themeColor="accent6" w:themeShade="80"/>
              <w:right w:val="nil"/>
            </w:tcBorders>
            <w:hideMark/>
          </w:tcPr>
          <w:p w14:paraId="0994E4E6" w14:textId="77777777" w:rsidR="0074125A" w:rsidRDefault="0074125A">
            <w:pPr>
              <w:pStyle w:val="Caption"/>
              <w:rPr>
                <w:sz w:val="16"/>
                <w:szCs w:val="16"/>
                <w:lang w:val="mn-MN"/>
              </w:rPr>
            </w:pPr>
          </w:p>
          <w:p w14:paraId="00EB6779" w14:textId="77777777" w:rsidR="008003C7" w:rsidRDefault="008003C7" w:rsidP="00630B23">
            <w:pPr>
              <w:pStyle w:val="Caption"/>
              <w:spacing w:after="0"/>
              <w:rPr>
                <w:rFonts w:ascii="Arial" w:hAnsi="Arial" w:cs="Arial"/>
                <w:noProof/>
                <w:sz w:val="16"/>
                <w:szCs w:val="16"/>
              </w:rPr>
            </w:pPr>
            <w:bookmarkStart w:id="48" w:name="_Toc371338636"/>
            <w:r>
              <w:rPr>
                <w:sz w:val="16"/>
                <w:szCs w:val="16"/>
                <w:lang w:val="mn-MN"/>
              </w:rPr>
              <w:t xml:space="preserve">Зураг </w:t>
            </w:r>
            <w:r w:rsidRPr="00630B23">
              <w:rPr>
                <w:sz w:val="16"/>
                <w:szCs w:val="16"/>
                <w:lang w:val="mn-MN"/>
              </w:rPr>
              <w:fldChar w:fldCharType="begin"/>
            </w:r>
            <w:r w:rsidRPr="00630B23">
              <w:rPr>
                <w:sz w:val="16"/>
                <w:szCs w:val="16"/>
                <w:lang w:val="mn-MN"/>
              </w:rPr>
              <w:instrText xml:space="preserve"> SEQ Figure \* ARABIC </w:instrText>
            </w:r>
            <w:r w:rsidRPr="00630B23">
              <w:rPr>
                <w:sz w:val="16"/>
                <w:szCs w:val="16"/>
                <w:lang w:val="mn-MN"/>
              </w:rPr>
              <w:fldChar w:fldCharType="separate"/>
            </w:r>
            <w:r w:rsidRPr="00630B23">
              <w:rPr>
                <w:sz w:val="16"/>
                <w:szCs w:val="16"/>
                <w:lang w:val="mn-MN"/>
              </w:rPr>
              <w:t>29</w:t>
            </w:r>
            <w:r w:rsidRPr="00630B23">
              <w:rPr>
                <w:sz w:val="16"/>
                <w:szCs w:val="16"/>
                <w:lang w:val="mn-MN"/>
              </w:rPr>
              <w:fldChar w:fldCharType="end"/>
            </w:r>
            <w:r w:rsidRPr="00630B23">
              <w:rPr>
                <w:sz w:val="16"/>
                <w:szCs w:val="16"/>
                <w:lang w:val="mn-MN"/>
              </w:rPr>
              <w:t xml:space="preserve">. </w:t>
            </w:r>
            <w:r>
              <w:rPr>
                <w:sz w:val="16"/>
                <w:szCs w:val="16"/>
                <w:lang w:val="mn-MN"/>
              </w:rPr>
              <w:t>Засгийн газрын зардлын ДНБ</w:t>
            </w:r>
            <w:r w:rsidRPr="00630B23">
              <w:rPr>
                <w:sz w:val="16"/>
                <w:szCs w:val="16"/>
                <w:lang w:val="mn-MN"/>
              </w:rPr>
              <w:t>-</w:t>
            </w:r>
            <w:r>
              <w:rPr>
                <w:sz w:val="16"/>
                <w:szCs w:val="16"/>
                <w:lang w:val="mn-MN"/>
              </w:rPr>
              <w:t>д эзлэх хувь ДНБ</w:t>
            </w:r>
            <w:r w:rsidRPr="00630B23">
              <w:rPr>
                <w:sz w:val="16"/>
                <w:szCs w:val="16"/>
                <w:lang w:val="mn-MN"/>
              </w:rPr>
              <w:t>-</w:t>
            </w:r>
            <w:r>
              <w:rPr>
                <w:sz w:val="16"/>
                <w:szCs w:val="16"/>
                <w:lang w:val="mn-MN"/>
              </w:rPr>
              <w:t>ий 47 хувиас давахаар байна</w:t>
            </w:r>
            <w:bookmarkEnd w:id="48"/>
          </w:p>
        </w:tc>
      </w:tr>
      <w:tr w:rsidR="008003C7" w14:paraId="65ACE61D" w14:textId="77777777" w:rsidTr="008003C7">
        <w:trPr>
          <w:trHeight w:val="3221"/>
        </w:trPr>
        <w:tc>
          <w:tcPr>
            <w:tcW w:w="4861" w:type="dxa"/>
            <w:gridSpan w:val="4"/>
            <w:tcBorders>
              <w:top w:val="single" w:sz="4" w:space="0" w:color="984806" w:themeColor="accent6" w:themeShade="80"/>
              <w:left w:val="nil"/>
              <w:bottom w:val="nil"/>
              <w:right w:val="nil"/>
            </w:tcBorders>
            <w:hideMark/>
          </w:tcPr>
          <w:p w14:paraId="63EDA998" w14:textId="77777777" w:rsidR="008003C7" w:rsidRDefault="008003C7">
            <w:pPr>
              <w:pStyle w:val="NoSpacing"/>
              <w:jc w:val="both"/>
              <w:rPr>
                <w:sz w:val="16"/>
              </w:rPr>
            </w:pPr>
            <w:r w:rsidRPr="00630B23">
              <w:rPr>
                <w:sz w:val="16"/>
                <w:szCs w:val="18"/>
              </w:rPr>
              <w:t>Олон улсын харьцуулалт: Нийт төсвийн тэнцлийн ДНБ-д эзлэх хувь (%)</w:t>
            </w:r>
          </w:p>
          <w:p w14:paraId="2F900EC0" w14:textId="33C959BF" w:rsidR="008003C7" w:rsidRDefault="008003C7">
            <w:pPr>
              <w:pStyle w:val="NoSpacing"/>
              <w:jc w:val="both"/>
            </w:pPr>
            <w:r>
              <w:rPr>
                <w:noProof/>
              </w:rPr>
              <w:drawing>
                <wp:inline distT="0" distB="0" distL="0" distR="0" wp14:anchorId="714F3010" wp14:editId="3B151B69">
                  <wp:extent cx="3181350" cy="1885950"/>
                  <wp:effectExtent l="0" t="0" r="0" b="0"/>
                  <wp:docPr id="337" name="Chart 3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tc>
        <w:tc>
          <w:tcPr>
            <w:tcW w:w="240" w:type="dxa"/>
            <w:gridSpan w:val="2"/>
          </w:tcPr>
          <w:p w14:paraId="4492B01F" w14:textId="77777777" w:rsidR="008003C7" w:rsidRDefault="008003C7">
            <w:pPr>
              <w:pStyle w:val="NoSpacing"/>
              <w:jc w:val="both"/>
              <w:rPr>
                <w:noProof/>
                <w:sz w:val="2"/>
                <w:lang w:eastAsia="ko-KR"/>
              </w:rPr>
            </w:pPr>
          </w:p>
          <w:p w14:paraId="4A7B5CF8" w14:textId="77777777" w:rsidR="008003C7" w:rsidRDefault="008003C7">
            <w:pPr>
              <w:pStyle w:val="NoSpacing"/>
              <w:jc w:val="both"/>
              <w:rPr>
                <w:noProof/>
                <w:sz w:val="2"/>
                <w:lang w:eastAsia="ko-KR"/>
              </w:rPr>
            </w:pPr>
          </w:p>
        </w:tc>
        <w:tc>
          <w:tcPr>
            <w:tcW w:w="4475" w:type="dxa"/>
            <w:tcBorders>
              <w:top w:val="single" w:sz="4" w:space="0" w:color="984806" w:themeColor="accent6" w:themeShade="80"/>
              <w:left w:val="nil"/>
              <w:bottom w:val="nil"/>
              <w:right w:val="nil"/>
            </w:tcBorders>
            <w:hideMark/>
          </w:tcPr>
          <w:p w14:paraId="79AA6969" w14:textId="549B925C" w:rsidR="008003C7" w:rsidRDefault="0074125A">
            <w:pPr>
              <w:pStyle w:val="NoSpacing"/>
              <w:jc w:val="both"/>
              <w:rPr>
                <w:sz w:val="16"/>
                <w:szCs w:val="18"/>
                <w:lang w:eastAsia="ko-KR"/>
              </w:rPr>
            </w:pPr>
            <w:r>
              <w:rPr>
                <w:sz w:val="16"/>
                <w:szCs w:val="18"/>
                <w:lang w:val="mn-MN"/>
              </w:rPr>
              <w:t>Засгийн газрын зарлага болон орлогын ДНБ-д харьцуулсан харьцаа</w:t>
            </w:r>
            <w:r w:rsidR="008003C7">
              <w:rPr>
                <w:sz w:val="16"/>
                <w:szCs w:val="18"/>
              </w:rPr>
              <w:t xml:space="preserve"> (%) </w:t>
            </w:r>
          </w:p>
          <w:p w14:paraId="199AE0C0" w14:textId="19472D35" w:rsidR="008003C7" w:rsidRDefault="008003C7">
            <w:pPr>
              <w:pStyle w:val="NoSpacing"/>
              <w:jc w:val="both"/>
              <w:rPr>
                <w:lang w:eastAsia="ko-KR"/>
              </w:rPr>
            </w:pPr>
            <w:r>
              <w:rPr>
                <w:noProof/>
              </w:rPr>
              <w:drawing>
                <wp:anchor distT="0" distB="0" distL="114300" distR="114300" simplePos="0" relativeHeight="251770368" behindDoc="0" locked="0" layoutInCell="1" allowOverlap="1" wp14:anchorId="4909AB59" wp14:editId="5C096768">
                  <wp:simplePos x="0" y="0"/>
                  <wp:positionH relativeFrom="column">
                    <wp:posOffset>-42545</wp:posOffset>
                  </wp:positionH>
                  <wp:positionV relativeFrom="paragraph">
                    <wp:posOffset>45085</wp:posOffset>
                  </wp:positionV>
                  <wp:extent cx="2950210" cy="1774190"/>
                  <wp:effectExtent l="0" t="0" r="2540" b="0"/>
                  <wp:wrapSquare wrapText="bothSides"/>
                  <wp:docPr id="344" name="Chart 34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p>
        </w:tc>
      </w:tr>
      <w:tr w:rsidR="008003C7" w14:paraId="4F46797A" w14:textId="77777777" w:rsidTr="008003C7">
        <w:trPr>
          <w:trHeight w:val="89"/>
        </w:trPr>
        <w:tc>
          <w:tcPr>
            <w:tcW w:w="4155" w:type="dxa"/>
            <w:gridSpan w:val="2"/>
          </w:tcPr>
          <w:p w14:paraId="3504C180" w14:textId="77777777" w:rsidR="008003C7" w:rsidRDefault="008003C7">
            <w:pPr>
              <w:pStyle w:val="NoSpacing"/>
              <w:jc w:val="both"/>
              <w:rPr>
                <w:sz w:val="14"/>
                <w:szCs w:val="18"/>
              </w:rPr>
            </w:pPr>
            <w:r>
              <w:rPr>
                <w:i/>
                <w:sz w:val="14"/>
                <w:szCs w:val="18"/>
                <w:lang w:val="mn-MN"/>
              </w:rPr>
              <w:t xml:space="preserve">Эх </w:t>
            </w:r>
            <w:r>
              <w:rPr>
                <w:rFonts w:ascii="Arial" w:hAnsi="Arial" w:cs="Arial"/>
                <w:i/>
                <w:sz w:val="14"/>
                <w:szCs w:val="18"/>
                <w:lang w:val="mn-MN"/>
              </w:rPr>
              <w:t>үүсвэр</w:t>
            </w:r>
            <w:r>
              <w:rPr>
                <w:i/>
                <w:sz w:val="14"/>
                <w:szCs w:val="18"/>
              </w:rPr>
              <w:t>:</w:t>
            </w:r>
            <w:r>
              <w:rPr>
                <w:rFonts w:ascii="Arial" w:hAnsi="Arial" w:cs="Arial"/>
                <w:sz w:val="14"/>
                <w:szCs w:val="18"/>
                <w:lang w:val="mn-MN"/>
              </w:rPr>
              <w:t>ҮСХ эмхэтгэл, ДБ мэргэжилтнүүдийн тооцоо</w:t>
            </w:r>
            <w:r>
              <w:rPr>
                <w:sz w:val="14"/>
                <w:szCs w:val="18"/>
                <w:lang w:val="mn-MN"/>
              </w:rPr>
              <w:t xml:space="preserve"> </w:t>
            </w:r>
          </w:p>
          <w:p w14:paraId="1280129C" w14:textId="77777777" w:rsidR="008003C7" w:rsidRDefault="008003C7">
            <w:pPr>
              <w:pStyle w:val="NoSpacing"/>
              <w:jc w:val="both"/>
              <w:rPr>
                <w:sz w:val="14"/>
                <w:szCs w:val="18"/>
              </w:rPr>
            </w:pPr>
          </w:p>
          <w:p w14:paraId="5656AC9C" w14:textId="77777777" w:rsidR="008003C7" w:rsidRDefault="008003C7">
            <w:pPr>
              <w:pStyle w:val="NoSpacing"/>
              <w:jc w:val="both"/>
              <w:rPr>
                <w:sz w:val="14"/>
                <w:szCs w:val="18"/>
              </w:rPr>
            </w:pPr>
          </w:p>
        </w:tc>
        <w:tc>
          <w:tcPr>
            <w:tcW w:w="706" w:type="dxa"/>
            <w:gridSpan w:val="2"/>
          </w:tcPr>
          <w:p w14:paraId="5628B084" w14:textId="77777777" w:rsidR="008003C7" w:rsidRDefault="008003C7">
            <w:pPr>
              <w:pStyle w:val="NoSpacing"/>
              <w:jc w:val="both"/>
              <w:rPr>
                <w:i/>
                <w:sz w:val="2"/>
                <w:szCs w:val="18"/>
              </w:rPr>
            </w:pPr>
          </w:p>
        </w:tc>
        <w:tc>
          <w:tcPr>
            <w:tcW w:w="4715" w:type="dxa"/>
            <w:gridSpan w:val="3"/>
          </w:tcPr>
          <w:p w14:paraId="72089B9B" w14:textId="77777777" w:rsidR="008003C7" w:rsidRDefault="008003C7">
            <w:pPr>
              <w:pStyle w:val="NoSpacing"/>
              <w:jc w:val="both"/>
              <w:rPr>
                <w:sz w:val="14"/>
              </w:rPr>
            </w:pPr>
          </w:p>
        </w:tc>
      </w:tr>
    </w:tbl>
    <w:tbl>
      <w:tblPr>
        <w:tblW w:w="0" w:type="auto"/>
        <w:tblLook w:val="04A0" w:firstRow="1" w:lastRow="0" w:firstColumn="1" w:lastColumn="0" w:noHBand="0" w:noVBand="1"/>
      </w:tblPr>
      <w:tblGrid>
        <w:gridCol w:w="9576"/>
      </w:tblGrid>
      <w:tr w:rsidR="008003C7" w14:paraId="54A6C5E3" w14:textId="77777777" w:rsidTr="008003C7">
        <w:tc>
          <w:tcPr>
            <w:tcW w:w="9576" w:type="dxa"/>
            <w:tcBorders>
              <w:top w:val="single" w:sz="4" w:space="0" w:color="auto"/>
              <w:left w:val="single" w:sz="4" w:space="0" w:color="auto"/>
              <w:bottom w:val="single" w:sz="4" w:space="0" w:color="auto"/>
              <w:right w:val="single" w:sz="4" w:space="0" w:color="auto"/>
            </w:tcBorders>
          </w:tcPr>
          <w:p w14:paraId="209F9700" w14:textId="77777777" w:rsidR="008003C7" w:rsidRDefault="008003C7">
            <w:pPr>
              <w:pStyle w:val="Caption"/>
              <w:keepNext/>
              <w:rPr>
                <w:rFonts w:ascii="Arial" w:hAnsi="Arial" w:cs="Arial"/>
              </w:rPr>
            </w:pPr>
            <w:bookmarkStart w:id="49" w:name="_Toc371339042"/>
            <w:r>
              <w:rPr>
                <w:rFonts w:ascii="Arial" w:hAnsi="Arial" w:cs="Arial"/>
                <w:lang w:val="mn-MN"/>
              </w:rPr>
              <w:t xml:space="preserve">Хайрцаг </w:t>
            </w:r>
            <w:r>
              <w:fldChar w:fldCharType="begin"/>
            </w:r>
            <w:r>
              <w:rPr>
                <w:rFonts w:ascii="Arial" w:hAnsi="Arial" w:cs="Arial"/>
              </w:rPr>
              <w:instrText xml:space="preserve"> SEQ Box \* ARABIC </w:instrText>
            </w:r>
            <w:r>
              <w:fldChar w:fldCharType="separate"/>
            </w:r>
            <w:r>
              <w:rPr>
                <w:rFonts w:ascii="Arial" w:hAnsi="Arial" w:cs="Arial"/>
                <w:noProof/>
              </w:rPr>
              <w:t>3</w:t>
            </w:r>
            <w:r>
              <w:fldChar w:fldCharType="end"/>
            </w:r>
            <w:r>
              <w:rPr>
                <w:rFonts w:ascii="Arial" w:hAnsi="Arial" w:cs="Arial"/>
              </w:rPr>
              <w:t xml:space="preserve">. </w:t>
            </w:r>
            <w:r>
              <w:rPr>
                <w:rFonts w:ascii="Arial" w:hAnsi="Arial" w:cs="Arial"/>
                <w:lang w:val="mn-MN"/>
              </w:rPr>
              <w:t>Төсвөөс гадуурхи зарлага болон Чингис бонд</w:t>
            </w:r>
            <w:bookmarkEnd w:id="49"/>
            <w:r>
              <w:rPr>
                <w:rFonts w:ascii="Arial" w:hAnsi="Arial" w:cs="Arial"/>
                <w:lang w:val="mn-MN"/>
              </w:rPr>
              <w:t xml:space="preserve"> </w:t>
            </w:r>
          </w:p>
          <w:p w14:paraId="6CF68EE2" w14:textId="77777777" w:rsidR="008003C7" w:rsidRDefault="008003C7">
            <w:pPr>
              <w:jc w:val="both"/>
              <w:rPr>
                <w:rFonts w:ascii="Arial" w:hAnsi="Arial" w:cs="Arial"/>
                <w:sz w:val="18"/>
                <w:szCs w:val="18"/>
              </w:rPr>
            </w:pPr>
            <w:r>
              <w:rPr>
                <w:rFonts w:ascii="Arial" w:hAnsi="Arial" w:cs="Arial"/>
                <w:b/>
                <w:sz w:val="18"/>
                <w:szCs w:val="18"/>
                <w:lang w:val="mn-MN"/>
              </w:rPr>
              <w:t>Төсвөөс гадуурхи зарлага</w:t>
            </w:r>
            <w:r>
              <w:rPr>
                <w:rFonts w:ascii="Arial" w:hAnsi="Arial" w:cs="Arial"/>
                <w:b/>
                <w:sz w:val="18"/>
                <w:szCs w:val="18"/>
              </w:rPr>
              <w:t>.</w:t>
            </w:r>
            <w:r>
              <w:rPr>
                <w:rFonts w:ascii="Arial" w:hAnsi="Arial" w:cs="Arial"/>
                <w:sz w:val="18"/>
                <w:szCs w:val="18"/>
              </w:rPr>
              <w:t xml:space="preserve"> </w:t>
            </w:r>
            <w:r>
              <w:rPr>
                <w:rFonts w:ascii="Arial" w:hAnsi="Arial" w:cs="Arial"/>
                <w:sz w:val="18"/>
                <w:szCs w:val="18"/>
                <w:lang w:val="mn-MN"/>
              </w:rPr>
              <w:t>Төсвөөс гадуурхи зарлага гэдэг нь засгийн газрын зарлага боловч эдгээр нь албан ёсны төсөвт бүртгэгдээгүй зарлагаар тодорхойлогдоно. Зарчмын хувьд, засгийн газрын бүх зарлагууд</w:t>
            </w:r>
            <w:r>
              <w:rPr>
                <w:rFonts w:ascii="Arial" w:hAnsi="Arial" w:cs="Arial"/>
                <w:sz w:val="18"/>
                <w:szCs w:val="18"/>
              </w:rPr>
              <w:t xml:space="preserve">– </w:t>
            </w:r>
            <w:r>
              <w:rPr>
                <w:rFonts w:ascii="Arial" w:hAnsi="Arial" w:cs="Arial"/>
                <w:sz w:val="18"/>
                <w:szCs w:val="18"/>
                <w:lang w:val="mn-MN"/>
              </w:rPr>
              <w:t>засгийн газрын татварын</w:t>
            </w:r>
            <w:r>
              <w:rPr>
                <w:rFonts w:ascii="Arial" w:hAnsi="Arial" w:cs="Arial"/>
                <w:sz w:val="18"/>
                <w:szCs w:val="18"/>
              </w:rPr>
              <w:t>/</w:t>
            </w:r>
            <w:r>
              <w:rPr>
                <w:rFonts w:ascii="Arial" w:hAnsi="Arial" w:cs="Arial"/>
                <w:sz w:val="18"/>
                <w:szCs w:val="18"/>
                <w:lang w:val="mn-MN"/>
              </w:rPr>
              <w:t xml:space="preserve"> татварын бус орлого болон зээллэгээр санхүүжигдэж байгаа зарлагыг</w:t>
            </w:r>
            <w:r>
              <w:rPr>
                <w:rFonts w:ascii="Arial" w:hAnsi="Arial" w:cs="Arial"/>
                <w:sz w:val="18"/>
                <w:szCs w:val="18"/>
              </w:rPr>
              <w:t xml:space="preserve">– </w:t>
            </w:r>
            <w:r>
              <w:rPr>
                <w:rFonts w:ascii="Arial" w:hAnsi="Arial" w:cs="Arial"/>
                <w:sz w:val="18"/>
                <w:szCs w:val="18"/>
                <w:lang w:val="mn-MN"/>
              </w:rPr>
              <w:t xml:space="preserve">төсвийн зарлага гэж бүртгэгдэх ёстой. Тухайн санхүүгийн жилд засгийн газрын төсвийн зарлага нь нийт орлогоос </w:t>
            </w:r>
            <w:r>
              <w:rPr>
                <w:rFonts w:ascii="Arial" w:hAnsi="Arial" w:cs="Arial"/>
                <w:sz w:val="18"/>
                <w:szCs w:val="18"/>
              </w:rPr>
              <w:t>(</w:t>
            </w:r>
            <w:r>
              <w:rPr>
                <w:rFonts w:ascii="Arial" w:hAnsi="Arial" w:cs="Arial"/>
                <w:sz w:val="18"/>
                <w:szCs w:val="18"/>
                <w:lang w:val="mn-MN"/>
              </w:rPr>
              <w:t>мөн тэтгэмж</w:t>
            </w:r>
            <w:r>
              <w:rPr>
                <w:rFonts w:ascii="Arial" w:hAnsi="Arial" w:cs="Arial"/>
                <w:sz w:val="18"/>
                <w:szCs w:val="18"/>
              </w:rPr>
              <w:t>)</w:t>
            </w:r>
            <w:r>
              <w:rPr>
                <w:rFonts w:ascii="Arial" w:hAnsi="Arial" w:cs="Arial"/>
                <w:sz w:val="18"/>
                <w:szCs w:val="18"/>
                <w:lang w:val="mn-MN"/>
              </w:rPr>
              <w:t xml:space="preserve"> давж гарч байвал төсвийн алдагдал үүснэ. Уг алдагдал нь голдуу дотоодын зээллэг </w:t>
            </w:r>
            <w:r>
              <w:rPr>
                <w:rFonts w:ascii="Arial" w:hAnsi="Arial" w:cs="Arial"/>
                <w:sz w:val="18"/>
                <w:szCs w:val="18"/>
              </w:rPr>
              <w:t>(</w:t>
            </w:r>
            <w:r>
              <w:rPr>
                <w:rFonts w:ascii="Arial" w:hAnsi="Arial" w:cs="Arial"/>
                <w:sz w:val="18"/>
                <w:szCs w:val="18"/>
                <w:lang w:val="mn-MN"/>
              </w:rPr>
              <w:t>жишээ нь засгийн газрын бонд эсвэл төв банкны зээл</w:t>
            </w:r>
            <w:r>
              <w:rPr>
                <w:rFonts w:ascii="Arial" w:hAnsi="Arial" w:cs="Arial"/>
                <w:sz w:val="18"/>
                <w:szCs w:val="18"/>
              </w:rPr>
              <w:t>)</w:t>
            </w:r>
            <w:r>
              <w:rPr>
                <w:rFonts w:ascii="Arial" w:hAnsi="Arial" w:cs="Arial"/>
                <w:sz w:val="18"/>
                <w:szCs w:val="18"/>
                <w:lang w:val="mn-MN"/>
              </w:rPr>
              <w:t xml:space="preserve"> эсвэл гадаад эх үүсвэрээр</w:t>
            </w:r>
            <w:r>
              <w:rPr>
                <w:rFonts w:ascii="Arial" w:hAnsi="Arial" w:cs="Arial"/>
                <w:sz w:val="18"/>
                <w:szCs w:val="18"/>
              </w:rPr>
              <w:t xml:space="preserve"> (</w:t>
            </w:r>
            <w:r>
              <w:rPr>
                <w:rFonts w:ascii="Arial" w:hAnsi="Arial" w:cs="Arial"/>
                <w:sz w:val="18"/>
                <w:szCs w:val="18"/>
                <w:lang w:val="mn-MN"/>
              </w:rPr>
              <w:t>жишээ нь засгийн газрын гадаад бонд</w:t>
            </w:r>
            <w:r>
              <w:rPr>
                <w:rFonts w:ascii="Arial" w:hAnsi="Arial" w:cs="Arial"/>
                <w:sz w:val="18"/>
                <w:szCs w:val="18"/>
              </w:rPr>
              <w:t>)</w:t>
            </w:r>
            <w:r>
              <w:rPr>
                <w:rFonts w:ascii="Arial" w:hAnsi="Arial" w:cs="Arial"/>
                <w:sz w:val="18"/>
                <w:szCs w:val="18"/>
                <w:lang w:val="mn-MN"/>
              </w:rPr>
              <w:t xml:space="preserve"> санхүүжигддэг</w:t>
            </w:r>
            <w:r>
              <w:rPr>
                <w:rFonts w:ascii="Arial" w:hAnsi="Arial" w:cs="Arial"/>
                <w:sz w:val="18"/>
                <w:szCs w:val="18"/>
              </w:rPr>
              <w:t>.</w:t>
            </w:r>
            <w:r>
              <w:rPr>
                <w:rFonts w:ascii="Arial" w:hAnsi="Arial" w:cs="Arial"/>
                <w:sz w:val="18"/>
                <w:szCs w:val="18"/>
                <w:lang w:val="mn-MN"/>
              </w:rPr>
              <w:t xml:space="preserve"> Засгийн газрын зээллэг нь засгийн газрын орлого маягаар бүртгэгдэхгүй</w:t>
            </w:r>
            <w:r>
              <w:rPr>
                <w:rFonts w:ascii="Arial" w:hAnsi="Arial" w:cs="Arial"/>
                <w:sz w:val="18"/>
                <w:szCs w:val="18"/>
              </w:rPr>
              <w:t xml:space="preserve"> (</w:t>
            </w:r>
            <w:r>
              <w:rPr>
                <w:rFonts w:ascii="Arial" w:hAnsi="Arial" w:cs="Arial"/>
                <w:sz w:val="18"/>
                <w:szCs w:val="18"/>
                <w:lang w:val="mn-MN"/>
              </w:rPr>
              <w:t>шугамнаас дээш</w:t>
            </w:r>
            <w:r>
              <w:rPr>
                <w:rFonts w:ascii="Arial" w:hAnsi="Arial" w:cs="Arial"/>
                <w:sz w:val="18"/>
                <w:szCs w:val="18"/>
              </w:rPr>
              <w:t>)</w:t>
            </w:r>
            <w:r>
              <w:rPr>
                <w:rFonts w:ascii="Arial" w:hAnsi="Arial" w:cs="Arial"/>
                <w:sz w:val="18"/>
                <w:szCs w:val="18"/>
                <w:lang w:val="mn-MN"/>
              </w:rPr>
              <w:t xml:space="preserve"> харин хувь хүмүүс банкнаас зээлсэн мөнгөө өөрийн орлогын нэг хэсэг гэж үздэггүйтэй адилаар санхүүгийн ажил гүйлгээ гэж </w:t>
            </w:r>
            <w:r>
              <w:rPr>
                <w:rFonts w:ascii="Arial" w:hAnsi="Arial" w:cs="Arial"/>
                <w:sz w:val="18"/>
                <w:szCs w:val="18"/>
              </w:rPr>
              <w:t>(</w:t>
            </w:r>
            <w:r>
              <w:rPr>
                <w:rFonts w:ascii="Arial" w:hAnsi="Arial" w:cs="Arial"/>
                <w:sz w:val="18"/>
                <w:szCs w:val="18"/>
                <w:lang w:val="mn-MN"/>
              </w:rPr>
              <w:t>шугамнаас доогуур</w:t>
            </w:r>
            <w:r>
              <w:rPr>
                <w:rFonts w:ascii="Arial" w:hAnsi="Arial" w:cs="Arial"/>
                <w:sz w:val="18"/>
                <w:szCs w:val="18"/>
              </w:rPr>
              <w:t>)</w:t>
            </w:r>
            <w:r>
              <w:rPr>
                <w:rFonts w:ascii="Arial" w:hAnsi="Arial" w:cs="Arial"/>
                <w:sz w:val="18"/>
                <w:szCs w:val="18"/>
                <w:lang w:val="mn-MN"/>
              </w:rPr>
              <w:t xml:space="preserve"> бүртгэх ёстой. </w:t>
            </w:r>
          </w:p>
          <w:p w14:paraId="49D460AC" w14:textId="77777777" w:rsidR="008003C7" w:rsidRDefault="008003C7">
            <w:pPr>
              <w:jc w:val="both"/>
              <w:rPr>
                <w:rFonts w:ascii="Arial" w:hAnsi="Arial" w:cs="Arial"/>
                <w:sz w:val="18"/>
                <w:szCs w:val="18"/>
              </w:rPr>
            </w:pPr>
            <w:r>
              <w:rPr>
                <w:rFonts w:ascii="Arial" w:hAnsi="Arial" w:cs="Arial"/>
                <w:sz w:val="18"/>
                <w:szCs w:val="18"/>
              </w:rPr>
              <w:t>Төсөвт байгаа бүхий л зарлага, орлого болон санхүүгийн ажил гүйлгээг бүртгэх нь маш чухал учир нь энэ нь тухайн улсын засгийн газрын үйл ажиллагаа (</w:t>
            </w:r>
            <w:r>
              <w:rPr>
                <w:rFonts w:ascii="Arial" w:hAnsi="Arial" w:cs="Arial"/>
                <w:sz w:val="18"/>
                <w:szCs w:val="18"/>
                <w:lang w:val="mn-MN"/>
              </w:rPr>
              <w:t>эсвэл сангийн бодлого</w:t>
            </w:r>
            <w:r>
              <w:rPr>
                <w:rFonts w:ascii="Arial" w:hAnsi="Arial" w:cs="Arial"/>
                <w:sz w:val="18"/>
                <w:szCs w:val="18"/>
              </w:rPr>
              <w:t>)</w:t>
            </w:r>
            <w:r>
              <w:rPr>
                <w:rFonts w:ascii="Arial" w:hAnsi="Arial" w:cs="Arial"/>
                <w:sz w:val="18"/>
                <w:szCs w:val="18"/>
                <w:lang w:val="mn-MN"/>
              </w:rPr>
              <w:t xml:space="preserve"> нь төсвөөр дамжин хэрхэн эдийн засагт нөлөө үзүүлж байгааг болон засгийн газрын санхүүгийн өр төлбөр үүний үр дүнд хэрхэн өөрчлөгдөж болохыг харуулдаг. Зарчмын хувьд, хэрвээ засгийн газар нь өөрийн орлогоос илүүг зарвал</w:t>
            </w:r>
            <w:r>
              <w:rPr>
                <w:rFonts w:ascii="Arial" w:hAnsi="Arial" w:cs="Arial"/>
                <w:sz w:val="18"/>
                <w:szCs w:val="18"/>
              </w:rPr>
              <w:t xml:space="preserve"> (</w:t>
            </w:r>
            <w:r>
              <w:rPr>
                <w:rFonts w:ascii="Arial" w:hAnsi="Arial" w:cs="Arial"/>
                <w:sz w:val="18"/>
                <w:szCs w:val="18"/>
                <w:lang w:val="mn-MN"/>
              </w:rPr>
              <w:t>өөрөөр хэлбэл төсвийн алдагдал</w:t>
            </w:r>
            <w:r>
              <w:rPr>
                <w:rFonts w:ascii="Arial" w:hAnsi="Arial" w:cs="Arial"/>
                <w:sz w:val="18"/>
                <w:szCs w:val="18"/>
              </w:rPr>
              <w:t>),</w:t>
            </w:r>
            <w:r>
              <w:rPr>
                <w:rFonts w:ascii="Arial" w:hAnsi="Arial" w:cs="Arial"/>
                <w:sz w:val="18"/>
                <w:szCs w:val="18"/>
                <w:lang w:val="mn-MN"/>
              </w:rPr>
              <w:t xml:space="preserve"> засгийн газар зээлээр эдийн засгаа урамшуулж байна гэсэн үг. Иймээс хэрвээ засгийн газрын </w:t>
            </w:r>
            <w:r>
              <w:rPr>
                <w:rFonts w:ascii="Arial" w:hAnsi="Arial" w:cs="Arial"/>
                <w:sz w:val="18"/>
                <w:szCs w:val="18"/>
                <w:lang w:val="mn-MN"/>
              </w:rPr>
              <w:lastRenderedPageBreak/>
              <w:t>өрөөр санхүүжүүлж байгаа хэсэг нь төсөвт бүртгэгдэхгүй байвал тухайн засгийн газрын үйл ажиллагааны эдийн засагт үзүүлж буй нөлөөллийг дутуу үнэлэн, зээлээр санхүүжүүлж байгаа бодит зарлагыг</w:t>
            </w:r>
            <w:r>
              <w:rPr>
                <w:rFonts w:ascii="Arial" w:hAnsi="Arial" w:cs="Arial"/>
                <w:sz w:val="18"/>
                <w:szCs w:val="18"/>
              </w:rPr>
              <w:t>(</w:t>
            </w:r>
            <w:r>
              <w:rPr>
                <w:rFonts w:ascii="Arial" w:hAnsi="Arial" w:cs="Arial"/>
                <w:sz w:val="18"/>
                <w:szCs w:val="18"/>
                <w:lang w:val="mn-MN"/>
              </w:rPr>
              <w:t>мөн төсвийн алдагдал</w:t>
            </w:r>
            <w:r>
              <w:rPr>
                <w:rFonts w:ascii="Arial" w:hAnsi="Arial" w:cs="Arial"/>
                <w:sz w:val="18"/>
                <w:szCs w:val="18"/>
              </w:rPr>
              <w:t>)</w:t>
            </w:r>
            <w:r>
              <w:rPr>
                <w:rFonts w:ascii="Arial" w:hAnsi="Arial" w:cs="Arial"/>
                <w:sz w:val="18"/>
                <w:szCs w:val="18"/>
                <w:lang w:val="mn-MN"/>
              </w:rPr>
              <w:t xml:space="preserve"> бууруулж байгаа бөгөөд сангийн бодлогын бодит тэлэлтийг дутуу харуулна. </w:t>
            </w:r>
          </w:p>
          <w:p w14:paraId="738D87F7" w14:textId="77777777" w:rsidR="008003C7" w:rsidRDefault="008003C7">
            <w:pPr>
              <w:jc w:val="both"/>
              <w:rPr>
                <w:rFonts w:ascii="Arial" w:hAnsi="Arial" w:cs="Arial"/>
                <w:sz w:val="18"/>
                <w:szCs w:val="18"/>
              </w:rPr>
            </w:pPr>
            <w:r>
              <w:rPr>
                <w:rFonts w:ascii="Arial" w:hAnsi="Arial" w:cs="Arial"/>
                <w:b/>
                <w:sz w:val="18"/>
                <w:szCs w:val="18"/>
                <w:lang w:val="mn-MN"/>
              </w:rPr>
              <w:t>Чингис бонд</w:t>
            </w:r>
            <w:r>
              <w:rPr>
                <w:rFonts w:ascii="Arial" w:hAnsi="Arial" w:cs="Arial"/>
                <w:b/>
                <w:sz w:val="18"/>
                <w:szCs w:val="18"/>
              </w:rPr>
              <w:t xml:space="preserve">. </w:t>
            </w:r>
            <w:r>
              <w:rPr>
                <w:rFonts w:ascii="Arial" w:hAnsi="Arial" w:cs="Arial"/>
                <w:sz w:val="18"/>
                <w:szCs w:val="18"/>
                <w:lang w:val="mn-MN"/>
              </w:rPr>
              <w:t xml:space="preserve">Монгол улсын хувьд, Чингис бонд нь төсвөөс гадуурхи зарлагын маргааны төв нь байсаар ирсэн. Чингис бондыг 2012 оны 11 сард Засгийн газар шууд гаргасан  бөгөөд бондыг татвар төлөгчдийн мөнгөөр 2017 болон 2022 онд эргэн төлөх ёстой. Иймээс Чингис бондын орлогыг засгийн газар хүлээн авахдаа санхүүгийн гүйлгээтэй адил авч үзэх ёстой </w:t>
            </w:r>
            <w:r>
              <w:rPr>
                <w:rFonts w:ascii="Arial" w:hAnsi="Arial" w:cs="Arial"/>
                <w:sz w:val="18"/>
                <w:szCs w:val="18"/>
              </w:rPr>
              <w:t>(</w:t>
            </w:r>
            <w:r>
              <w:rPr>
                <w:rFonts w:ascii="Arial" w:hAnsi="Arial" w:cs="Arial"/>
                <w:sz w:val="18"/>
                <w:szCs w:val="18"/>
                <w:lang w:val="mn-MN"/>
              </w:rPr>
              <w:t>энэ нь засгийн газрын гадаад өр төлбөрийг нэмэгдүүлж, Төв банк дахь засгийн газрын хадгаламжийг харгалзан нэмэгдүүлнэ</w:t>
            </w:r>
            <w:r>
              <w:rPr>
                <w:rFonts w:ascii="Arial" w:hAnsi="Arial" w:cs="Arial"/>
                <w:sz w:val="18"/>
                <w:szCs w:val="18"/>
              </w:rPr>
              <w:t>).</w:t>
            </w:r>
            <w:r>
              <w:rPr>
                <w:rFonts w:ascii="Arial" w:hAnsi="Arial" w:cs="Arial"/>
                <w:sz w:val="18"/>
                <w:szCs w:val="18"/>
                <w:lang w:val="mn-MN"/>
              </w:rPr>
              <w:t xml:space="preserve"> Засгийн газар орлогыг ашиглан тодорхой төслүүдийг санхүүжүүлэхээр эхэлсэн бол бондын орлого нь засгийн газрын хадгаламжаас гарах бөгөөд уг хэмжээг нь төсвийн зарлага байдлаар бүртгэгдэх ёстой</w:t>
            </w:r>
            <w:r>
              <w:rPr>
                <w:rFonts w:ascii="Arial" w:hAnsi="Arial" w:cs="Arial"/>
                <w:sz w:val="18"/>
                <w:szCs w:val="18"/>
              </w:rPr>
              <w:t xml:space="preserve"> – </w:t>
            </w:r>
            <w:r>
              <w:rPr>
                <w:rFonts w:ascii="Arial" w:hAnsi="Arial" w:cs="Arial"/>
                <w:sz w:val="18"/>
                <w:szCs w:val="18"/>
                <w:lang w:val="mn-MN"/>
              </w:rPr>
              <w:t>эсвэл шууд зардлаар</w:t>
            </w:r>
            <w:r>
              <w:rPr>
                <w:rFonts w:ascii="Arial" w:hAnsi="Arial" w:cs="Arial"/>
                <w:sz w:val="18"/>
                <w:szCs w:val="18"/>
              </w:rPr>
              <w:t xml:space="preserve"> (</w:t>
            </w:r>
            <w:r>
              <w:rPr>
                <w:rFonts w:ascii="Arial" w:hAnsi="Arial" w:cs="Arial"/>
                <w:sz w:val="18"/>
                <w:szCs w:val="18"/>
                <w:lang w:val="mn-MN"/>
              </w:rPr>
              <w:t>хэрвээ энэ нь шууд засгийн газраас зарцуулсан бол</w:t>
            </w:r>
            <w:r>
              <w:rPr>
                <w:rFonts w:ascii="Arial" w:hAnsi="Arial" w:cs="Arial"/>
                <w:sz w:val="18"/>
                <w:szCs w:val="18"/>
              </w:rPr>
              <w:t xml:space="preserve">) </w:t>
            </w:r>
            <w:r>
              <w:rPr>
                <w:rFonts w:ascii="Arial" w:hAnsi="Arial" w:cs="Arial"/>
                <w:sz w:val="18"/>
                <w:szCs w:val="18"/>
                <w:lang w:val="mn-MN"/>
              </w:rPr>
              <w:t>эсвэл Монгол улсын хөгжлийн банкинд өгсөн цэвэр зээллэгээр</w:t>
            </w:r>
            <w:r>
              <w:rPr>
                <w:rFonts w:ascii="Arial" w:hAnsi="Arial" w:cs="Arial"/>
                <w:sz w:val="18"/>
                <w:szCs w:val="18"/>
              </w:rPr>
              <w:t xml:space="preserve"> (</w:t>
            </w:r>
            <w:r>
              <w:rPr>
                <w:rFonts w:ascii="Arial" w:hAnsi="Arial" w:cs="Arial"/>
                <w:sz w:val="18"/>
                <w:szCs w:val="18"/>
                <w:lang w:val="mn-MN"/>
              </w:rPr>
              <w:t>хэрвээ энэ нь МУХБ</w:t>
            </w:r>
            <w:r>
              <w:rPr>
                <w:rFonts w:ascii="Arial" w:hAnsi="Arial" w:cs="Arial"/>
                <w:sz w:val="18"/>
                <w:szCs w:val="18"/>
              </w:rPr>
              <w:t xml:space="preserve">-д шилжиж, уг банк улсын хөрөнгө оруулалтын төслүүдийг санхүүжүүлж байгаа бол).  </w:t>
            </w:r>
            <w:r>
              <w:rPr>
                <w:rFonts w:ascii="Arial" w:hAnsi="Arial" w:cs="Arial"/>
                <w:sz w:val="18"/>
                <w:szCs w:val="18"/>
                <w:lang w:val="mn-MN"/>
              </w:rPr>
              <w:t>2012 онд гаргасан МУХБ</w:t>
            </w:r>
            <w:r>
              <w:rPr>
                <w:rFonts w:ascii="Arial" w:hAnsi="Arial" w:cs="Arial"/>
                <w:sz w:val="18"/>
                <w:szCs w:val="18"/>
              </w:rPr>
              <w:t>-</w:t>
            </w:r>
            <w:r>
              <w:rPr>
                <w:rFonts w:ascii="Arial" w:hAnsi="Arial" w:cs="Arial"/>
                <w:sz w:val="18"/>
                <w:szCs w:val="18"/>
                <w:lang w:val="mn-MN"/>
              </w:rPr>
              <w:t>ны бонд нь засгийн газрын шууд баталгаатайгаар гаргасан бондтой адилхан. МУХБ бондын орлогыг ч мөн хугацаа нь дуусахаар МУХБ хөрөнгө оруулсан төслүүдээсээ эргэн төлөх санхүүгийн үр өгөөж босгож чадахгүй бол татвар төлөгчдийн мөнгөөр эргэн төлөх ёстой. Иймээс Чингис бонд болон МУХБ</w:t>
            </w:r>
            <w:r>
              <w:rPr>
                <w:rFonts w:ascii="Arial" w:hAnsi="Arial" w:cs="Arial"/>
                <w:sz w:val="18"/>
                <w:szCs w:val="18"/>
              </w:rPr>
              <w:t>-</w:t>
            </w:r>
            <w:r>
              <w:rPr>
                <w:rFonts w:ascii="Arial" w:hAnsi="Arial" w:cs="Arial"/>
                <w:sz w:val="18"/>
                <w:szCs w:val="18"/>
                <w:lang w:val="mn-MN"/>
              </w:rPr>
              <w:t xml:space="preserve">ийн санхүүжүүлж байгаа төслүүдийг албан ёсны төсвөөс гаргах нь засгийн газрын зарлагын хэмжээ болон төсвийн алдагдлын хэмжээг дутуу тайлагнаж байна гэсэн үг. </w:t>
            </w:r>
          </w:p>
          <w:p w14:paraId="17A5F4A3" w14:textId="77777777" w:rsidR="008003C7" w:rsidRDefault="008003C7">
            <w:pPr>
              <w:jc w:val="both"/>
              <w:rPr>
                <w:rFonts w:ascii="Arial" w:hAnsi="Arial" w:cs="Arial"/>
                <w:sz w:val="18"/>
                <w:szCs w:val="20"/>
              </w:rPr>
            </w:pPr>
            <w:r>
              <w:rPr>
                <w:rFonts w:ascii="Arial" w:hAnsi="Arial" w:cs="Arial"/>
                <w:sz w:val="18"/>
                <w:szCs w:val="18"/>
                <w:lang w:val="mn-MN"/>
              </w:rPr>
              <w:t>Эх үүсвэр</w:t>
            </w:r>
            <w:r>
              <w:rPr>
                <w:rFonts w:ascii="Arial" w:hAnsi="Arial" w:cs="Arial"/>
                <w:sz w:val="18"/>
                <w:szCs w:val="18"/>
              </w:rPr>
              <w:t xml:space="preserve">: </w:t>
            </w:r>
            <w:r>
              <w:rPr>
                <w:rFonts w:ascii="Arial" w:hAnsi="Arial" w:cs="Arial"/>
                <w:sz w:val="18"/>
                <w:szCs w:val="18"/>
                <w:lang w:val="mn-MN"/>
              </w:rPr>
              <w:t>ДБ-ны мэргэжилтнүүд</w:t>
            </w:r>
          </w:p>
        </w:tc>
      </w:tr>
    </w:tbl>
    <w:p w14:paraId="1D0289E8" w14:textId="77777777" w:rsidR="008003C7" w:rsidRDefault="008003C7" w:rsidP="008003C7">
      <w:pPr>
        <w:jc w:val="both"/>
        <w:rPr>
          <w:rFonts w:ascii="Arial" w:hAnsi="Arial" w:cs="Arial"/>
          <w:b/>
          <w:sz w:val="20"/>
          <w:szCs w:val="20"/>
        </w:rPr>
      </w:pPr>
    </w:p>
    <w:p w14:paraId="0571471A" w14:textId="2DD3BFD2" w:rsidR="008003C7" w:rsidRDefault="008003C7" w:rsidP="008003C7">
      <w:pPr>
        <w:jc w:val="both"/>
        <w:rPr>
          <w:rFonts w:ascii="Arial" w:hAnsi="Arial" w:cs="Arial"/>
          <w:sz w:val="20"/>
          <w:szCs w:val="20"/>
        </w:rPr>
      </w:pPr>
      <w:r>
        <w:rPr>
          <w:rFonts w:ascii="Arial" w:hAnsi="Arial" w:cs="Arial"/>
          <w:b/>
          <w:sz w:val="20"/>
          <w:szCs w:val="20"/>
          <w:lang w:val="mn-MN"/>
        </w:rPr>
        <w:t xml:space="preserve">Улсын өр нэмэгдэж байна. </w:t>
      </w:r>
      <w:r>
        <w:rPr>
          <w:rFonts w:ascii="Arial" w:hAnsi="Arial" w:cs="Arial"/>
          <w:sz w:val="20"/>
          <w:szCs w:val="20"/>
        </w:rPr>
        <w:t>(</w:t>
      </w:r>
      <w:r>
        <w:rPr>
          <w:rFonts w:ascii="Arial" w:hAnsi="Arial" w:cs="Arial"/>
          <w:sz w:val="20"/>
          <w:szCs w:val="20"/>
          <w:lang w:val="mn-MN"/>
        </w:rPr>
        <w:t>Зураг</w:t>
      </w:r>
      <w:r>
        <w:rPr>
          <w:rFonts w:ascii="Arial" w:hAnsi="Arial" w:cs="Arial"/>
          <w:sz w:val="20"/>
          <w:szCs w:val="20"/>
        </w:rPr>
        <w:t xml:space="preserve"> 30)</w:t>
      </w:r>
      <w:r>
        <w:rPr>
          <w:rFonts w:ascii="Arial" w:hAnsi="Arial" w:cs="Arial"/>
          <w:sz w:val="20"/>
          <w:szCs w:val="20"/>
          <w:lang w:val="mn-MN"/>
        </w:rPr>
        <w:t xml:space="preserve"> Монгол улсын өр 2012 онд 8.8 их наядад хүрсэн</w:t>
      </w:r>
      <w:r>
        <w:rPr>
          <w:rFonts w:ascii="Arial" w:hAnsi="Arial" w:cs="Arial"/>
          <w:sz w:val="20"/>
          <w:szCs w:val="20"/>
        </w:rPr>
        <w:t xml:space="preserve"> –</w:t>
      </w:r>
      <w:r>
        <w:rPr>
          <w:rFonts w:ascii="Arial" w:hAnsi="Arial" w:cs="Arial"/>
          <w:sz w:val="20"/>
          <w:szCs w:val="20"/>
          <w:lang w:val="mn-MN"/>
        </w:rPr>
        <w:t xml:space="preserve"> энэ нь ДНБ</w:t>
      </w:r>
      <w:r>
        <w:rPr>
          <w:rFonts w:ascii="Arial" w:hAnsi="Arial" w:cs="Arial"/>
          <w:sz w:val="20"/>
          <w:szCs w:val="20"/>
        </w:rPr>
        <w:t>-</w:t>
      </w:r>
      <w:r>
        <w:rPr>
          <w:rFonts w:ascii="Arial" w:hAnsi="Arial" w:cs="Arial"/>
          <w:sz w:val="20"/>
          <w:szCs w:val="20"/>
          <w:lang w:val="mn-MN"/>
        </w:rPr>
        <w:t>ий 63 хувьтай тэнцүү. Энэ нь 2011 онд 4.3 их наяд байсан бол нэмэгдэж ДНБ</w:t>
      </w:r>
      <w:r>
        <w:rPr>
          <w:rFonts w:ascii="Arial" w:hAnsi="Arial" w:cs="Arial"/>
          <w:sz w:val="20"/>
          <w:szCs w:val="20"/>
        </w:rPr>
        <w:t>-</w:t>
      </w:r>
      <w:r>
        <w:rPr>
          <w:rFonts w:ascii="Arial" w:hAnsi="Arial" w:cs="Arial"/>
          <w:sz w:val="20"/>
          <w:szCs w:val="20"/>
          <w:lang w:val="mn-MN"/>
        </w:rPr>
        <w:t xml:space="preserve">ий 30 хувиас илүү гарсан. Гадаад өр 2011 онд </w:t>
      </w:r>
      <w:r>
        <w:rPr>
          <w:rFonts w:ascii="Arial" w:hAnsi="Arial" w:cs="Arial"/>
          <w:sz w:val="20"/>
          <w:szCs w:val="20"/>
        </w:rPr>
        <w:t>2.2</w:t>
      </w:r>
      <w:r>
        <w:rPr>
          <w:rFonts w:ascii="Arial" w:hAnsi="Arial" w:cs="Arial"/>
          <w:sz w:val="20"/>
          <w:szCs w:val="20"/>
          <w:lang w:val="mn-MN"/>
        </w:rPr>
        <w:t xml:space="preserve"> тэрбум ам.доллар байснаа 2012 онд 4.8 тэрбум ам.долларт хүрч бараг хоёроос илүү дахин нэмэгдсэн нь нийт улсын өрийн 77 хувийг, ДНБ</w:t>
      </w:r>
      <w:r>
        <w:rPr>
          <w:rFonts w:ascii="Arial" w:hAnsi="Arial" w:cs="Arial"/>
          <w:sz w:val="20"/>
          <w:szCs w:val="20"/>
        </w:rPr>
        <w:t>-</w:t>
      </w:r>
      <w:r>
        <w:rPr>
          <w:rFonts w:ascii="Arial" w:hAnsi="Arial" w:cs="Arial"/>
          <w:sz w:val="20"/>
          <w:szCs w:val="20"/>
          <w:lang w:val="mn-MN"/>
        </w:rPr>
        <w:t>ий 48 хувийг эзэлж байгаа нь өнгөрсөн жилийн гаргасан гадаад бондуудыг, үүнд, Чингис бонд</w:t>
      </w:r>
      <w:r>
        <w:rPr>
          <w:rFonts w:ascii="Arial" w:hAnsi="Arial" w:cs="Arial"/>
          <w:sz w:val="20"/>
          <w:szCs w:val="20"/>
        </w:rPr>
        <w:t xml:space="preserve"> (1.5 </w:t>
      </w:r>
      <w:r>
        <w:rPr>
          <w:rFonts w:ascii="Arial" w:hAnsi="Arial" w:cs="Arial"/>
          <w:sz w:val="20"/>
          <w:szCs w:val="20"/>
          <w:lang w:val="mn-MN"/>
        </w:rPr>
        <w:t>тэрбум ам.доллар</w:t>
      </w:r>
      <w:r>
        <w:rPr>
          <w:rFonts w:ascii="Arial" w:hAnsi="Arial" w:cs="Arial"/>
          <w:sz w:val="20"/>
          <w:szCs w:val="20"/>
        </w:rPr>
        <w:t>)</w:t>
      </w:r>
      <w:r>
        <w:rPr>
          <w:rFonts w:ascii="Arial" w:hAnsi="Arial" w:cs="Arial"/>
          <w:sz w:val="20"/>
          <w:szCs w:val="20"/>
          <w:lang w:val="mn-MN"/>
        </w:rPr>
        <w:t xml:space="preserve"> мөн МУХБ</w:t>
      </w:r>
      <w:r>
        <w:rPr>
          <w:rFonts w:ascii="Arial" w:hAnsi="Arial" w:cs="Arial"/>
          <w:sz w:val="20"/>
          <w:szCs w:val="20"/>
        </w:rPr>
        <w:t>-</w:t>
      </w:r>
      <w:r>
        <w:rPr>
          <w:rFonts w:ascii="Arial" w:hAnsi="Arial" w:cs="Arial"/>
          <w:sz w:val="20"/>
          <w:szCs w:val="20"/>
          <w:lang w:val="mn-MN"/>
        </w:rPr>
        <w:t>ны бонд</w:t>
      </w:r>
      <w:r>
        <w:rPr>
          <w:rFonts w:ascii="Arial" w:hAnsi="Arial" w:cs="Arial"/>
          <w:sz w:val="20"/>
          <w:szCs w:val="20"/>
        </w:rPr>
        <w:t xml:space="preserve"> (580 </w:t>
      </w:r>
      <w:r>
        <w:rPr>
          <w:rFonts w:ascii="Arial" w:hAnsi="Arial" w:cs="Arial"/>
          <w:sz w:val="20"/>
          <w:szCs w:val="20"/>
          <w:lang w:val="mn-MN"/>
        </w:rPr>
        <w:t>сая ам.доллар</w:t>
      </w:r>
      <w:r>
        <w:rPr>
          <w:rFonts w:ascii="Arial" w:hAnsi="Arial" w:cs="Arial"/>
          <w:sz w:val="20"/>
          <w:szCs w:val="20"/>
        </w:rPr>
        <w:t>)</w:t>
      </w:r>
      <w:r>
        <w:rPr>
          <w:rFonts w:ascii="Arial" w:hAnsi="Arial" w:cs="Arial"/>
          <w:sz w:val="20"/>
          <w:szCs w:val="20"/>
          <w:lang w:val="mn-MN"/>
        </w:rPr>
        <w:t xml:space="preserve"> илэрхийлж байна</w:t>
      </w:r>
      <w:r>
        <w:rPr>
          <w:rFonts w:ascii="Arial" w:hAnsi="Arial" w:cs="Arial"/>
          <w:sz w:val="20"/>
          <w:szCs w:val="20"/>
        </w:rPr>
        <w:t>.</w:t>
      </w:r>
      <w:r>
        <w:rPr>
          <w:rFonts w:ascii="Arial" w:hAnsi="Arial" w:cs="Arial"/>
          <w:sz w:val="20"/>
          <w:szCs w:val="20"/>
          <w:lang w:val="mn-MN"/>
        </w:rPr>
        <w:t xml:space="preserve"> Үүний үр дүнд гадаад өрийн бүтцэд томоохон өөрчлөлт гарсан. 2012 он хүртэл, улсын гадаад өрийн дийлэнх нь хөнгөлөлттэй зээл байсан</w:t>
      </w:r>
      <w:r>
        <w:rPr>
          <w:rFonts w:ascii="Arial" w:hAnsi="Arial" w:cs="Arial"/>
          <w:sz w:val="20"/>
          <w:szCs w:val="20"/>
        </w:rPr>
        <w:t xml:space="preserve">– </w:t>
      </w:r>
      <w:r>
        <w:rPr>
          <w:rFonts w:ascii="Arial" w:hAnsi="Arial" w:cs="Arial"/>
          <w:sz w:val="20"/>
          <w:szCs w:val="20"/>
          <w:lang w:val="mn-MN"/>
        </w:rPr>
        <w:t xml:space="preserve">энэ нь 2011 онд улсын </w:t>
      </w:r>
      <w:r w:rsidR="004B4337">
        <w:rPr>
          <w:rFonts w:ascii="Arial" w:hAnsi="Arial" w:cs="Arial"/>
          <w:sz w:val="20"/>
          <w:szCs w:val="20"/>
          <w:lang w:val="mn-MN"/>
        </w:rPr>
        <w:t>нийт</w:t>
      </w:r>
      <w:r w:rsidR="004B4337">
        <w:rPr>
          <w:rFonts w:ascii="Arial" w:hAnsi="Arial" w:cs="Arial"/>
          <w:sz w:val="20"/>
          <w:szCs w:val="20"/>
        </w:rPr>
        <w:t xml:space="preserve"> </w:t>
      </w:r>
      <w:r w:rsidR="004B4337">
        <w:rPr>
          <w:rFonts w:ascii="Arial" w:hAnsi="Arial" w:cs="Arial"/>
          <w:sz w:val="20"/>
          <w:szCs w:val="20"/>
          <w:lang w:val="mn-MN"/>
        </w:rPr>
        <w:t xml:space="preserve">гадаад </w:t>
      </w:r>
      <w:r>
        <w:rPr>
          <w:rFonts w:ascii="Arial" w:hAnsi="Arial" w:cs="Arial"/>
          <w:sz w:val="20"/>
          <w:szCs w:val="20"/>
          <w:lang w:val="mn-MN"/>
        </w:rPr>
        <w:t xml:space="preserve">өрийн </w:t>
      </w:r>
      <w:r w:rsidR="00A3273F">
        <w:rPr>
          <w:rFonts w:ascii="Arial" w:hAnsi="Arial" w:cs="Arial"/>
          <w:sz w:val="20"/>
          <w:szCs w:val="20"/>
        </w:rPr>
        <w:t>56</w:t>
      </w:r>
      <w:r>
        <w:rPr>
          <w:rFonts w:ascii="Arial" w:hAnsi="Arial" w:cs="Arial"/>
          <w:sz w:val="20"/>
          <w:szCs w:val="20"/>
          <w:lang w:val="mn-MN"/>
        </w:rPr>
        <w:t xml:space="preserve"> хувь байсан. </w:t>
      </w:r>
      <w:r w:rsidR="004B4337">
        <w:rPr>
          <w:rFonts w:ascii="Arial" w:hAnsi="Arial" w:cs="Arial"/>
          <w:sz w:val="20"/>
          <w:szCs w:val="20"/>
          <w:lang w:val="mn-MN"/>
        </w:rPr>
        <w:t xml:space="preserve">Гадаад өрийн олон талт зээлдүүлэгчээс </w:t>
      </w:r>
      <w:r w:rsidR="004B4337">
        <w:rPr>
          <w:rFonts w:ascii="Arial" w:hAnsi="Arial" w:cs="Arial"/>
          <w:sz w:val="20"/>
          <w:szCs w:val="20"/>
        </w:rPr>
        <w:t>(</w:t>
      </w:r>
      <w:r w:rsidR="004B4337">
        <w:rPr>
          <w:rFonts w:ascii="Arial" w:hAnsi="Arial" w:cs="Arial"/>
          <w:sz w:val="20"/>
          <w:szCs w:val="20"/>
          <w:lang w:val="mn-MN"/>
        </w:rPr>
        <w:t>жишээ нь, ДБ, АХБ, ОУВС</w:t>
      </w:r>
      <w:r w:rsidR="004B4337">
        <w:rPr>
          <w:rFonts w:ascii="Arial" w:hAnsi="Arial" w:cs="Arial"/>
          <w:sz w:val="20"/>
          <w:szCs w:val="20"/>
        </w:rPr>
        <w:t>)</w:t>
      </w:r>
      <w:r w:rsidR="004B4337">
        <w:rPr>
          <w:rFonts w:ascii="Arial" w:hAnsi="Arial" w:cs="Arial"/>
          <w:sz w:val="20"/>
          <w:szCs w:val="20"/>
          <w:lang w:val="mn-MN"/>
        </w:rPr>
        <w:t xml:space="preserve"> авсан х</w:t>
      </w:r>
      <w:r>
        <w:rPr>
          <w:rFonts w:ascii="Arial" w:hAnsi="Arial" w:cs="Arial"/>
          <w:sz w:val="20"/>
          <w:szCs w:val="20"/>
          <w:lang w:val="mn-MN"/>
        </w:rPr>
        <w:t xml:space="preserve">өнгөлөлттэй зээлийн эзлэх хувийн жин нь 2012 онд огцом 26 хувь хүртэл буурсан, мөн арилжааны зээлийн гадаад өрд эзлэх хувийн жин нэг жилийн өмнө </w:t>
      </w:r>
      <w:r w:rsidR="004B4337">
        <w:rPr>
          <w:rFonts w:ascii="Arial" w:hAnsi="Arial" w:cs="Arial"/>
          <w:sz w:val="20"/>
          <w:szCs w:val="20"/>
          <w:lang w:val="mn-MN"/>
        </w:rPr>
        <w:t>0.2 хувь байснаа</w:t>
      </w:r>
      <w:r>
        <w:rPr>
          <w:rFonts w:ascii="Arial" w:hAnsi="Arial" w:cs="Arial"/>
          <w:sz w:val="20"/>
          <w:szCs w:val="20"/>
          <w:lang w:val="mn-MN"/>
        </w:rPr>
        <w:t xml:space="preserve"> 2012 онд </w:t>
      </w:r>
      <w:r w:rsidR="004B4337">
        <w:rPr>
          <w:rFonts w:ascii="Arial" w:hAnsi="Arial" w:cs="Arial"/>
          <w:sz w:val="20"/>
          <w:szCs w:val="20"/>
          <w:lang w:val="mn-MN"/>
        </w:rPr>
        <w:t>4</w:t>
      </w:r>
      <w:r>
        <w:rPr>
          <w:rFonts w:ascii="Arial" w:hAnsi="Arial" w:cs="Arial"/>
          <w:sz w:val="20"/>
          <w:szCs w:val="20"/>
          <w:lang w:val="mn-MN"/>
        </w:rPr>
        <w:t xml:space="preserve">3 хувьд хүрсэн байна. </w:t>
      </w:r>
      <w:r w:rsidR="004B4337">
        <w:rPr>
          <w:rFonts w:ascii="Arial" w:hAnsi="Arial" w:cs="Arial"/>
          <w:sz w:val="20"/>
          <w:szCs w:val="20"/>
          <w:lang w:val="mn-MN"/>
        </w:rPr>
        <w:t xml:space="preserve"> Албан ёсны хоёр талт өрийн нийт өрд эзлэх хувь 24 хувийг эзэлж байна. </w:t>
      </w:r>
      <w:r>
        <w:rPr>
          <w:rFonts w:ascii="Arial" w:hAnsi="Arial" w:cs="Arial"/>
          <w:sz w:val="20"/>
          <w:szCs w:val="20"/>
          <w:lang w:val="mn-MN"/>
        </w:rPr>
        <w:t>Дотоод өр 1.2 их наядаас 2 их наядад хүрч өссөн нь голдуу төсвийн алдагдлыг санхүүжүүлэхээр гаргасан засгийн газрын бондын үлдэгдэл нэмэгдсэнтэй холбоотой. Алдагдлыг санхүүжүүлэхээр дотоодын өрийг нэмэгдүүлж байгаа болон валютын ханшны сулралтаас үүдэж улсын өрийн ДНБ</w:t>
      </w:r>
      <w:r>
        <w:rPr>
          <w:rFonts w:ascii="Arial" w:hAnsi="Arial" w:cs="Arial"/>
          <w:sz w:val="20"/>
          <w:szCs w:val="20"/>
        </w:rPr>
        <w:t>-</w:t>
      </w:r>
      <w:r>
        <w:rPr>
          <w:rFonts w:ascii="Arial" w:hAnsi="Arial" w:cs="Arial"/>
          <w:sz w:val="20"/>
          <w:szCs w:val="20"/>
          <w:lang w:val="mn-MN"/>
        </w:rPr>
        <w:t xml:space="preserve">д харьцуулах харьцаа 2013 онд цаашид нэмэгдэхээр байна. </w:t>
      </w:r>
    </w:p>
    <w:p w14:paraId="65C15E4D" w14:textId="77777777" w:rsidR="008003C7" w:rsidRDefault="008003C7" w:rsidP="008003C7">
      <w:pPr>
        <w:jc w:val="both"/>
        <w:rPr>
          <w:rFonts w:ascii="Arial" w:hAnsi="Arial" w:cs="Arial"/>
          <w:sz w:val="20"/>
          <w:szCs w:val="20"/>
        </w:rPr>
      </w:pPr>
      <w:r>
        <w:rPr>
          <w:rFonts w:ascii="Arial" w:hAnsi="Arial" w:cs="Arial"/>
          <w:b/>
          <w:sz w:val="20"/>
          <w:szCs w:val="20"/>
          <w:lang w:val="mn-MN"/>
        </w:rPr>
        <w:t xml:space="preserve">Улсын өрийн түвшин хурдацтай өсч байгаа энэ үед удирдлагууд өрийн удирдлагын үр дүнтэй стратеги боловсруулах тал дээр илүү анхаарлаа хандуулах ёстой. </w:t>
      </w:r>
      <w:r>
        <w:rPr>
          <w:rFonts w:ascii="Arial" w:hAnsi="Arial" w:cs="Arial"/>
          <w:sz w:val="20"/>
          <w:szCs w:val="20"/>
          <w:lang w:val="mn-MN"/>
        </w:rPr>
        <w:t xml:space="preserve"> Арилжааны нөхцөлтэй гадаад өр нэмэгдэж байгаагаас улсын өрийн өртөг болон эрсдлийг илүү урагшаа харсан байдалтайгаар удирдаж, нарийн хяналт, шинжилгээ, төлөвлөлтийг шаардаж байна. Удирдлагууд цаашдаа яамдуудын хооронд илүү хүчтэй зохицуулалттайгаар албан ёсны өрийн удирдлагын хэвлэгдсэн хүрээнд гадаад өрийн шийдвэрийг гаргаж байх ёстой. Гадаадын, арилжааны зээлээр санхүүжигдэж буй улсын зарлагад зээлийн дарамт илүү хүнд учир орлого бий болгох төслүүдийг санхүүжүүлэхээр тэргүүлэх чиглэлүүдийг гаргах ёстой. Дунд хугацааны макро эдийн засгийн бодлогын хүрээ нь улсын өрийн удирдлагад томоохон нөлөөтэй. Өнөөгийн гадаад өрөөр санхүүжигдэх, төсвөөс гадуурхи зарлагын схем дээр суурилсан төсвийн сул бодлогыг үргэлжлүүлэх </w:t>
      </w:r>
      <w:r>
        <w:rPr>
          <w:rFonts w:ascii="Arial" w:hAnsi="Arial" w:cs="Arial"/>
          <w:sz w:val="20"/>
          <w:szCs w:val="20"/>
          <w:lang w:val="mn-MN"/>
        </w:rPr>
        <w:lastRenderedPageBreak/>
        <w:t xml:space="preserve">нь улсын өрийн түвшинг улам нэмэгдүүлж, дунд болон урт хугацаанд өрийн дарамтын эрсдлийг өсгөнө. </w:t>
      </w:r>
    </w:p>
    <w:tbl>
      <w:tblPr>
        <w:tblpPr w:leftFromText="180" w:rightFromText="180" w:vertAnchor="text" w:horzAnchor="margin" w:tblpY="169"/>
        <w:tblW w:w="0" w:type="auto"/>
        <w:tblLook w:val="04A0" w:firstRow="1" w:lastRow="0" w:firstColumn="1" w:lastColumn="0" w:noHBand="0" w:noVBand="1"/>
      </w:tblPr>
      <w:tblGrid>
        <w:gridCol w:w="3797"/>
        <w:gridCol w:w="869"/>
        <w:gridCol w:w="222"/>
        <w:gridCol w:w="4688"/>
      </w:tblGrid>
      <w:tr w:rsidR="008003C7" w14:paraId="24CBBDB2" w14:textId="77777777" w:rsidTr="008003C7">
        <w:tc>
          <w:tcPr>
            <w:tcW w:w="4666" w:type="dxa"/>
            <w:gridSpan w:val="2"/>
            <w:tcBorders>
              <w:top w:val="nil"/>
              <w:left w:val="nil"/>
              <w:bottom w:val="single" w:sz="4" w:space="0" w:color="984806" w:themeColor="accent6" w:themeShade="80"/>
              <w:right w:val="nil"/>
            </w:tcBorders>
            <w:hideMark/>
          </w:tcPr>
          <w:p w14:paraId="464B901B" w14:textId="77777777" w:rsidR="008003C7" w:rsidRDefault="008003C7" w:rsidP="00630B23">
            <w:pPr>
              <w:pStyle w:val="Caption"/>
              <w:spacing w:after="0"/>
              <w:rPr>
                <w:color w:val="auto"/>
              </w:rPr>
            </w:pPr>
            <w:bookmarkStart w:id="50" w:name="_Toc371338637"/>
            <w:r>
              <w:rPr>
                <w:sz w:val="16"/>
                <w:szCs w:val="16"/>
                <w:lang w:val="mn-MN"/>
              </w:rPr>
              <w:t xml:space="preserve">Зураг </w:t>
            </w:r>
            <w:r w:rsidRPr="00630B23">
              <w:rPr>
                <w:sz w:val="16"/>
                <w:szCs w:val="16"/>
                <w:lang w:val="mn-MN"/>
              </w:rPr>
              <w:fldChar w:fldCharType="begin"/>
            </w:r>
            <w:r w:rsidRPr="00630B23">
              <w:rPr>
                <w:sz w:val="16"/>
                <w:szCs w:val="16"/>
                <w:lang w:val="mn-MN"/>
              </w:rPr>
              <w:instrText xml:space="preserve"> SEQ Figure \* ARABIC </w:instrText>
            </w:r>
            <w:r w:rsidRPr="00630B23">
              <w:rPr>
                <w:sz w:val="16"/>
                <w:szCs w:val="16"/>
                <w:lang w:val="mn-MN"/>
              </w:rPr>
              <w:fldChar w:fldCharType="separate"/>
            </w:r>
            <w:r w:rsidRPr="00630B23">
              <w:rPr>
                <w:sz w:val="16"/>
                <w:szCs w:val="16"/>
                <w:lang w:val="mn-MN"/>
              </w:rPr>
              <w:t>30</w:t>
            </w:r>
            <w:r w:rsidRPr="00630B23">
              <w:rPr>
                <w:sz w:val="16"/>
                <w:szCs w:val="16"/>
                <w:lang w:val="mn-MN"/>
              </w:rPr>
              <w:fldChar w:fldCharType="end"/>
            </w:r>
            <w:r w:rsidRPr="00630B23">
              <w:rPr>
                <w:sz w:val="16"/>
                <w:szCs w:val="16"/>
                <w:lang w:val="mn-MN"/>
              </w:rPr>
              <w:t xml:space="preserve">. </w:t>
            </w:r>
            <w:r>
              <w:rPr>
                <w:sz w:val="16"/>
                <w:szCs w:val="16"/>
                <w:lang w:val="mn-MN"/>
              </w:rPr>
              <w:t xml:space="preserve">Улсын </w:t>
            </w:r>
            <w:r w:rsidRPr="00630B23">
              <w:rPr>
                <w:sz w:val="16"/>
                <w:szCs w:val="16"/>
                <w:lang w:val="mn-MN"/>
              </w:rPr>
              <w:t>өрийн ДНБ-д эзлэх хувь 2012 онд 63 хувьд хүрсэн</w:t>
            </w:r>
            <w:bookmarkEnd w:id="50"/>
          </w:p>
        </w:tc>
        <w:tc>
          <w:tcPr>
            <w:tcW w:w="222" w:type="dxa"/>
          </w:tcPr>
          <w:p w14:paraId="5BE4375F" w14:textId="77777777" w:rsidR="008003C7" w:rsidRDefault="008003C7">
            <w:pPr>
              <w:pStyle w:val="Caption"/>
              <w:jc w:val="center"/>
              <w:rPr>
                <w:color w:val="auto"/>
                <w:sz w:val="2"/>
              </w:rPr>
            </w:pPr>
          </w:p>
        </w:tc>
        <w:tc>
          <w:tcPr>
            <w:tcW w:w="4688" w:type="dxa"/>
            <w:tcBorders>
              <w:top w:val="nil"/>
              <w:left w:val="nil"/>
              <w:bottom w:val="single" w:sz="4" w:space="0" w:color="984806" w:themeColor="accent6" w:themeShade="80"/>
              <w:right w:val="nil"/>
            </w:tcBorders>
            <w:hideMark/>
          </w:tcPr>
          <w:p w14:paraId="5D2D1000" w14:textId="77777777" w:rsidR="008003C7" w:rsidRPr="00630B23" w:rsidRDefault="008003C7" w:rsidP="00630B23">
            <w:pPr>
              <w:pStyle w:val="Caption"/>
              <w:spacing w:after="0"/>
              <w:rPr>
                <w:sz w:val="16"/>
                <w:szCs w:val="16"/>
                <w:lang w:val="mn-MN"/>
              </w:rPr>
            </w:pPr>
            <w:bookmarkStart w:id="51" w:name="_Toc371338638"/>
            <w:r>
              <w:rPr>
                <w:sz w:val="16"/>
                <w:szCs w:val="16"/>
                <w:lang w:val="mn-MN"/>
              </w:rPr>
              <w:t xml:space="preserve">Зураг </w:t>
            </w:r>
            <w:r w:rsidRPr="00630B23">
              <w:rPr>
                <w:sz w:val="16"/>
                <w:szCs w:val="16"/>
                <w:lang w:val="mn-MN"/>
              </w:rPr>
              <w:fldChar w:fldCharType="begin"/>
            </w:r>
            <w:r w:rsidRPr="00630B23">
              <w:rPr>
                <w:sz w:val="16"/>
                <w:szCs w:val="16"/>
                <w:lang w:val="mn-MN"/>
              </w:rPr>
              <w:instrText xml:space="preserve"> SEQ Figure \* ARABIC </w:instrText>
            </w:r>
            <w:r w:rsidRPr="00630B23">
              <w:rPr>
                <w:sz w:val="16"/>
                <w:szCs w:val="16"/>
                <w:lang w:val="mn-MN"/>
              </w:rPr>
              <w:fldChar w:fldCharType="separate"/>
            </w:r>
            <w:r w:rsidRPr="00630B23">
              <w:rPr>
                <w:sz w:val="16"/>
                <w:szCs w:val="16"/>
                <w:lang w:val="mn-MN"/>
              </w:rPr>
              <w:t>31</w:t>
            </w:r>
            <w:r w:rsidRPr="00630B23">
              <w:rPr>
                <w:sz w:val="16"/>
                <w:szCs w:val="16"/>
                <w:lang w:val="mn-MN"/>
              </w:rPr>
              <w:fldChar w:fldCharType="end"/>
            </w:r>
            <w:r w:rsidRPr="00630B23">
              <w:rPr>
                <w:sz w:val="16"/>
                <w:szCs w:val="16"/>
                <w:lang w:val="mn-MN"/>
              </w:rPr>
              <w:t xml:space="preserve">. </w:t>
            </w:r>
            <w:r>
              <w:rPr>
                <w:sz w:val="16"/>
                <w:szCs w:val="16"/>
                <w:lang w:val="mn-MN"/>
              </w:rPr>
              <w:t>Х</w:t>
            </w:r>
            <w:r w:rsidRPr="00630B23">
              <w:rPr>
                <w:sz w:val="16"/>
                <w:szCs w:val="16"/>
                <w:lang w:val="mn-MN"/>
              </w:rPr>
              <w:t>өрөнгийн зардал хурдацтай өсч байна</w:t>
            </w:r>
            <w:bookmarkEnd w:id="51"/>
          </w:p>
        </w:tc>
      </w:tr>
      <w:tr w:rsidR="008003C7" w14:paraId="36E3372C" w14:textId="77777777" w:rsidTr="008003C7">
        <w:trPr>
          <w:trHeight w:val="3589"/>
        </w:trPr>
        <w:tc>
          <w:tcPr>
            <w:tcW w:w="4666" w:type="dxa"/>
            <w:gridSpan w:val="2"/>
            <w:tcBorders>
              <w:top w:val="single" w:sz="4" w:space="0" w:color="984806" w:themeColor="accent6" w:themeShade="80"/>
              <w:left w:val="nil"/>
              <w:bottom w:val="nil"/>
              <w:right w:val="nil"/>
            </w:tcBorders>
            <w:hideMark/>
          </w:tcPr>
          <w:p w14:paraId="37392C82" w14:textId="77777777" w:rsidR="008003C7" w:rsidRPr="00630B23" w:rsidRDefault="008003C7">
            <w:pPr>
              <w:pStyle w:val="Caption"/>
              <w:rPr>
                <w:b w:val="0"/>
                <w:bCs w:val="0"/>
                <w:color w:val="auto"/>
                <w:sz w:val="16"/>
                <w:lang w:val="mn-MN"/>
              </w:rPr>
            </w:pPr>
            <w:r w:rsidRPr="00C97F2D">
              <w:rPr>
                <w:b w:val="0"/>
                <w:bCs w:val="0"/>
                <w:color w:val="auto"/>
                <w:sz w:val="16"/>
                <w:lang w:val="mn-MN"/>
              </w:rPr>
              <w:t>Дотоодын өрийн ДНБ-д харьцуулсан харьцаа (%)</w:t>
            </w:r>
          </w:p>
          <w:p w14:paraId="276D3EB6" w14:textId="11607EE3" w:rsidR="008003C7" w:rsidRDefault="008003C7">
            <w:pPr>
              <w:pStyle w:val="Caption"/>
              <w:rPr>
                <w:b w:val="0"/>
                <w:color w:val="auto"/>
                <w:sz w:val="16"/>
              </w:rPr>
            </w:pPr>
            <w:r>
              <w:rPr>
                <w:noProof/>
              </w:rPr>
              <w:drawing>
                <wp:inline distT="0" distB="0" distL="0" distR="0" wp14:anchorId="05F3C948" wp14:editId="0AFDD338">
                  <wp:extent cx="2914650" cy="2089150"/>
                  <wp:effectExtent l="0" t="0" r="0" b="6350"/>
                  <wp:docPr id="336" name="Chart 3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tc>
        <w:tc>
          <w:tcPr>
            <w:tcW w:w="222" w:type="dxa"/>
          </w:tcPr>
          <w:p w14:paraId="250B8A89" w14:textId="77777777" w:rsidR="008003C7" w:rsidRDefault="008003C7">
            <w:pPr>
              <w:pStyle w:val="NoSpacing"/>
              <w:jc w:val="both"/>
              <w:rPr>
                <w:noProof/>
                <w:sz w:val="2"/>
                <w:lang w:eastAsia="ko-KR"/>
              </w:rPr>
            </w:pPr>
          </w:p>
          <w:p w14:paraId="46CE6902" w14:textId="77777777" w:rsidR="008003C7" w:rsidRDefault="008003C7">
            <w:pPr>
              <w:pStyle w:val="NoSpacing"/>
              <w:jc w:val="both"/>
              <w:rPr>
                <w:noProof/>
                <w:sz w:val="2"/>
                <w:lang w:eastAsia="ko-KR"/>
              </w:rPr>
            </w:pPr>
          </w:p>
        </w:tc>
        <w:tc>
          <w:tcPr>
            <w:tcW w:w="4688" w:type="dxa"/>
            <w:tcBorders>
              <w:top w:val="single" w:sz="4" w:space="0" w:color="984806" w:themeColor="accent6" w:themeShade="80"/>
              <w:left w:val="nil"/>
              <w:bottom w:val="nil"/>
              <w:right w:val="nil"/>
            </w:tcBorders>
            <w:hideMark/>
          </w:tcPr>
          <w:p w14:paraId="779F5740" w14:textId="2ADAE233" w:rsidR="008003C7" w:rsidRPr="00630B23" w:rsidRDefault="008003C7" w:rsidP="00630B23">
            <w:pPr>
              <w:pStyle w:val="Caption"/>
              <w:spacing w:after="0"/>
              <w:rPr>
                <w:sz w:val="16"/>
                <w:szCs w:val="16"/>
                <w:lang w:val="mn-MN"/>
              </w:rPr>
            </w:pPr>
            <w:r w:rsidRPr="00630B23">
              <w:rPr>
                <w:b w:val="0"/>
                <w:bCs w:val="0"/>
                <w:noProof/>
                <w:color w:val="auto"/>
                <w:sz w:val="16"/>
              </w:rPr>
              <w:drawing>
                <wp:anchor distT="0" distB="0" distL="114300" distR="114300" simplePos="0" relativeHeight="251771392" behindDoc="0" locked="0" layoutInCell="1" allowOverlap="1" wp14:anchorId="12FF4789" wp14:editId="6DA4D726">
                  <wp:simplePos x="0" y="0"/>
                  <wp:positionH relativeFrom="column">
                    <wp:posOffset>-26670</wp:posOffset>
                  </wp:positionH>
                  <wp:positionV relativeFrom="paragraph">
                    <wp:posOffset>178435</wp:posOffset>
                  </wp:positionV>
                  <wp:extent cx="2927350" cy="2092325"/>
                  <wp:effectExtent l="0" t="0" r="6350" b="0"/>
                  <wp:wrapSquare wrapText="bothSides"/>
                  <wp:docPr id="343" name="Chart 343"/>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page">
                    <wp14:pctWidth>0</wp14:pctWidth>
                  </wp14:sizeRelH>
                  <wp14:sizeRelV relativeFrom="page">
                    <wp14:pctHeight>0</wp14:pctHeight>
                  </wp14:sizeRelV>
                </wp:anchor>
              </w:drawing>
            </w:r>
            <w:r w:rsidRPr="00630B23">
              <w:rPr>
                <w:b w:val="0"/>
                <w:bCs w:val="0"/>
                <w:color w:val="auto"/>
                <w:sz w:val="16"/>
                <w:lang w:val="mn-MN"/>
              </w:rPr>
              <w:t>Хөрөнгийн болон урсгал зарл</w:t>
            </w:r>
            <w:r w:rsidR="0074125A">
              <w:rPr>
                <w:b w:val="0"/>
                <w:bCs w:val="0"/>
                <w:color w:val="auto"/>
                <w:sz w:val="16"/>
                <w:lang w:val="mn-MN"/>
              </w:rPr>
              <w:t>а</w:t>
            </w:r>
            <w:r w:rsidRPr="00630B23">
              <w:rPr>
                <w:b w:val="0"/>
                <w:bCs w:val="0"/>
                <w:color w:val="auto"/>
                <w:sz w:val="16"/>
                <w:lang w:val="mn-MN"/>
              </w:rPr>
              <w:t>гын ДНБ-д харьцуулсан харьцаа</w:t>
            </w:r>
            <w:r w:rsidRPr="00630B23">
              <w:rPr>
                <w:sz w:val="16"/>
                <w:szCs w:val="16"/>
                <w:lang w:val="mn-MN"/>
              </w:rPr>
              <w:t xml:space="preserve"> (%)</w:t>
            </w:r>
          </w:p>
        </w:tc>
      </w:tr>
      <w:tr w:rsidR="008003C7" w14:paraId="16C15181" w14:textId="77777777" w:rsidTr="008003C7">
        <w:trPr>
          <w:trHeight w:val="75"/>
        </w:trPr>
        <w:tc>
          <w:tcPr>
            <w:tcW w:w="3716" w:type="dxa"/>
          </w:tcPr>
          <w:p w14:paraId="45C875AA" w14:textId="77777777" w:rsidR="008003C7" w:rsidRDefault="008003C7">
            <w:pPr>
              <w:pStyle w:val="NoSpacing"/>
              <w:jc w:val="both"/>
              <w:rPr>
                <w:sz w:val="14"/>
                <w:szCs w:val="18"/>
              </w:rPr>
            </w:pPr>
            <w:r>
              <w:rPr>
                <w:i/>
                <w:sz w:val="14"/>
                <w:szCs w:val="18"/>
                <w:lang w:val="mn-MN"/>
              </w:rPr>
              <w:t xml:space="preserve">Эх </w:t>
            </w:r>
            <w:r>
              <w:rPr>
                <w:rFonts w:ascii="Arial" w:hAnsi="Arial" w:cs="Arial"/>
                <w:i/>
                <w:sz w:val="14"/>
                <w:szCs w:val="18"/>
                <w:lang w:val="mn-MN"/>
              </w:rPr>
              <w:t>үүсвэр</w:t>
            </w:r>
            <w:r>
              <w:rPr>
                <w:i/>
                <w:sz w:val="14"/>
                <w:szCs w:val="18"/>
              </w:rPr>
              <w:t>:</w:t>
            </w:r>
            <w:r>
              <w:rPr>
                <w:rFonts w:ascii="Arial" w:hAnsi="Arial" w:cs="Arial"/>
                <w:sz w:val="14"/>
                <w:szCs w:val="18"/>
                <w:lang w:val="mn-MN"/>
              </w:rPr>
              <w:t>ҮСХ эмхэтгэл, ДБ мэргэжилтнүүдийн тооцоо</w:t>
            </w:r>
            <w:r>
              <w:rPr>
                <w:sz w:val="14"/>
                <w:szCs w:val="18"/>
                <w:lang w:val="mn-MN"/>
              </w:rPr>
              <w:t xml:space="preserve"> </w:t>
            </w:r>
          </w:p>
          <w:p w14:paraId="3656DD11" w14:textId="77777777" w:rsidR="008003C7" w:rsidRDefault="008003C7">
            <w:pPr>
              <w:pStyle w:val="NoSpacing"/>
              <w:jc w:val="both"/>
              <w:rPr>
                <w:sz w:val="14"/>
                <w:szCs w:val="18"/>
              </w:rPr>
            </w:pPr>
          </w:p>
        </w:tc>
        <w:tc>
          <w:tcPr>
            <w:tcW w:w="950" w:type="dxa"/>
          </w:tcPr>
          <w:p w14:paraId="3D6B94A4" w14:textId="77777777" w:rsidR="008003C7" w:rsidRDefault="008003C7">
            <w:pPr>
              <w:pStyle w:val="NoSpacing"/>
              <w:jc w:val="both"/>
              <w:rPr>
                <w:i/>
                <w:sz w:val="2"/>
                <w:szCs w:val="18"/>
              </w:rPr>
            </w:pPr>
          </w:p>
        </w:tc>
        <w:tc>
          <w:tcPr>
            <w:tcW w:w="4910" w:type="dxa"/>
            <w:gridSpan w:val="2"/>
          </w:tcPr>
          <w:p w14:paraId="63322BA5" w14:textId="77777777" w:rsidR="008003C7" w:rsidRPr="00630B23" w:rsidRDefault="008003C7" w:rsidP="00630B23">
            <w:pPr>
              <w:pStyle w:val="Caption"/>
              <w:spacing w:after="0"/>
              <w:rPr>
                <w:sz w:val="16"/>
                <w:szCs w:val="16"/>
                <w:lang w:val="mn-MN"/>
              </w:rPr>
            </w:pPr>
          </w:p>
        </w:tc>
      </w:tr>
    </w:tbl>
    <w:p w14:paraId="11607F4F" w14:textId="77777777" w:rsidR="008003C7" w:rsidRDefault="008003C7" w:rsidP="008003C7">
      <w:pPr>
        <w:spacing w:after="120"/>
        <w:jc w:val="both"/>
        <w:rPr>
          <w:rFonts w:ascii="Times New Roman" w:hAnsi="Times New Roman" w:cs="Times New Roman"/>
          <w:szCs w:val="20"/>
        </w:rPr>
      </w:pPr>
      <w:r>
        <w:rPr>
          <w:rFonts w:ascii="Arial" w:hAnsi="Arial" w:cs="Arial"/>
          <w:b/>
          <w:sz w:val="20"/>
          <w:szCs w:val="20"/>
          <w:lang w:val="mn-MN"/>
        </w:rPr>
        <w:t xml:space="preserve">Сүүлийн жилүүдэд хурдацтайгаар хийгдсэн зарлага нь дийлэнхдээ хөрөнгийн зарлагад төвлөрч байна. </w:t>
      </w:r>
      <w:r>
        <w:rPr>
          <w:rFonts w:ascii="Arial" w:hAnsi="Arial" w:cs="Arial"/>
          <w:sz w:val="20"/>
          <w:szCs w:val="20"/>
          <w:lang w:val="mn-MN"/>
        </w:rPr>
        <w:t>Нэрлэсэн хөрөнгийн зардал нь 2002</w:t>
      </w:r>
      <w:r>
        <w:rPr>
          <w:rFonts w:ascii="Arial" w:hAnsi="Arial" w:cs="Arial"/>
          <w:sz w:val="20"/>
          <w:szCs w:val="20"/>
        </w:rPr>
        <w:t>-</w:t>
      </w:r>
      <w:r>
        <w:rPr>
          <w:rFonts w:ascii="Arial" w:hAnsi="Arial" w:cs="Arial"/>
          <w:sz w:val="20"/>
          <w:szCs w:val="20"/>
          <w:lang w:val="mn-MN"/>
        </w:rPr>
        <w:t>2012 оны хооронд 27 дахин нэмэгдсэн байхад нэрлэсэн ДНБ энэ арван жилд 9 дахин нэмэгдсэн байдаг. Үүний үр дүнд хөрөнгийн зардлын ДНБ</w:t>
      </w:r>
      <w:r>
        <w:rPr>
          <w:rFonts w:ascii="Arial" w:hAnsi="Arial" w:cs="Arial"/>
          <w:sz w:val="20"/>
          <w:szCs w:val="20"/>
        </w:rPr>
        <w:t>-</w:t>
      </w:r>
      <w:r>
        <w:rPr>
          <w:rFonts w:ascii="Arial" w:hAnsi="Arial" w:cs="Arial"/>
          <w:sz w:val="20"/>
          <w:szCs w:val="20"/>
          <w:lang w:val="mn-MN"/>
        </w:rPr>
        <w:t>д эзлэх хувийн жин нь 2002 онд 4.4 хувь байснаа 2012 онд 13.4 хувьд хүрсэн байна. Хөрөнгийн зардлын өсөлтийн хурдац сүүлийн хоёр жилийн хугацаанд хамгийн хурдацтай өссөн</w:t>
      </w:r>
      <w:r>
        <w:rPr>
          <w:rFonts w:ascii="Arial" w:hAnsi="Arial" w:cs="Arial"/>
          <w:sz w:val="20"/>
          <w:szCs w:val="20"/>
        </w:rPr>
        <w:t xml:space="preserve">: </w:t>
      </w:r>
      <w:r>
        <w:rPr>
          <w:rFonts w:ascii="Arial" w:hAnsi="Arial" w:cs="Arial"/>
          <w:sz w:val="20"/>
          <w:szCs w:val="20"/>
          <w:lang w:val="mn-MN"/>
        </w:rPr>
        <w:t>2012 онд хөрөнгийн зардлын түвшин нь 2010 оны түвшнээс гурав дахин нэмэгдсэн. 2013 онд төсвөөс гадуурхи улсын хөрөнгө оруулалтаас үүдэж хөрөнгийн зардал нь 2012 оныхоос бараг хоёр дахин нэмэгдэхээр байгаа бөгөөд, ДНБ</w:t>
      </w:r>
      <w:r>
        <w:rPr>
          <w:rFonts w:ascii="Arial" w:hAnsi="Arial" w:cs="Arial"/>
          <w:sz w:val="20"/>
          <w:szCs w:val="20"/>
        </w:rPr>
        <w:t>-</w:t>
      </w:r>
      <w:r>
        <w:rPr>
          <w:rFonts w:ascii="Arial" w:hAnsi="Arial" w:cs="Arial"/>
          <w:sz w:val="20"/>
          <w:szCs w:val="20"/>
          <w:lang w:val="mn-MN"/>
        </w:rPr>
        <w:t>ий 20 гаран хувьд хүрэхээр байна</w:t>
      </w:r>
      <w:r>
        <w:rPr>
          <w:rFonts w:ascii="Arial" w:hAnsi="Arial" w:cs="Arial"/>
          <w:sz w:val="20"/>
          <w:szCs w:val="20"/>
        </w:rPr>
        <w:t xml:space="preserve"> (</w:t>
      </w:r>
      <w:r>
        <w:rPr>
          <w:rFonts w:ascii="Arial" w:hAnsi="Arial" w:cs="Arial"/>
          <w:sz w:val="20"/>
          <w:szCs w:val="20"/>
          <w:lang w:val="mn-MN"/>
        </w:rPr>
        <w:t>Зураг</w:t>
      </w:r>
      <w:r>
        <w:rPr>
          <w:rFonts w:ascii="Arial" w:hAnsi="Arial" w:cs="Arial"/>
          <w:sz w:val="20"/>
          <w:szCs w:val="20"/>
        </w:rPr>
        <w:t xml:space="preserve"> 31).</w:t>
      </w:r>
    </w:p>
    <w:p w14:paraId="3E00AB14" w14:textId="77777777" w:rsidR="008003C7" w:rsidRDefault="008003C7" w:rsidP="008003C7">
      <w:pPr>
        <w:jc w:val="both"/>
        <w:rPr>
          <w:rFonts w:ascii="Arial" w:hAnsi="Arial" w:cs="Arial"/>
          <w:sz w:val="20"/>
          <w:szCs w:val="20"/>
        </w:rPr>
      </w:pPr>
      <w:r>
        <w:rPr>
          <w:rFonts w:ascii="Arial" w:hAnsi="Arial" w:cs="Arial"/>
          <w:b/>
          <w:sz w:val="20"/>
          <w:szCs w:val="20"/>
          <w:lang w:val="mn-MN"/>
        </w:rPr>
        <w:t>Дэд бүтэц султай хөгжиж буй орнуудад улсын хөрөнгө оруулалтыг нэмэгдүүлэх нь чухал. Гэхдээ хөрөнгийн огцом өсөлт нь хэд хэдэн асуудлыг үүсгэдэг</w:t>
      </w:r>
      <w:r>
        <w:rPr>
          <w:rFonts w:ascii="Arial" w:hAnsi="Arial" w:cs="Arial"/>
          <w:sz w:val="20"/>
          <w:szCs w:val="20"/>
        </w:rPr>
        <w:t>:</w:t>
      </w:r>
    </w:p>
    <w:p w14:paraId="3AAFECA4" w14:textId="77777777" w:rsidR="008003C7" w:rsidRDefault="008003C7" w:rsidP="008003C7">
      <w:pPr>
        <w:pStyle w:val="ListParagraph"/>
        <w:numPr>
          <w:ilvl w:val="0"/>
          <w:numId w:val="25"/>
        </w:numPr>
        <w:jc w:val="both"/>
        <w:rPr>
          <w:rFonts w:ascii="Arial" w:hAnsi="Arial" w:cs="Arial"/>
          <w:sz w:val="20"/>
          <w:szCs w:val="20"/>
        </w:rPr>
      </w:pPr>
      <w:r>
        <w:rPr>
          <w:rFonts w:ascii="Arial" w:hAnsi="Arial" w:cs="Arial"/>
          <w:b/>
          <w:sz w:val="20"/>
          <w:szCs w:val="20"/>
          <w:lang w:val="mn-MN"/>
        </w:rPr>
        <w:t xml:space="preserve">Хөрөнгийн зардлын огцом өсөлт нь тухайн эдийн засгийн үйлдвэрлэлийн хүчин чадлаас давж гаран, төлбөрийн тэнцлийн дарамт болон барилгын өртөгийн инфляцийг нэмэгдүүлдэг. </w:t>
      </w:r>
      <w:r>
        <w:rPr>
          <w:rFonts w:ascii="Arial" w:hAnsi="Arial" w:cs="Arial"/>
          <w:sz w:val="20"/>
          <w:szCs w:val="20"/>
          <w:lang w:val="mn-MN"/>
        </w:rPr>
        <w:t>Сүүлийн хоёр жилийн хугацаанд, барилгын материалыг нийлүүлэх дотоодын үйлдвэрлэлийн хүчин чадал нь өсөн нэмэгдэж байгаа эрэлттэй нь нийцэхгүй байснаас барилгын материалын импорт бараг хоёр дахин нэмэгдсэн байна. Дэлхийн банкны саяхны судалгаанаас харахад</w:t>
      </w:r>
      <w:r>
        <w:rPr>
          <w:rStyle w:val="FootnoteReference"/>
          <w:rFonts w:ascii="Arial" w:hAnsi="Arial" w:cs="Arial"/>
          <w:sz w:val="20"/>
          <w:szCs w:val="20"/>
        </w:rPr>
        <w:footnoteReference w:id="9"/>
      </w:r>
      <w:r>
        <w:rPr>
          <w:rFonts w:ascii="Arial" w:hAnsi="Arial" w:cs="Arial"/>
          <w:sz w:val="20"/>
          <w:szCs w:val="20"/>
          <w:lang w:val="mn-MN"/>
        </w:rPr>
        <w:t xml:space="preserve"> бүртгэлтэй зам барилгын 186 компаниас зөвхөн 59 нь идэвхитэй үйл ажиллагаатай бөгөөд эдгээрийн 59</w:t>
      </w:r>
      <w:r>
        <w:rPr>
          <w:rFonts w:ascii="Arial" w:hAnsi="Arial" w:cs="Arial"/>
          <w:sz w:val="20"/>
          <w:szCs w:val="20"/>
        </w:rPr>
        <w:t>-</w:t>
      </w:r>
      <w:r>
        <w:rPr>
          <w:rFonts w:ascii="Arial" w:hAnsi="Arial" w:cs="Arial"/>
          <w:sz w:val="20"/>
          <w:szCs w:val="20"/>
          <w:lang w:val="mn-MN"/>
        </w:rPr>
        <w:t>оос 10 нь л 2011 оны барилгын улирлын үед 50 км</w:t>
      </w:r>
      <w:r>
        <w:rPr>
          <w:rFonts w:ascii="Arial" w:hAnsi="Arial" w:cs="Arial"/>
          <w:sz w:val="20"/>
          <w:szCs w:val="20"/>
        </w:rPr>
        <w:t>-</w:t>
      </w:r>
      <w:r>
        <w:rPr>
          <w:rFonts w:ascii="Arial" w:hAnsi="Arial" w:cs="Arial"/>
          <w:sz w:val="20"/>
          <w:szCs w:val="20"/>
          <w:lang w:val="mn-MN"/>
        </w:rPr>
        <w:t xml:space="preserve">ээс урт зам барих хүчин чадалтай байсан байна. Дотоодын хүчин чадал дутагдалтай байснаас сүүлийн гурван жилийн хугацаанд </w:t>
      </w:r>
      <w:r>
        <w:rPr>
          <w:rFonts w:ascii="Arial" w:hAnsi="Arial" w:cs="Arial"/>
          <w:sz w:val="20"/>
          <w:szCs w:val="20"/>
        </w:rPr>
        <w:t>(2010-2012)</w:t>
      </w:r>
      <w:r>
        <w:rPr>
          <w:rFonts w:ascii="Arial" w:hAnsi="Arial" w:cs="Arial"/>
          <w:sz w:val="20"/>
          <w:szCs w:val="20"/>
          <w:lang w:val="mn-MN"/>
        </w:rPr>
        <w:t xml:space="preserve"> гол нэрийн барилгын материалуудын үнүүдийг огцом нэмэгдүүлсэн</w:t>
      </w:r>
      <w:r>
        <w:rPr>
          <w:rFonts w:ascii="Arial" w:hAnsi="Arial" w:cs="Arial"/>
          <w:sz w:val="20"/>
          <w:szCs w:val="20"/>
        </w:rPr>
        <w:t xml:space="preserve">; </w:t>
      </w:r>
      <w:r>
        <w:rPr>
          <w:rFonts w:ascii="Arial" w:hAnsi="Arial" w:cs="Arial"/>
          <w:sz w:val="20"/>
          <w:szCs w:val="20"/>
          <w:lang w:val="mn-MN"/>
        </w:rPr>
        <w:t xml:space="preserve">Дэлхийн банкны тооцоогоор, төмөр бетоны үнэ </w:t>
      </w:r>
      <w:r>
        <w:rPr>
          <w:rFonts w:ascii="Arial" w:hAnsi="Arial" w:cs="Arial"/>
          <w:sz w:val="20"/>
          <w:szCs w:val="20"/>
        </w:rPr>
        <w:t xml:space="preserve">82 </w:t>
      </w:r>
      <w:r>
        <w:rPr>
          <w:rFonts w:ascii="Arial" w:hAnsi="Arial" w:cs="Arial"/>
          <w:sz w:val="20"/>
          <w:szCs w:val="20"/>
          <w:lang w:val="mn-MN"/>
        </w:rPr>
        <w:t xml:space="preserve">хувиар, тоосгоны үнэ </w:t>
      </w:r>
      <w:r>
        <w:rPr>
          <w:rFonts w:ascii="Arial" w:hAnsi="Arial" w:cs="Arial"/>
          <w:sz w:val="20"/>
          <w:szCs w:val="20"/>
        </w:rPr>
        <w:t xml:space="preserve">80 </w:t>
      </w:r>
      <w:r>
        <w:rPr>
          <w:rFonts w:ascii="Arial" w:hAnsi="Arial" w:cs="Arial"/>
          <w:sz w:val="20"/>
          <w:szCs w:val="20"/>
          <w:lang w:val="mn-MN"/>
        </w:rPr>
        <w:t>хувиар мөн цементын үнэ</w:t>
      </w:r>
      <w:r>
        <w:rPr>
          <w:rFonts w:ascii="Arial" w:hAnsi="Arial" w:cs="Arial"/>
          <w:sz w:val="20"/>
          <w:szCs w:val="20"/>
        </w:rPr>
        <w:t xml:space="preserve"> 64 </w:t>
      </w:r>
      <w:r>
        <w:rPr>
          <w:rFonts w:ascii="Arial" w:hAnsi="Arial" w:cs="Arial"/>
          <w:sz w:val="20"/>
          <w:szCs w:val="20"/>
          <w:lang w:val="mn-MN"/>
        </w:rPr>
        <w:t>хувиар өссөн</w:t>
      </w:r>
      <w:r>
        <w:rPr>
          <w:rFonts w:ascii="Arial" w:hAnsi="Arial" w:cs="Arial"/>
          <w:sz w:val="20"/>
          <w:szCs w:val="20"/>
        </w:rPr>
        <w:t xml:space="preserve">. </w:t>
      </w:r>
    </w:p>
    <w:p w14:paraId="0A162945" w14:textId="77777777" w:rsidR="008003C7" w:rsidRDefault="008003C7" w:rsidP="008003C7">
      <w:pPr>
        <w:pStyle w:val="ListParagraph"/>
        <w:jc w:val="both"/>
        <w:rPr>
          <w:rFonts w:ascii="Arial" w:hAnsi="Arial" w:cs="Arial"/>
          <w:sz w:val="10"/>
          <w:szCs w:val="20"/>
        </w:rPr>
      </w:pPr>
    </w:p>
    <w:p w14:paraId="0F39FFCE" w14:textId="77777777" w:rsidR="008003C7" w:rsidRDefault="008003C7" w:rsidP="008003C7">
      <w:pPr>
        <w:pStyle w:val="ListParagraph"/>
        <w:numPr>
          <w:ilvl w:val="0"/>
          <w:numId w:val="25"/>
        </w:numPr>
        <w:autoSpaceDE w:val="0"/>
        <w:autoSpaceDN w:val="0"/>
        <w:adjustRightInd w:val="0"/>
        <w:spacing w:after="0"/>
        <w:jc w:val="both"/>
        <w:rPr>
          <w:rFonts w:ascii="Arial" w:hAnsi="Arial" w:cs="Arial"/>
          <w:sz w:val="20"/>
          <w:szCs w:val="20"/>
        </w:rPr>
      </w:pPr>
      <w:r>
        <w:rPr>
          <w:rFonts w:ascii="Arial" w:hAnsi="Arial" w:cs="Arial"/>
          <w:b/>
          <w:sz w:val="20"/>
          <w:szCs w:val="20"/>
          <w:lang w:val="mn-MN"/>
        </w:rPr>
        <w:lastRenderedPageBreak/>
        <w:t xml:space="preserve">Улсын хөрөнгө оруулалтын төслүүд хурдацтай өсөх нь тэдгээрийг бэлтгэх, хэрэгжүүлэх Засийн газрын хязгаарлагдмал байгаа хүчин чадалд улам хүндрэл учруулж байна. </w:t>
      </w:r>
      <w:r>
        <w:rPr>
          <w:rFonts w:ascii="Arial" w:hAnsi="Arial" w:cs="Arial"/>
          <w:sz w:val="20"/>
          <w:szCs w:val="20"/>
          <w:lang w:val="mn-MN"/>
        </w:rPr>
        <w:t xml:space="preserve">Шинэ төсөл нэмэгдэж байгаа нь Засгийн газрын төслийг бэлтгэх хүчин чадлаас хэтэрч, өрсөлдөөнт тендер зарлах гэхээсээ илүүтэйгээр шууд гэрээг ашиглах хандлага нэмэгдэж байна. Хэдийгээр тоо мэдээлэл байхгүй ч ихэнх төсвөөс гадуурхи төслүүд нь шууд гэрээгээр хийгдэж байх шиг байна. 2013 оны төсвийн хөрөнгийн зардал их хэмжээгээр дутуу гүйцэтгэлтэй байгаа нь хийгдэх ажил нь хэдийнээ засгийн газрын хүчин чадлаас давсан, шинэ хөрөнгө оруулалтыг гүйцэтгэх эдийн засгийн хүчин чадлаас хэтэрснийг харуулж байна. Чингис бондоор төсвөөс гадуурхи томоохон хөрөнгө оруулалтыг  хийлгэж байгаа үед, барилгын хүчин чадал нь их хэмжээний энэхүү төсвөөс гадуурхи төслүүдийг шингээж, илүү ил тод улсын худалдан авалтын үйл явц шаардсан төсөвт байгаа төслүүдийг шахан гаргаж байна. </w:t>
      </w:r>
    </w:p>
    <w:p w14:paraId="3F173D1B" w14:textId="77777777" w:rsidR="008003C7" w:rsidRDefault="008003C7" w:rsidP="008003C7">
      <w:pPr>
        <w:pStyle w:val="ListParagraph"/>
        <w:rPr>
          <w:rFonts w:ascii="Arial" w:hAnsi="Arial" w:cs="Arial"/>
          <w:sz w:val="10"/>
          <w:szCs w:val="20"/>
        </w:rPr>
      </w:pPr>
    </w:p>
    <w:p w14:paraId="79900248" w14:textId="77777777" w:rsidR="008003C7" w:rsidRDefault="008003C7" w:rsidP="008003C7">
      <w:pPr>
        <w:pStyle w:val="ListParagraph"/>
        <w:numPr>
          <w:ilvl w:val="0"/>
          <w:numId w:val="25"/>
        </w:numPr>
        <w:autoSpaceDE w:val="0"/>
        <w:autoSpaceDN w:val="0"/>
        <w:adjustRightInd w:val="0"/>
        <w:spacing w:after="0"/>
        <w:jc w:val="both"/>
        <w:rPr>
          <w:rFonts w:eastAsiaTheme="majorEastAsia" w:cstheme="minorHAnsi"/>
          <w:b/>
          <w:bCs/>
          <w:color w:val="002060"/>
          <w:sz w:val="24"/>
          <w:szCs w:val="26"/>
          <w:lang w:eastAsia="ko-KR"/>
        </w:rPr>
      </w:pPr>
      <w:r>
        <w:rPr>
          <w:rFonts w:ascii="Arial" w:hAnsi="Arial" w:cs="Arial"/>
          <w:b/>
          <w:sz w:val="20"/>
          <w:szCs w:val="20"/>
          <w:lang w:val="mn-MN"/>
        </w:rPr>
        <w:t xml:space="preserve">Өөр нэг асуудал нь ихэнх төслүүдийг их хурлаар хэлэлцүүлдэг бөгөөд тэдгээрийн ихэнх хэсэг нь оновчтой төслийн бэлтгэл, үнэлгээ дутагдалтай байх талтай. </w:t>
      </w:r>
      <w:r>
        <w:rPr>
          <w:rFonts w:ascii="Arial" w:hAnsi="Arial" w:cs="Arial"/>
          <w:sz w:val="20"/>
          <w:szCs w:val="20"/>
          <w:lang w:val="mn-MN"/>
        </w:rPr>
        <w:t>Сүүлийн үеийн Дэлхийн банкны судалгаагаар</w:t>
      </w:r>
      <w:r>
        <w:rPr>
          <w:rFonts w:ascii="Arial" w:hAnsi="Arial" w:cs="Arial"/>
          <w:sz w:val="20"/>
          <w:szCs w:val="20"/>
          <w:vertAlign w:val="superscript"/>
        </w:rPr>
        <w:t>3</w:t>
      </w:r>
      <w:r>
        <w:rPr>
          <w:rFonts w:ascii="Arial" w:hAnsi="Arial" w:cs="Arial"/>
          <w:sz w:val="20"/>
          <w:szCs w:val="20"/>
        </w:rPr>
        <w:t xml:space="preserve"> </w:t>
      </w:r>
      <w:r>
        <w:rPr>
          <w:rFonts w:ascii="Arial" w:hAnsi="Arial" w:cs="Arial"/>
          <w:sz w:val="20"/>
          <w:szCs w:val="20"/>
          <w:lang w:val="mn-MN"/>
        </w:rPr>
        <w:t xml:space="preserve">2008 онд их хурал шинэ төслүүдийн тоог 60 хувиар нэмэгдүүлсэн, мөн тухайн жилийн хөрөнгийн зардлыг 25 хувиар өсгөсөн нь хөгжиж буй болон ЭЗХАХОрнуудын стандартаас аль алинаас нь онцгой өндөр оролцоо юм. Мөн судалгаагаар, эдгээр төслүүд нь салбарын яамдуудын баримталдаг схемүүдээс дутуу бэлтгэгдсэн, техникийн үндэслэл болон өртөгийн үнэлгээ зэрэг үндсэн баримтууд голдуу дутагдаж байгааг харуулжээ. </w:t>
      </w:r>
    </w:p>
    <w:p w14:paraId="24B47D51" w14:textId="77777777" w:rsidR="008003C7" w:rsidRDefault="008003C7" w:rsidP="008003C7">
      <w:pPr>
        <w:rPr>
          <w:rFonts w:eastAsiaTheme="majorEastAsia" w:cstheme="minorHAnsi"/>
          <w:b/>
          <w:bCs/>
          <w:color w:val="002060"/>
          <w:sz w:val="24"/>
          <w:szCs w:val="26"/>
          <w:lang w:eastAsia="ko-KR"/>
        </w:rPr>
      </w:pPr>
      <w:r>
        <w:rPr>
          <w:rFonts w:cstheme="minorHAnsi"/>
          <w:color w:val="002060"/>
          <w:sz w:val="24"/>
          <w:lang w:eastAsia="ko-KR"/>
        </w:rPr>
        <w:br w:type="page"/>
      </w:r>
    </w:p>
    <w:p w14:paraId="3B385B53" w14:textId="77777777" w:rsidR="008003C7" w:rsidRDefault="008003C7" w:rsidP="008003C7">
      <w:pPr>
        <w:pStyle w:val="Heading2"/>
        <w:pBdr>
          <w:bottom w:val="single" w:sz="4" w:space="1" w:color="auto"/>
        </w:pBdr>
        <w:rPr>
          <w:rFonts w:ascii="Arial" w:hAnsi="Arial" w:cs="Arial"/>
          <w:color w:val="002060"/>
          <w:sz w:val="28"/>
          <w:lang w:val="mn-MN" w:eastAsia="ko-KR"/>
        </w:rPr>
      </w:pPr>
      <w:bookmarkStart w:id="52" w:name="_Toc371338280"/>
      <w:r>
        <w:rPr>
          <w:rFonts w:asciiTheme="minorHAnsi" w:hAnsiTheme="minorHAnsi" w:cstheme="minorHAnsi"/>
          <w:color w:val="002060"/>
          <w:sz w:val="28"/>
          <w:lang w:val="mn-MN" w:eastAsia="ko-KR"/>
        </w:rPr>
        <w:lastRenderedPageBreak/>
        <w:t>М</w:t>
      </w:r>
      <w:r>
        <w:rPr>
          <w:rFonts w:ascii="Arial" w:hAnsi="Arial" w:cs="Arial"/>
          <w:color w:val="002060"/>
          <w:sz w:val="28"/>
          <w:lang w:val="mn-MN" w:eastAsia="ko-KR"/>
        </w:rPr>
        <w:t>өнгөний болон банкны салбар</w:t>
      </w:r>
      <w:bookmarkEnd w:id="52"/>
    </w:p>
    <w:p w14:paraId="7C146341" w14:textId="77777777" w:rsidR="008003C7" w:rsidRDefault="008003C7" w:rsidP="008003C7">
      <w:pPr>
        <w:pStyle w:val="NoSpacing"/>
        <w:rPr>
          <w:sz w:val="2"/>
        </w:rPr>
      </w:pPr>
    </w:p>
    <w:p w14:paraId="3530A83B" w14:textId="77777777" w:rsidR="008003C7" w:rsidRDefault="008003C7" w:rsidP="008003C7">
      <w:pPr>
        <w:jc w:val="both"/>
        <w:rPr>
          <w:rFonts w:ascii="Arial" w:hAnsi="Arial" w:cs="Arial"/>
          <w:b/>
          <w:sz w:val="16"/>
          <w:szCs w:val="20"/>
        </w:rPr>
      </w:pPr>
    </w:p>
    <w:p w14:paraId="26B29D67" w14:textId="77777777" w:rsidR="008003C7" w:rsidRDefault="008003C7" w:rsidP="008003C7">
      <w:pPr>
        <w:jc w:val="both"/>
        <w:rPr>
          <w:rFonts w:ascii="Arial" w:hAnsi="Arial" w:cs="Arial"/>
          <w:sz w:val="20"/>
        </w:rPr>
      </w:pPr>
      <w:r>
        <w:rPr>
          <w:rFonts w:ascii="Arial" w:hAnsi="Arial" w:cs="Arial"/>
          <w:b/>
          <w:sz w:val="20"/>
          <w:szCs w:val="20"/>
          <w:lang w:val="mn-MN"/>
        </w:rPr>
        <w:t xml:space="preserve">Монголбанк 2013 оны эхэнд хувийн салбарын зээлийн өсөлт удааширч байхад түүнийг дэмжиж, эдийн засгийн өсөлтийг дэмжих зорилгоор мөнгөний хүчтэй бодлого явуулж эхэлсэн. </w:t>
      </w:r>
      <w:r>
        <w:rPr>
          <w:rFonts w:ascii="Arial" w:hAnsi="Arial" w:cs="Arial"/>
          <w:sz w:val="20"/>
          <w:szCs w:val="20"/>
          <w:lang w:val="mn-MN"/>
        </w:rPr>
        <w:t>2012 оны эцэст, мөн энэ оны эхэнд дотоодын эрэлт удааширсан учраас мөнгөний бодлогын удирдлагууд 2013 оны 1 дүгээр сараас эхлэн мөнгөний хэд хэдэн бодлогуудыг боловсруулсан</w:t>
      </w:r>
      <w:r>
        <w:rPr>
          <w:rFonts w:ascii="Arial" w:hAnsi="Arial" w:cs="Arial"/>
          <w:sz w:val="20"/>
          <w:szCs w:val="20"/>
        </w:rPr>
        <w:t>: (i)</w:t>
      </w:r>
      <w:r>
        <w:rPr>
          <w:rFonts w:ascii="Arial" w:hAnsi="Arial" w:cs="Arial"/>
          <w:sz w:val="20"/>
          <w:szCs w:val="20"/>
          <w:lang w:val="mn-MN"/>
        </w:rPr>
        <w:t xml:space="preserve"> хүүг 1, 3 болон 6 саруудад 13.25 хувиас 10.5 хувь болгож 275 нэгжээр бууруулсан</w:t>
      </w:r>
      <w:r>
        <w:rPr>
          <w:rFonts w:ascii="Arial" w:hAnsi="Arial" w:cs="Arial"/>
          <w:sz w:val="20"/>
          <w:szCs w:val="20"/>
        </w:rPr>
        <w:t>; (ii)</w:t>
      </w:r>
      <w:r>
        <w:rPr>
          <w:rFonts w:ascii="Arial" w:hAnsi="Arial" w:cs="Arial"/>
          <w:sz w:val="20"/>
          <w:szCs w:val="20"/>
          <w:lang w:val="mn-MN"/>
        </w:rPr>
        <w:t xml:space="preserve"> 3 тэрбум төгрөг гаран хэмжээний мөнгөний сулруулах бодлогыг бодлогын янз бүрийн сувгуудаар дамжуулж хийсэн </w:t>
      </w:r>
      <w:r>
        <w:rPr>
          <w:rFonts w:ascii="Arial" w:hAnsi="Arial" w:cs="Arial"/>
          <w:sz w:val="20"/>
          <w:szCs w:val="20"/>
        </w:rPr>
        <w:t>(</w:t>
      </w:r>
      <w:r>
        <w:rPr>
          <w:rFonts w:ascii="Arial" w:hAnsi="Arial" w:cs="Arial"/>
          <w:sz w:val="20"/>
          <w:lang w:val="mn-MN"/>
        </w:rPr>
        <w:t>ДНБ</w:t>
      </w:r>
      <w:r>
        <w:rPr>
          <w:rFonts w:ascii="Arial" w:hAnsi="Arial" w:cs="Arial"/>
          <w:sz w:val="20"/>
        </w:rPr>
        <w:t>-</w:t>
      </w:r>
      <w:r>
        <w:rPr>
          <w:rFonts w:ascii="Arial" w:hAnsi="Arial" w:cs="Arial"/>
          <w:sz w:val="20"/>
          <w:lang w:val="mn-MN"/>
        </w:rPr>
        <w:t>ий 20 хувьтай тэнцэх</w:t>
      </w:r>
      <w:r>
        <w:rPr>
          <w:rFonts w:ascii="Arial" w:hAnsi="Arial" w:cs="Arial"/>
          <w:sz w:val="20"/>
        </w:rPr>
        <w:t xml:space="preserve">). </w:t>
      </w:r>
    </w:p>
    <w:tbl>
      <w:tblPr>
        <w:tblpPr w:leftFromText="180" w:rightFromText="180" w:vertAnchor="text" w:horzAnchor="margin" w:tblpXSpec="right" w:tblpY="593"/>
        <w:tblOverlap w:val="never"/>
        <w:tblW w:w="0" w:type="auto"/>
        <w:tblLook w:val="04A0" w:firstRow="1" w:lastRow="0" w:firstColumn="1" w:lastColumn="0" w:noHBand="0" w:noVBand="1"/>
      </w:tblPr>
      <w:tblGrid>
        <w:gridCol w:w="4746"/>
      </w:tblGrid>
      <w:tr w:rsidR="008003C7" w14:paraId="05D8D383" w14:textId="77777777" w:rsidTr="008003C7">
        <w:trPr>
          <w:trHeight w:val="236"/>
        </w:trPr>
        <w:tc>
          <w:tcPr>
            <w:tcW w:w="4746" w:type="dxa"/>
            <w:tcBorders>
              <w:top w:val="nil"/>
              <w:left w:val="nil"/>
              <w:bottom w:val="single" w:sz="4" w:space="0" w:color="984806" w:themeColor="accent6" w:themeShade="80"/>
              <w:right w:val="nil"/>
            </w:tcBorders>
            <w:hideMark/>
          </w:tcPr>
          <w:p w14:paraId="2D4D3436" w14:textId="0F61F6DF" w:rsidR="008003C7" w:rsidRDefault="0074125A" w:rsidP="00630B23">
            <w:pPr>
              <w:pStyle w:val="Caption"/>
              <w:keepNext/>
              <w:spacing w:after="0"/>
              <w:rPr>
                <w:sz w:val="16"/>
                <w:szCs w:val="16"/>
              </w:rPr>
            </w:pPr>
            <w:bookmarkStart w:id="53" w:name="_Toc371338639"/>
            <w:r>
              <w:rPr>
                <w:sz w:val="16"/>
                <w:szCs w:val="16"/>
                <w:lang w:val="mn-MN"/>
              </w:rPr>
              <w:t>Зураг</w:t>
            </w:r>
            <w:r w:rsidR="008003C7">
              <w:rPr>
                <w:sz w:val="16"/>
                <w:szCs w:val="16"/>
              </w:rPr>
              <w:t xml:space="preserve"> </w:t>
            </w:r>
            <w:r w:rsidR="008003C7">
              <w:fldChar w:fldCharType="begin"/>
            </w:r>
            <w:r w:rsidR="008003C7">
              <w:rPr>
                <w:sz w:val="16"/>
                <w:szCs w:val="16"/>
              </w:rPr>
              <w:instrText xml:space="preserve"> SEQ Figure \* ARABIC </w:instrText>
            </w:r>
            <w:r w:rsidR="008003C7">
              <w:fldChar w:fldCharType="separate"/>
            </w:r>
            <w:r w:rsidR="008003C7">
              <w:rPr>
                <w:noProof/>
                <w:sz w:val="16"/>
                <w:szCs w:val="16"/>
              </w:rPr>
              <w:t>32</w:t>
            </w:r>
            <w:r w:rsidR="008003C7">
              <w:fldChar w:fldCharType="end"/>
            </w:r>
            <w:r w:rsidR="008003C7">
              <w:rPr>
                <w:sz w:val="16"/>
                <w:szCs w:val="16"/>
              </w:rPr>
              <w:t xml:space="preserve">. </w:t>
            </w:r>
            <w:r>
              <w:rPr>
                <w:sz w:val="16"/>
                <w:szCs w:val="16"/>
                <w:lang w:val="mn-MN"/>
              </w:rPr>
              <w:t xml:space="preserve">Төв банкнаас арилжааны банкуудад </w:t>
            </w:r>
            <w:r w:rsidR="006E135C">
              <w:rPr>
                <w:sz w:val="16"/>
                <w:szCs w:val="16"/>
                <w:lang w:val="mn-MN"/>
              </w:rPr>
              <w:t>хөрвөх чадварыг нэмэгдүүлэхээр мөнгө оруулсан нь хувийн салбарын зээлийн өсөлтийг хурдасгаж байна</w:t>
            </w:r>
            <w:bookmarkEnd w:id="53"/>
          </w:p>
        </w:tc>
      </w:tr>
      <w:tr w:rsidR="008003C7" w14:paraId="6FDBA99C" w14:textId="77777777" w:rsidTr="008003C7">
        <w:trPr>
          <w:trHeight w:val="2837"/>
        </w:trPr>
        <w:tc>
          <w:tcPr>
            <w:tcW w:w="4746" w:type="dxa"/>
            <w:tcBorders>
              <w:top w:val="single" w:sz="4" w:space="0" w:color="984806" w:themeColor="accent6" w:themeShade="80"/>
              <w:left w:val="nil"/>
              <w:bottom w:val="nil"/>
              <w:right w:val="nil"/>
            </w:tcBorders>
            <w:hideMark/>
          </w:tcPr>
          <w:p w14:paraId="6A36FE89" w14:textId="77777777" w:rsidR="008003C7" w:rsidRDefault="008003C7">
            <w:pPr>
              <w:pStyle w:val="Caption"/>
              <w:rPr>
                <w:b w:val="0"/>
                <w:color w:val="auto"/>
                <w:sz w:val="16"/>
              </w:rPr>
            </w:pPr>
            <w:r>
              <w:rPr>
                <w:b w:val="0"/>
                <w:color w:val="auto"/>
                <w:sz w:val="16"/>
              </w:rPr>
              <w:t>Private Sector Credit and Central Bank loan to Banks</w:t>
            </w:r>
          </w:p>
          <w:p w14:paraId="5ACFC594" w14:textId="7DD0E9BD" w:rsidR="008003C7" w:rsidRDefault="008003C7">
            <w:r>
              <w:rPr>
                <w:noProof/>
              </w:rPr>
              <w:drawing>
                <wp:inline distT="0" distB="0" distL="0" distR="0" wp14:anchorId="747D7F2F" wp14:editId="6A540FA8">
                  <wp:extent cx="2876550" cy="1885950"/>
                  <wp:effectExtent l="0" t="0" r="0" b="0"/>
                  <wp:docPr id="334" name="Chart 3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tc>
      </w:tr>
      <w:tr w:rsidR="008003C7" w14:paraId="73FEB2D3" w14:textId="77777777" w:rsidTr="008003C7">
        <w:trPr>
          <w:trHeight w:val="68"/>
        </w:trPr>
        <w:tc>
          <w:tcPr>
            <w:tcW w:w="4746" w:type="dxa"/>
            <w:hideMark/>
          </w:tcPr>
          <w:p w14:paraId="5906C69F" w14:textId="75626333" w:rsidR="008003C7" w:rsidRDefault="006E135C" w:rsidP="00C97F2D">
            <w:pPr>
              <w:pStyle w:val="NoSpacing"/>
              <w:jc w:val="both"/>
              <w:rPr>
                <w:sz w:val="14"/>
                <w:szCs w:val="18"/>
              </w:rPr>
            </w:pPr>
            <w:r>
              <w:rPr>
                <w:i/>
                <w:sz w:val="14"/>
                <w:szCs w:val="18"/>
                <w:lang w:val="mn-MN"/>
              </w:rPr>
              <w:t>Эх үүсвэр</w:t>
            </w:r>
            <w:r w:rsidR="008003C7">
              <w:rPr>
                <w:i/>
                <w:sz w:val="14"/>
                <w:szCs w:val="18"/>
              </w:rPr>
              <w:t>:</w:t>
            </w:r>
            <w:r>
              <w:rPr>
                <w:i/>
                <w:sz w:val="14"/>
                <w:szCs w:val="18"/>
                <w:lang w:val="mn-MN"/>
              </w:rPr>
              <w:t xml:space="preserve"> </w:t>
            </w:r>
            <w:r>
              <w:rPr>
                <w:sz w:val="14"/>
                <w:szCs w:val="18"/>
                <w:lang w:val="mn-MN"/>
              </w:rPr>
              <w:t xml:space="preserve">МБ, ДБ-мэргэжилтнүүдийн тооцоо </w:t>
            </w:r>
          </w:p>
        </w:tc>
      </w:tr>
    </w:tbl>
    <w:p w14:paraId="0D1F4C88" w14:textId="123DBCD4" w:rsidR="008003C7" w:rsidRPr="00630B23" w:rsidRDefault="008003C7" w:rsidP="008003C7">
      <w:pPr>
        <w:jc w:val="both"/>
        <w:rPr>
          <w:noProof/>
          <w:sz w:val="20"/>
          <w:lang w:val="mn-MN" w:eastAsia="ko-KR"/>
        </w:rPr>
      </w:pPr>
      <w:r>
        <w:rPr>
          <w:rFonts w:ascii="Arial" w:hAnsi="Arial" w:cs="Arial"/>
          <w:b/>
          <w:sz w:val="20"/>
          <w:lang w:val="mn-MN"/>
        </w:rPr>
        <w:t>Мөнгөний бодлогын сулралт нь дараах бодлогын зээлийн хөтөлбөрүүдээр дамжин хийгдсэн</w:t>
      </w:r>
      <w:r>
        <w:rPr>
          <w:rFonts w:ascii="Arial" w:hAnsi="Arial" w:cs="Arial"/>
          <w:sz w:val="20"/>
        </w:rPr>
        <w:t>: (</w:t>
      </w:r>
      <w:r>
        <w:rPr>
          <w:rFonts w:ascii="Arial" w:hAnsi="Arial" w:cs="Arial"/>
          <w:color w:val="000000" w:themeColor="text1"/>
          <w:sz w:val="20"/>
        </w:rPr>
        <w:t xml:space="preserve">i) </w:t>
      </w:r>
      <w:r>
        <w:rPr>
          <w:rFonts w:ascii="Arial" w:hAnsi="Arial" w:cs="Arial"/>
          <w:color w:val="000000" w:themeColor="text1"/>
          <w:sz w:val="20"/>
          <w:lang w:val="mn-MN"/>
        </w:rPr>
        <w:t>718 тэрбум төгрөгийн хөнгөлөлттэй зээлийг 2012 оны 11 сараас эхлэн Үнийг тогтворжуулах хөтөлбөрийн хүрээнд сонгосон салбаруудад олгосон</w:t>
      </w:r>
      <w:r>
        <w:rPr>
          <w:rFonts w:ascii="Arial" w:hAnsi="Arial" w:cs="Arial"/>
          <w:color w:val="000000" w:themeColor="text1"/>
          <w:sz w:val="20"/>
        </w:rPr>
        <w:t xml:space="preserve">; (ii) </w:t>
      </w:r>
      <w:r>
        <w:rPr>
          <w:rFonts w:ascii="Arial" w:hAnsi="Arial" w:cs="Arial"/>
          <w:color w:val="000000" w:themeColor="text1"/>
          <w:sz w:val="20"/>
          <w:lang w:val="mn-MN"/>
        </w:rPr>
        <w:t>5 сараас эхлэн нэг жилийн хугацаатай 900 тэрбум төгрөгийн хадгаламжийг банкуудад хөрвөх чадварыг нэмэгдүүлэхээр олгосон</w:t>
      </w:r>
      <w:r>
        <w:rPr>
          <w:rFonts w:ascii="Arial" w:hAnsi="Arial" w:cs="Arial"/>
          <w:color w:val="000000" w:themeColor="text1"/>
          <w:sz w:val="20"/>
        </w:rPr>
        <w:t xml:space="preserve">; </w:t>
      </w:r>
      <w:r>
        <w:rPr>
          <w:rFonts w:ascii="Arial" w:hAnsi="Arial" w:cs="Arial"/>
          <w:color w:val="000000" w:themeColor="text1"/>
          <w:sz w:val="20"/>
          <w:lang w:val="mn-MN"/>
        </w:rPr>
        <w:t>мөн</w:t>
      </w:r>
      <w:r>
        <w:rPr>
          <w:rFonts w:ascii="Arial" w:hAnsi="Arial" w:cs="Arial"/>
          <w:color w:val="000000" w:themeColor="text1"/>
          <w:sz w:val="20"/>
        </w:rPr>
        <w:t xml:space="preserve"> (iii)</w:t>
      </w:r>
      <w:r>
        <w:rPr>
          <w:rFonts w:ascii="Arial" w:hAnsi="Arial" w:cs="Arial"/>
          <w:color w:val="000000" w:themeColor="text1"/>
          <w:sz w:val="20"/>
          <w:lang w:val="mn-MN"/>
        </w:rPr>
        <w:t xml:space="preserve"> бага хувийн хүүтэй орон сууцны зээлд 1.1 тэрбум төгрөгийг, барилгын компаниудад 430 тэрбум төгрөгийн зээлийг 6 сараас эхлэн барилгын болон орон сууцны салбарын хөгжлийг дэмжих хөтөлбөрөөр </w:t>
      </w:r>
      <w:r>
        <w:rPr>
          <w:rFonts w:ascii="Arial" w:hAnsi="Arial" w:cs="Arial"/>
          <w:color w:val="000000" w:themeColor="text1"/>
          <w:sz w:val="20"/>
        </w:rPr>
        <w:t>(</w:t>
      </w:r>
      <w:r>
        <w:rPr>
          <w:rFonts w:ascii="Arial" w:hAnsi="Arial" w:cs="Arial"/>
          <w:color w:val="000000" w:themeColor="text1"/>
          <w:sz w:val="20"/>
          <w:lang w:val="mn-MN"/>
        </w:rPr>
        <w:t>Хайрцаг</w:t>
      </w:r>
      <w:r>
        <w:rPr>
          <w:rFonts w:ascii="Arial" w:hAnsi="Arial" w:cs="Arial"/>
          <w:color w:val="000000" w:themeColor="text1"/>
          <w:sz w:val="20"/>
        </w:rPr>
        <w:t xml:space="preserve"> 4</w:t>
      </w:r>
      <w:r>
        <w:rPr>
          <w:rFonts w:ascii="Arial" w:hAnsi="Arial" w:cs="Arial"/>
          <w:color w:val="000000" w:themeColor="text1"/>
          <w:sz w:val="20"/>
          <w:lang w:val="mn-MN"/>
        </w:rPr>
        <w:t>,  Хайрцаг</w:t>
      </w:r>
      <w:r>
        <w:rPr>
          <w:rFonts w:ascii="Arial" w:hAnsi="Arial" w:cs="Arial"/>
          <w:color w:val="000000" w:themeColor="text1"/>
          <w:sz w:val="20"/>
        </w:rPr>
        <w:t xml:space="preserve"> 5)</w:t>
      </w:r>
      <w:r>
        <w:rPr>
          <w:rFonts w:ascii="Arial" w:hAnsi="Arial" w:cs="Arial"/>
          <w:color w:val="000000" w:themeColor="text1"/>
          <w:sz w:val="20"/>
          <w:lang w:val="mn-MN"/>
        </w:rPr>
        <w:t xml:space="preserve"> тус тус олгосон</w:t>
      </w:r>
      <w:r>
        <w:rPr>
          <w:rFonts w:ascii="Arial" w:hAnsi="Arial" w:cs="Arial"/>
          <w:color w:val="000000" w:themeColor="text1"/>
          <w:sz w:val="20"/>
        </w:rPr>
        <w:t xml:space="preserve">. </w:t>
      </w:r>
      <w:r>
        <w:rPr>
          <w:rFonts w:ascii="Arial" w:hAnsi="Arial" w:cs="Arial"/>
          <w:color w:val="000000" w:themeColor="text1"/>
          <w:sz w:val="20"/>
          <w:lang w:val="mn-MN"/>
        </w:rPr>
        <w:t>Эдгээр арга хэмжээнүүдийн үр дүнд, төв банкны арилжааны банкуудад олгосон зээлийн өрийн үлдэгдэл нь Үнийг тогтворжуулах хөтөлбөр хэрэгжиж эхэлснээс хойш буюу 2012 оны 11 сараас эхлэн өнгөрсөн 11 сард 181 тэрбум төгрөг байснаа 3.4 их наядаар нэмэгдэж</w:t>
      </w:r>
      <w:r>
        <w:rPr>
          <w:rFonts w:ascii="Arial" w:hAnsi="Arial" w:cs="Arial"/>
          <w:color w:val="000000" w:themeColor="text1"/>
          <w:sz w:val="20"/>
        </w:rPr>
        <w:t xml:space="preserve"> – </w:t>
      </w:r>
      <w:r>
        <w:rPr>
          <w:rFonts w:ascii="Arial" w:hAnsi="Arial" w:cs="Arial"/>
          <w:color w:val="000000" w:themeColor="text1"/>
          <w:sz w:val="20"/>
          <w:lang w:val="mn-MN"/>
        </w:rPr>
        <w:t xml:space="preserve">2013 оны 9 сард 3.6 их наяд төгрөгт хүрчээ. </w:t>
      </w:r>
      <w:r>
        <w:rPr>
          <w:rFonts w:ascii="Arial" w:hAnsi="Arial" w:cs="Arial"/>
          <w:color w:val="000000" w:themeColor="text1"/>
          <w:sz w:val="20"/>
        </w:rPr>
        <w:t>(</w:t>
      </w:r>
      <w:r>
        <w:rPr>
          <w:rFonts w:ascii="Arial" w:hAnsi="Arial" w:cs="Arial"/>
          <w:color w:val="000000" w:themeColor="text1"/>
          <w:sz w:val="20"/>
          <w:lang w:val="mn-MN"/>
        </w:rPr>
        <w:t>Зураг</w:t>
      </w:r>
      <w:r>
        <w:rPr>
          <w:rFonts w:ascii="Arial" w:hAnsi="Arial" w:cs="Arial"/>
          <w:color w:val="000000" w:themeColor="text1"/>
          <w:sz w:val="20"/>
        </w:rPr>
        <w:t xml:space="preserve"> 32)</w:t>
      </w:r>
    </w:p>
    <w:tbl>
      <w:tblPr>
        <w:tblpPr w:leftFromText="180" w:rightFromText="180" w:vertAnchor="text" w:horzAnchor="margin" w:tblpY="95"/>
        <w:tblW w:w="0" w:type="auto"/>
        <w:tblLook w:val="04A0" w:firstRow="1" w:lastRow="0" w:firstColumn="1" w:lastColumn="0" w:noHBand="0" w:noVBand="1"/>
      </w:tblPr>
      <w:tblGrid>
        <w:gridCol w:w="3843"/>
        <w:gridCol w:w="814"/>
        <w:gridCol w:w="222"/>
        <w:gridCol w:w="4697"/>
      </w:tblGrid>
      <w:tr w:rsidR="006E135C" w14:paraId="183E2AAB" w14:textId="77777777" w:rsidTr="006E135C">
        <w:tc>
          <w:tcPr>
            <w:tcW w:w="4657" w:type="dxa"/>
            <w:gridSpan w:val="2"/>
            <w:tcBorders>
              <w:top w:val="nil"/>
              <w:left w:val="nil"/>
              <w:bottom w:val="single" w:sz="4" w:space="0" w:color="984806" w:themeColor="accent6" w:themeShade="80"/>
              <w:right w:val="nil"/>
            </w:tcBorders>
            <w:hideMark/>
          </w:tcPr>
          <w:p w14:paraId="78590CB3" w14:textId="2161C4D1" w:rsidR="006E135C" w:rsidRDefault="006E135C" w:rsidP="00630B23">
            <w:pPr>
              <w:pStyle w:val="Caption"/>
              <w:keepNext/>
              <w:spacing w:after="0"/>
              <w:jc w:val="both"/>
              <w:rPr>
                <w:color w:val="auto"/>
                <w:sz w:val="16"/>
                <w:szCs w:val="16"/>
              </w:rPr>
            </w:pPr>
            <w:bookmarkStart w:id="54" w:name="_Toc371338640"/>
            <w:r>
              <w:rPr>
                <w:sz w:val="16"/>
                <w:szCs w:val="16"/>
                <w:lang w:val="mn-MN"/>
              </w:rPr>
              <w:t>Зураг</w:t>
            </w:r>
            <w:r>
              <w:rPr>
                <w:sz w:val="16"/>
                <w:szCs w:val="16"/>
              </w:rPr>
              <w:t xml:space="preserve"> </w:t>
            </w:r>
            <w:r>
              <w:fldChar w:fldCharType="begin"/>
            </w:r>
            <w:r>
              <w:rPr>
                <w:sz w:val="16"/>
                <w:szCs w:val="16"/>
              </w:rPr>
              <w:instrText xml:space="preserve"> SEQ Figure \* ARABIC </w:instrText>
            </w:r>
            <w:r>
              <w:fldChar w:fldCharType="separate"/>
            </w:r>
            <w:r>
              <w:rPr>
                <w:noProof/>
                <w:sz w:val="16"/>
                <w:szCs w:val="16"/>
              </w:rPr>
              <w:t>33</w:t>
            </w:r>
            <w:r>
              <w:fldChar w:fldCharType="end"/>
            </w:r>
            <w:r>
              <w:rPr>
                <w:sz w:val="16"/>
                <w:szCs w:val="16"/>
              </w:rPr>
              <w:t xml:space="preserve">. </w:t>
            </w:r>
            <w:r>
              <w:rPr>
                <w:sz w:val="16"/>
                <w:szCs w:val="16"/>
                <w:lang w:val="mn-MN"/>
              </w:rPr>
              <w:t>Тус бүс нутагийн хөгжиж буй бусад эдийн засагтай харьцуулбал зээлийн өсөлт өндөр, хэлбэлзэл ихтэй байна</w:t>
            </w:r>
            <w:r>
              <w:rPr>
                <w:sz w:val="16"/>
                <w:szCs w:val="16"/>
              </w:rPr>
              <w:t xml:space="preserve"> …</w:t>
            </w:r>
            <w:bookmarkEnd w:id="54"/>
          </w:p>
        </w:tc>
        <w:tc>
          <w:tcPr>
            <w:tcW w:w="222" w:type="dxa"/>
          </w:tcPr>
          <w:p w14:paraId="0B4930E2" w14:textId="77777777" w:rsidR="006E135C" w:rsidRDefault="006E135C" w:rsidP="00630B23">
            <w:pPr>
              <w:pStyle w:val="Caption"/>
              <w:spacing w:after="0"/>
              <w:jc w:val="center"/>
              <w:rPr>
                <w:color w:val="auto"/>
                <w:sz w:val="2"/>
              </w:rPr>
            </w:pPr>
          </w:p>
        </w:tc>
        <w:tc>
          <w:tcPr>
            <w:tcW w:w="4697" w:type="dxa"/>
            <w:tcBorders>
              <w:top w:val="nil"/>
              <w:left w:val="nil"/>
              <w:bottom w:val="single" w:sz="4" w:space="0" w:color="984806" w:themeColor="accent6" w:themeShade="80"/>
              <w:right w:val="nil"/>
            </w:tcBorders>
            <w:hideMark/>
          </w:tcPr>
          <w:p w14:paraId="11E4F957" w14:textId="4EF72CBD" w:rsidR="006E135C" w:rsidRDefault="006E135C" w:rsidP="00630B23">
            <w:pPr>
              <w:pStyle w:val="Caption"/>
              <w:keepNext/>
              <w:spacing w:after="0"/>
              <w:jc w:val="both"/>
              <w:rPr>
                <w:sz w:val="16"/>
                <w:szCs w:val="16"/>
              </w:rPr>
            </w:pPr>
            <w:bookmarkStart w:id="55" w:name="_Toc371338641"/>
            <w:r>
              <w:rPr>
                <w:sz w:val="16"/>
                <w:szCs w:val="16"/>
                <w:lang w:val="mn-MN"/>
              </w:rPr>
              <w:t>Зураг</w:t>
            </w:r>
            <w:r>
              <w:rPr>
                <w:sz w:val="16"/>
                <w:szCs w:val="16"/>
              </w:rPr>
              <w:t xml:space="preserve"> </w:t>
            </w:r>
            <w:r>
              <w:fldChar w:fldCharType="begin"/>
            </w:r>
            <w:r>
              <w:rPr>
                <w:sz w:val="16"/>
                <w:szCs w:val="16"/>
              </w:rPr>
              <w:instrText xml:space="preserve"> SEQ Figure \* ARABIC </w:instrText>
            </w:r>
            <w:r>
              <w:fldChar w:fldCharType="separate"/>
            </w:r>
            <w:r>
              <w:rPr>
                <w:noProof/>
                <w:sz w:val="16"/>
                <w:szCs w:val="16"/>
              </w:rPr>
              <w:t>34</w:t>
            </w:r>
            <w:r>
              <w:fldChar w:fldCharType="end"/>
            </w:r>
            <w:r>
              <w:rPr>
                <w:sz w:val="16"/>
                <w:szCs w:val="16"/>
              </w:rPr>
              <w:t>.…</w:t>
            </w:r>
            <w:r>
              <w:rPr>
                <w:sz w:val="16"/>
                <w:szCs w:val="16"/>
                <w:lang w:val="mn-MN"/>
              </w:rPr>
              <w:t>мөн</w:t>
            </w:r>
            <w:r w:rsidR="00C97F2D">
              <w:rPr>
                <w:sz w:val="16"/>
                <w:szCs w:val="16"/>
              </w:rPr>
              <w:t xml:space="preserve"> </w:t>
            </w:r>
            <w:r w:rsidR="00C97F2D">
              <w:rPr>
                <w:sz w:val="16"/>
                <w:szCs w:val="16"/>
                <w:lang w:val="mn-MN"/>
              </w:rPr>
              <w:t>дотоодын зээлийн ДНБ-д харьцуулсан харьцаа өсч байна</w:t>
            </w:r>
            <w:r w:rsidR="00C97F2D">
              <w:rPr>
                <w:sz w:val="16"/>
                <w:szCs w:val="16"/>
              </w:rPr>
              <w:t xml:space="preserve"> </w:t>
            </w:r>
            <w:r>
              <w:rPr>
                <w:sz w:val="16"/>
                <w:szCs w:val="16"/>
              </w:rPr>
              <w:t>…</w:t>
            </w:r>
            <w:bookmarkEnd w:id="55"/>
          </w:p>
        </w:tc>
      </w:tr>
      <w:tr w:rsidR="006E135C" w14:paraId="366AF504" w14:textId="77777777" w:rsidTr="006E135C">
        <w:trPr>
          <w:trHeight w:val="3221"/>
        </w:trPr>
        <w:tc>
          <w:tcPr>
            <w:tcW w:w="4657" w:type="dxa"/>
            <w:gridSpan w:val="2"/>
            <w:tcBorders>
              <w:top w:val="single" w:sz="4" w:space="0" w:color="984806" w:themeColor="accent6" w:themeShade="80"/>
              <w:left w:val="nil"/>
              <w:bottom w:val="nil"/>
              <w:right w:val="nil"/>
            </w:tcBorders>
          </w:tcPr>
          <w:p w14:paraId="23F78E1B" w14:textId="77777777" w:rsidR="006E135C" w:rsidRDefault="006E135C" w:rsidP="006E135C">
            <w:pPr>
              <w:pStyle w:val="NoSpacing"/>
              <w:jc w:val="both"/>
              <w:rPr>
                <w:sz w:val="16"/>
              </w:rPr>
            </w:pPr>
            <w:r>
              <w:rPr>
                <w:sz w:val="16"/>
              </w:rPr>
              <w:t>Domestic Credit Growth (in percent, year-on-year)</w:t>
            </w:r>
          </w:p>
          <w:p w14:paraId="6B136D2F" w14:textId="77777777" w:rsidR="006E135C" w:rsidRDefault="006E135C" w:rsidP="006E135C">
            <w:pPr>
              <w:pStyle w:val="NoSpacing"/>
              <w:jc w:val="both"/>
              <w:rPr>
                <w:sz w:val="16"/>
              </w:rPr>
            </w:pPr>
          </w:p>
          <w:p w14:paraId="635099EF" w14:textId="77777777" w:rsidR="006E135C" w:rsidRDefault="006E135C" w:rsidP="006E135C">
            <w:pPr>
              <w:pStyle w:val="NoSpacing"/>
              <w:jc w:val="both"/>
            </w:pPr>
            <w:r>
              <w:rPr>
                <w:noProof/>
              </w:rPr>
              <w:drawing>
                <wp:inline distT="0" distB="0" distL="0" distR="0" wp14:anchorId="789CB9F4" wp14:editId="2F96ACBE">
                  <wp:extent cx="3022600" cy="1714500"/>
                  <wp:effectExtent l="0" t="0" r="6350" b="0"/>
                  <wp:docPr id="352" name="Chart 35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c>
        <w:tc>
          <w:tcPr>
            <w:tcW w:w="222" w:type="dxa"/>
          </w:tcPr>
          <w:p w14:paraId="262E5B63" w14:textId="77777777" w:rsidR="006E135C" w:rsidRDefault="006E135C" w:rsidP="006E135C">
            <w:pPr>
              <w:pStyle w:val="NoSpacing"/>
              <w:jc w:val="both"/>
              <w:rPr>
                <w:noProof/>
                <w:sz w:val="2"/>
                <w:lang w:eastAsia="ko-KR"/>
              </w:rPr>
            </w:pPr>
          </w:p>
          <w:p w14:paraId="5B74BE94" w14:textId="77777777" w:rsidR="006E135C" w:rsidRDefault="006E135C" w:rsidP="006E135C">
            <w:pPr>
              <w:pStyle w:val="NoSpacing"/>
              <w:jc w:val="both"/>
              <w:rPr>
                <w:noProof/>
                <w:sz w:val="2"/>
                <w:lang w:eastAsia="ko-KR"/>
              </w:rPr>
            </w:pPr>
          </w:p>
        </w:tc>
        <w:tc>
          <w:tcPr>
            <w:tcW w:w="4697" w:type="dxa"/>
            <w:tcBorders>
              <w:top w:val="single" w:sz="4" w:space="0" w:color="984806" w:themeColor="accent6" w:themeShade="80"/>
              <w:left w:val="nil"/>
              <w:bottom w:val="nil"/>
              <w:right w:val="nil"/>
            </w:tcBorders>
            <w:hideMark/>
          </w:tcPr>
          <w:p w14:paraId="28C016E6" w14:textId="1A7981B9" w:rsidR="006E135C" w:rsidRDefault="00C97F2D" w:rsidP="006E135C">
            <w:pPr>
              <w:pStyle w:val="NoSpacing"/>
              <w:jc w:val="both"/>
              <w:rPr>
                <w:sz w:val="16"/>
                <w:szCs w:val="18"/>
                <w:lang w:eastAsia="ko-KR"/>
              </w:rPr>
            </w:pPr>
            <w:r>
              <w:rPr>
                <w:sz w:val="16"/>
                <w:szCs w:val="18"/>
                <w:lang w:val="mn-MN"/>
              </w:rPr>
              <w:t>Дотоодын зээлийн үлдэгдлийн ДНБ-д харьцуулсан харьцаа</w:t>
            </w:r>
            <w:r w:rsidR="006E135C">
              <w:rPr>
                <w:sz w:val="16"/>
                <w:szCs w:val="18"/>
              </w:rPr>
              <w:t xml:space="preserve"> (</w:t>
            </w:r>
            <w:r>
              <w:rPr>
                <w:sz w:val="16"/>
                <w:szCs w:val="18"/>
                <w:lang w:val="mn-MN"/>
              </w:rPr>
              <w:t>засгийн газрын оруулаад</w:t>
            </w:r>
            <w:r w:rsidR="006E135C">
              <w:rPr>
                <w:sz w:val="16"/>
                <w:szCs w:val="18"/>
              </w:rPr>
              <w:t xml:space="preserve">, %) </w:t>
            </w:r>
          </w:p>
          <w:p w14:paraId="6C3B34F1" w14:textId="77777777" w:rsidR="006E135C" w:rsidRDefault="006E135C" w:rsidP="006E135C">
            <w:pPr>
              <w:pStyle w:val="NoSpacing"/>
              <w:jc w:val="both"/>
              <w:rPr>
                <w:lang w:eastAsia="ko-KR"/>
              </w:rPr>
            </w:pPr>
            <w:r>
              <w:rPr>
                <w:noProof/>
              </w:rPr>
              <w:drawing>
                <wp:inline distT="0" distB="0" distL="0" distR="0" wp14:anchorId="426DCC77" wp14:editId="0949CA19">
                  <wp:extent cx="3060700" cy="1714500"/>
                  <wp:effectExtent l="0" t="0" r="6350" b="0"/>
                  <wp:docPr id="353" name="Chart 353"/>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c>
      </w:tr>
      <w:tr w:rsidR="006E135C" w14:paraId="6882AFBC" w14:textId="77777777" w:rsidTr="006E135C">
        <w:trPr>
          <w:trHeight w:val="89"/>
        </w:trPr>
        <w:tc>
          <w:tcPr>
            <w:tcW w:w="3802" w:type="dxa"/>
            <w:hideMark/>
          </w:tcPr>
          <w:p w14:paraId="404670D9" w14:textId="3FDAE946" w:rsidR="006E135C" w:rsidRDefault="00C97F2D" w:rsidP="006E135C">
            <w:pPr>
              <w:pStyle w:val="NoSpacing"/>
              <w:jc w:val="both"/>
              <w:rPr>
                <w:sz w:val="14"/>
                <w:szCs w:val="18"/>
              </w:rPr>
            </w:pPr>
            <w:r>
              <w:rPr>
                <w:i/>
                <w:sz w:val="14"/>
                <w:szCs w:val="18"/>
                <w:lang w:val="mn-MN"/>
              </w:rPr>
              <w:t>Эх үүсвэр</w:t>
            </w:r>
            <w:r>
              <w:rPr>
                <w:i/>
                <w:sz w:val="14"/>
                <w:szCs w:val="18"/>
              </w:rPr>
              <w:t>:</w:t>
            </w:r>
            <w:r>
              <w:rPr>
                <w:i/>
                <w:sz w:val="14"/>
                <w:szCs w:val="18"/>
                <w:lang w:val="mn-MN"/>
              </w:rPr>
              <w:t xml:space="preserve"> </w:t>
            </w:r>
            <w:r>
              <w:rPr>
                <w:sz w:val="14"/>
                <w:szCs w:val="18"/>
                <w:lang w:val="mn-MN"/>
              </w:rPr>
              <w:t>МБ, ДБ-мэргэжилтнүүдийн тооцоо</w:t>
            </w:r>
          </w:p>
        </w:tc>
        <w:tc>
          <w:tcPr>
            <w:tcW w:w="855" w:type="dxa"/>
          </w:tcPr>
          <w:p w14:paraId="6963F8DD" w14:textId="77777777" w:rsidR="006E135C" w:rsidRDefault="006E135C" w:rsidP="006E135C">
            <w:pPr>
              <w:pStyle w:val="NoSpacing"/>
              <w:jc w:val="both"/>
              <w:rPr>
                <w:i/>
                <w:sz w:val="2"/>
                <w:szCs w:val="18"/>
              </w:rPr>
            </w:pPr>
          </w:p>
        </w:tc>
        <w:tc>
          <w:tcPr>
            <w:tcW w:w="4919" w:type="dxa"/>
            <w:gridSpan w:val="2"/>
          </w:tcPr>
          <w:p w14:paraId="3B4F33CA" w14:textId="77777777" w:rsidR="006E135C" w:rsidRDefault="006E135C" w:rsidP="006E135C">
            <w:pPr>
              <w:pStyle w:val="NoSpacing"/>
              <w:jc w:val="both"/>
              <w:rPr>
                <w:sz w:val="14"/>
              </w:rPr>
            </w:pPr>
          </w:p>
        </w:tc>
      </w:tr>
    </w:tbl>
    <w:p w14:paraId="026FE896" w14:textId="77777777" w:rsidR="00C97F2D" w:rsidRDefault="00C97F2D" w:rsidP="008003C7">
      <w:pPr>
        <w:jc w:val="both"/>
        <w:rPr>
          <w:rFonts w:ascii="Arial" w:hAnsi="Arial" w:cs="Arial"/>
          <w:b/>
          <w:color w:val="000000" w:themeColor="text1"/>
          <w:sz w:val="20"/>
          <w:lang w:val="mn-MN"/>
        </w:rPr>
      </w:pPr>
    </w:p>
    <w:p w14:paraId="07ECB956" w14:textId="4C340350" w:rsidR="006E135C" w:rsidRPr="00630B23" w:rsidRDefault="008003C7" w:rsidP="008003C7">
      <w:pPr>
        <w:jc w:val="both"/>
        <w:rPr>
          <w:rFonts w:ascii="Arial" w:hAnsi="Arial" w:cs="Arial"/>
          <w:color w:val="000000" w:themeColor="text1"/>
          <w:sz w:val="20"/>
          <w:lang w:val="mn-MN"/>
        </w:rPr>
      </w:pPr>
      <w:r>
        <w:rPr>
          <w:rFonts w:ascii="Arial" w:hAnsi="Arial" w:cs="Arial"/>
          <w:b/>
          <w:color w:val="000000" w:themeColor="text1"/>
          <w:sz w:val="20"/>
          <w:lang w:val="mn-MN"/>
        </w:rPr>
        <w:lastRenderedPageBreak/>
        <w:t xml:space="preserve">Мөнгөний сул бодлого нь дотоодын болон хувийн салбарын зээлийг өсөлтийг хурдасгасан. </w:t>
      </w:r>
      <w:r>
        <w:rPr>
          <w:rFonts w:ascii="Arial" w:hAnsi="Arial" w:cs="Arial"/>
          <w:color w:val="000000" w:themeColor="text1"/>
          <w:sz w:val="20"/>
          <w:lang w:val="mn-MN"/>
        </w:rPr>
        <w:t xml:space="preserve">Улсын төсвийн нэхэмжлэлийг оруулаад дотоодын зээлийн нийт үлдэгдлийн хэмжээний өмнөх </w:t>
      </w:r>
      <w:r w:rsidR="006E135C">
        <w:rPr>
          <w:rFonts w:ascii="Arial" w:hAnsi="Arial" w:cs="Arial"/>
          <w:color w:val="000000" w:themeColor="text1"/>
          <w:sz w:val="20"/>
          <w:lang w:val="mn-MN"/>
        </w:rPr>
        <w:t xml:space="preserve"> </w:t>
      </w:r>
      <w:r>
        <w:rPr>
          <w:rFonts w:ascii="Arial" w:hAnsi="Arial" w:cs="Arial"/>
          <w:color w:val="000000" w:themeColor="text1"/>
          <w:sz w:val="20"/>
          <w:lang w:val="mn-MN"/>
        </w:rPr>
        <w:t>жилтэй харьцуулсан өсөлт нь тогтмол өсч өнгөрсөн оны 12 сард 29.4 хувь байснаа 9 сард 61.6 хувьд хүрчээ. Банкуудын хувийн салбарт өгсөн зээлийн өсөлт нь 2012 оны эцэст 26 хувь байснаа 9 дүгээр сард 48.6 хувь болжээ. Сүүлийн саруудад өссөн Монгол улсын зээлийн өсөлт нь тус бүс нутгийн голлох эдийн засгуудын дотор хамгийн өндөр байна</w:t>
      </w:r>
      <w:r>
        <w:rPr>
          <w:rFonts w:ascii="Arial" w:hAnsi="Arial" w:cs="Arial"/>
          <w:color w:val="000000" w:themeColor="text1"/>
          <w:sz w:val="20"/>
        </w:rPr>
        <w:t xml:space="preserve"> (</w:t>
      </w:r>
      <w:r>
        <w:rPr>
          <w:rFonts w:ascii="Arial" w:hAnsi="Arial" w:cs="Arial"/>
          <w:color w:val="000000" w:themeColor="text1"/>
          <w:sz w:val="20"/>
          <w:lang w:val="mn-MN"/>
        </w:rPr>
        <w:t>Зураг</w:t>
      </w:r>
      <w:r>
        <w:rPr>
          <w:rFonts w:ascii="Arial" w:hAnsi="Arial" w:cs="Arial"/>
          <w:color w:val="000000" w:themeColor="text1"/>
          <w:sz w:val="20"/>
        </w:rPr>
        <w:t xml:space="preserve"> 33). </w:t>
      </w:r>
      <w:r>
        <w:rPr>
          <w:rFonts w:ascii="Arial" w:hAnsi="Arial" w:cs="Arial"/>
          <w:color w:val="000000" w:themeColor="text1"/>
          <w:sz w:val="20"/>
          <w:lang w:val="mn-MN"/>
        </w:rPr>
        <w:t>Дотоодын зээлийн өрийн үлдэгдлийн ДНБ</w:t>
      </w:r>
      <w:r>
        <w:rPr>
          <w:rFonts w:ascii="Arial" w:hAnsi="Arial" w:cs="Arial"/>
          <w:color w:val="000000" w:themeColor="text1"/>
          <w:sz w:val="20"/>
        </w:rPr>
        <w:t xml:space="preserve">-д эзлэх хувь 3 сард 48.6 хувиас </w:t>
      </w:r>
      <w:r>
        <w:rPr>
          <w:rFonts w:ascii="Arial" w:hAnsi="Arial" w:cs="Arial"/>
          <w:color w:val="000000" w:themeColor="text1"/>
          <w:sz w:val="20"/>
          <w:lang w:val="mn-MN"/>
        </w:rPr>
        <w:t xml:space="preserve">өсч </w:t>
      </w:r>
      <w:r>
        <w:rPr>
          <w:rFonts w:ascii="Arial" w:hAnsi="Arial" w:cs="Arial"/>
          <w:color w:val="000000" w:themeColor="text1"/>
          <w:sz w:val="20"/>
        </w:rPr>
        <w:t>9 дүгээр сард 67.8 хувьд хүрсэн. (</w:t>
      </w:r>
      <w:r>
        <w:rPr>
          <w:rFonts w:ascii="Arial" w:hAnsi="Arial" w:cs="Arial"/>
          <w:color w:val="000000" w:themeColor="text1"/>
          <w:sz w:val="20"/>
          <w:lang w:val="mn-MN"/>
        </w:rPr>
        <w:t>Зураг</w:t>
      </w:r>
      <w:r>
        <w:rPr>
          <w:rFonts w:ascii="Arial" w:hAnsi="Arial" w:cs="Arial"/>
          <w:color w:val="000000" w:themeColor="text1"/>
          <w:sz w:val="20"/>
        </w:rPr>
        <w:t xml:space="preserve"> 34)</w:t>
      </w:r>
      <w:r w:rsidR="006E135C">
        <w:rPr>
          <w:rFonts w:ascii="Arial" w:hAnsi="Arial" w:cs="Arial"/>
          <w:color w:val="000000" w:themeColor="text1"/>
          <w:sz w:val="20"/>
          <w:lang w:val="mn-MN"/>
        </w:rPr>
        <w:t xml:space="preserve"> </w:t>
      </w:r>
    </w:p>
    <w:p w14:paraId="4F4E2B6E" w14:textId="77777777" w:rsidR="008003C7" w:rsidRDefault="008003C7" w:rsidP="008003C7">
      <w:pPr>
        <w:jc w:val="both"/>
        <w:rPr>
          <w:rFonts w:ascii="Arial" w:hAnsi="Arial" w:cs="Arial"/>
          <w:color w:val="000000" w:themeColor="text1"/>
          <w:sz w:val="20"/>
        </w:rPr>
      </w:pPr>
      <w:r>
        <w:rPr>
          <w:rFonts w:ascii="Arial" w:hAnsi="Arial" w:cs="Arial"/>
          <w:b/>
          <w:color w:val="000000" w:themeColor="text1"/>
          <w:sz w:val="20"/>
          <w:lang w:val="mn-MN"/>
        </w:rPr>
        <w:t xml:space="preserve">Зээлийн өсөлт хурдан байгаагаас, зээлийн хадгаламжид харьцуулах харьцаа нь 2012 оны эцэст 99 хувь байснаа 9 дүгээр сард 128 хувьд хүрсэн байна. </w:t>
      </w:r>
      <w:r>
        <w:rPr>
          <w:rFonts w:ascii="Arial" w:hAnsi="Arial" w:cs="Arial"/>
          <w:color w:val="000000" w:themeColor="text1"/>
          <w:sz w:val="20"/>
        </w:rPr>
        <w:t>(</w:t>
      </w:r>
      <w:r>
        <w:rPr>
          <w:rFonts w:ascii="Arial" w:hAnsi="Arial" w:cs="Arial"/>
          <w:color w:val="000000" w:themeColor="text1"/>
          <w:sz w:val="20"/>
          <w:lang w:val="mn-MN"/>
        </w:rPr>
        <w:t>Зураг</w:t>
      </w:r>
      <w:r>
        <w:rPr>
          <w:rFonts w:ascii="Arial" w:hAnsi="Arial" w:cs="Arial"/>
          <w:color w:val="000000" w:themeColor="text1"/>
          <w:sz w:val="20"/>
        </w:rPr>
        <w:t xml:space="preserve"> 35)</w:t>
      </w:r>
      <w:r>
        <w:rPr>
          <w:rFonts w:ascii="Arial" w:hAnsi="Arial" w:cs="Arial"/>
          <w:color w:val="000000" w:themeColor="text1"/>
          <w:sz w:val="20"/>
          <w:lang w:val="mn-MN"/>
        </w:rPr>
        <w:t xml:space="preserve"> Зээлийн хадгаламжид харьцах харьцаа өсч байгаа нь банкуудын зээл болон хадгаламжийн өсөлтийн хоорондын ялгаа нэмэгдэж байгааг харуулж байна. Банкуудын хувийн зээлийн нийт өсөлт 9 дүгээр сард 48 хувиас илүү байхад нийт хадгаламж 8 болон 9 дүгээр саруудад ойролцоогоор 20 хувиар нэмэгдэж байна. 9 дүгээр сард хувийн салбарын зээлийн үлдэгдэл 10.2 их наяд төгрөгт хүрсэн байхад банкуудын нийт хадгаламж </w:t>
      </w:r>
      <w:r>
        <w:rPr>
          <w:rFonts w:ascii="Arial" w:hAnsi="Arial" w:cs="Arial"/>
          <w:color w:val="000000" w:themeColor="text1"/>
          <w:sz w:val="20"/>
        </w:rPr>
        <w:t>(</w:t>
      </w:r>
      <w:r>
        <w:rPr>
          <w:rFonts w:ascii="Arial" w:hAnsi="Arial" w:cs="Arial"/>
          <w:color w:val="000000" w:themeColor="text1"/>
          <w:sz w:val="20"/>
          <w:lang w:val="mn-MN"/>
        </w:rPr>
        <w:t>засгийн газрын хадгаламжийг оролцуулахгүйгээр</w:t>
      </w:r>
      <w:r>
        <w:rPr>
          <w:rFonts w:ascii="Arial" w:hAnsi="Arial" w:cs="Arial"/>
          <w:color w:val="000000" w:themeColor="text1"/>
          <w:sz w:val="20"/>
        </w:rPr>
        <w:t>) 7.9</w:t>
      </w:r>
      <w:r>
        <w:rPr>
          <w:rFonts w:ascii="Arial" w:hAnsi="Arial" w:cs="Arial"/>
          <w:color w:val="000000" w:themeColor="text1"/>
          <w:sz w:val="20"/>
          <w:lang w:val="mn-MN"/>
        </w:rPr>
        <w:t xml:space="preserve"> их наяд төгрөг байна. </w:t>
      </w:r>
    </w:p>
    <w:p w14:paraId="04E4E837" w14:textId="77777777" w:rsidR="008003C7" w:rsidRDefault="008003C7" w:rsidP="008003C7">
      <w:pPr>
        <w:jc w:val="both"/>
        <w:rPr>
          <w:rFonts w:ascii="Arial" w:hAnsi="Arial" w:cs="Arial"/>
          <w:i/>
          <w:color w:val="000000" w:themeColor="text1"/>
          <w:sz w:val="20"/>
        </w:rPr>
      </w:pPr>
      <w:r>
        <w:rPr>
          <w:rFonts w:ascii="Arial" w:hAnsi="Arial" w:cs="Arial"/>
          <w:b/>
          <w:color w:val="000000" w:themeColor="text1"/>
          <w:sz w:val="20"/>
          <w:lang w:val="mn-MN"/>
        </w:rPr>
        <w:t xml:space="preserve">Банкны хадгаламжуудыг валютын бүтцээр нь үзвэл гадаад тэнцвэргүй байдал өсч байгаа нь дотоодын мөнгөн тэмдэгтэд үзүүлэх зах зээлийн сентимент сул байгааг харуулж байна. </w:t>
      </w:r>
      <w:r>
        <w:rPr>
          <w:rFonts w:ascii="Arial" w:hAnsi="Arial" w:cs="Arial"/>
          <w:color w:val="000000" w:themeColor="text1"/>
          <w:sz w:val="20"/>
          <w:lang w:val="mn-MN"/>
        </w:rPr>
        <w:t>Дотоодын мөнгөн тэмдэгтээр хийгдсэн банкуудын хадгаламжийн өсөлт нь зогсонги байдалтай байна, 8 дугаар сард 1.1 хувиар буурсан бол 9 дүгээр сард өмнөх сартай харьцуулбал 2</w:t>
      </w:r>
      <w:r>
        <w:rPr>
          <w:rFonts w:ascii="Arial" w:hAnsi="Arial" w:cs="Arial"/>
          <w:color w:val="000000" w:themeColor="text1"/>
          <w:sz w:val="20"/>
        </w:rPr>
        <w:t>-</w:t>
      </w:r>
      <w:r>
        <w:rPr>
          <w:rFonts w:ascii="Arial" w:hAnsi="Arial" w:cs="Arial"/>
          <w:color w:val="000000" w:themeColor="text1"/>
          <w:sz w:val="20"/>
          <w:lang w:val="mn-MN"/>
        </w:rPr>
        <w:t xml:space="preserve">хон хувиар өсчээ. Харин гадаад валютаар хийгдэх банкны хадгаламж нь 7 дугаар сар </w:t>
      </w:r>
      <w:r>
        <w:rPr>
          <w:rFonts w:ascii="Arial" w:hAnsi="Arial" w:cs="Arial"/>
          <w:color w:val="000000" w:themeColor="text1"/>
          <w:sz w:val="20"/>
        </w:rPr>
        <w:t xml:space="preserve">(11.5 </w:t>
      </w:r>
      <w:r>
        <w:rPr>
          <w:rFonts w:ascii="Arial" w:hAnsi="Arial" w:cs="Arial"/>
          <w:color w:val="000000" w:themeColor="text1"/>
          <w:sz w:val="20"/>
          <w:lang w:val="mn-MN"/>
        </w:rPr>
        <w:t>хувиар</w:t>
      </w:r>
      <w:r>
        <w:rPr>
          <w:rFonts w:ascii="Arial" w:hAnsi="Arial" w:cs="Arial"/>
          <w:color w:val="000000" w:themeColor="text1"/>
          <w:sz w:val="20"/>
        </w:rPr>
        <w:t>)</w:t>
      </w:r>
      <w:r>
        <w:rPr>
          <w:rFonts w:ascii="Arial" w:hAnsi="Arial" w:cs="Arial"/>
          <w:color w:val="000000" w:themeColor="text1"/>
          <w:sz w:val="20"/>
          <w:lang w:val="mn-MN"/>
        </w:rPr>
        <w:t xml:space="preserve"> мөн 8 дугаар сард  </w:t>
      </w:r>
      <w:r>
        <w:rPr>
          <w:rFonts w:ascii="Arial" w:hAnsi="Arial" w:cs="Arial"/>
          <w:color w:val="000000" w:themeColor="text1"/>
          <w:sz w:val="20"/>
        </w:rPr>
        <w:t xml:space="preserve">(13.9 </w:t>
      </w:r>
      <w:r>
        <w:rPr>
          <w:rFonts w:ascii="Arial" w:hAnsi="Arial" w:cs="Arial"/>
          <w:color w:val="000000" w:themeColor="text1"/>
          <w:sz w:val="20"/>
          <w:lang w:val="mn-MN"/>
        </w:rPr>
        <w:t>хувиар</w:t>
      </w:r>
      <w:r>
        <w:rPr>
          <w:rFonts w:ascii="Arial" w:hAnsi="Arial" w:cs="Arial"/>
          <w:color w:val="000000" w:themeColor="text1"/>
          <w:sz w:val="20"/>
        </w:rPr>
        <w:t>)</w:t>
      </w:r>
      <w:r>
        <w:rPr>
          <w:rFonts w:ascii="Arial" w:hAnsi="Arial" w:cs="Arial"/>
          <w:color w:val="000000" w:themeColor="text1"/>
          <w:sz w:val="20"/>
          <w:lang w:val="mn-MN"/>
        </w:rPr>
        <w:t xml:space="preserve"> огцом өссөн</w:t>
      </w:r>
      <w:r>
        <w:rPr>
          <w:rFonts w:ascii="Arial" w:hAnsi="Arial" w:cs="Arial"/>
          <w:color w:val="000000" w:themeColor="text1"/>
          <w:sz w:val="20"/>
        </w:rPr>
        <w:t xml:space="preserve"> –</w:t>
      </w:r>
      <w:r>
        <w:rPr>
          <w:rFonts w:ascii="Arial" w:hAnsi="Arial" w:cs="Arial"/>
          <w:color w:val="000000" w:themeColor="text1"/>
          <w:sz w:val="20"/>
          <w:lang w:val="mn-MN"/>
        </w:rPr>
        <w:t xml:space="preserve">жилийн эхний дөрвөн сарын хугацаанд тасралтгүй буурч байснаа огцом өсч, эргэлт хийсэн байгаа нь дотоодын мөнгөн тэмдэгтэд итгэх итгэл сул байгааг харуулж байна. 9 сарын дунд үеэс валютын ханш тогтворжиж эхэлсэнтэй холбогдуулж 9 дүгээр сард гадаад валютаар хийгдсэн хадгаламж 11.4 хувиар буурсан. Гадаад валютын данс нь нийт банкны хугацаатай хадгаламжийн 23 хувь, нийт банкны дансны 30 хувийг </w:t>
      </w:r>
      <w:r>
        <w:rPr>
          <w:rFonts w:ascii="Arial" w:hAnsi="Arial" w:cs="Arial"/>
          <w:color w:val="000000" w:themeColor="text1"/>
          <w:sz w:val="20"/>
        </w:rPr>
        <w:t>(</w:t>
      </w:r>
      <w:r>
        <w:rPr>
          <w:rFonts w:ascii="Arial" w:hAnsi="Arial" w:cs="Arial"/>
          <w:color w:val="000000" w:themeColor="text1"/>
          <w:sz w:val="20"/>
          <w:lang w:val="mn-MN"/>
        </w:rPr>
        <w:t>хугацаагүй хадгаламжийг оруулаад</w:t>
      </w:r>
      <w:r>
        <w:rPr>
          <w:rFonts w:ascii="Arial" w:hAnsi="Arial" w:cs="Arial"/>
          <w:color w:val="000000" w:themeColor="text1"/>
          <w:sz w:val="20"/>
        </w:rPr>
        <w:t xml:space="preserve">) </w:t>
      </w:r>
      <w:r>
        <w:rPr>
          <w:rFonts w:ascii="Arial" w:hAnsi="Arial" w:cs="Arial"/>
          <w:color w:val="000000" w:themeColor="text1"/>
          <w:sz w:val="20"/>
          <w:lang w:val="mn-MN"/>
        </w:rPr>
        <w:t>9 сарын хувьд эзэлж байна.</w:t>
      </w:r>
      <w:r>
        <w:rPr>
          <w:rFonts w:ascii="Arial" w:hAnsi="Arial" w:cs="Arial"/>
          <w:color w:val="000000" w:themeColor="text1"/>
          <w:sz w:val="20"/>
        </w:rPr>
        <w:t>(</w:t>
      </w:r>
      <w:r>
        <w:rPr>
          <w:rFonts w:ascii="Arial" w:hAnsi="Arial" w:cs="Arial"/>
          <w:color w:val="000000" w:themeColor="text1"/>
          <w:sz w:val="20"/>
          <w:lang w:val="mn-MN"/>
        </w:rPr>
        <w:t>Зураг</w:t>
      </w:r>
      <w:r>
        <w:rPr>
          <w:rFonts w:ascii="Arial" w:hAnsi="Arial" w:cs="Arial"/>
          <w:color w:val="000000" w:themeColor="text1"/>
          <w:sz w:val="20"/>
        </w:rPr>
        <w:t xml:space="preserve"> 36)</w:t>
      </w:r>
    </w:p>
    <w:tbl>
      <w:tblPr>
        <w:tblpPr w:leftFromText="180" w:rightFromText="180" w:vertAnchor="text" w:horzAnchor="margin" w:tblpY="169"/>
        <w:tblW w:w="0" w:type="auto"/>
        <w:tblLook w:val="04A0" w:firstRow="1" w:lastRow="0" w:firstColumn="1" w:lastColumn="0" w:noHBand="0" w:noVBand="1"/>
      </w:tblPr>
      <w:tblGrid>
        <w:gridCol w:w="3535"/>
        <w:gridCol w:w="854"/>
        <w:gridCol w:w="222"/>
        <w:gridCol w:w="4965"/>
      </w:tblGrid>
      <w:tr w:rsidR="008003C7" w14:paraId="1C514F13" w14:textId="77777777" w:rsidTr="008003C7">
        <w:tc>
          <w:tcPr>
            <w:tcW w:w="4656" w:type="dxa"/>
            <w:gridSpan w:val="2"/>
            <w:tcBorders>
              <w:top w:val="nil"/>
              <w:left w:val="nil"/>
              <w:bottom w:val="single" w:sz="4" w:space="0" w:color="984806" w:themeColor="accent6" w:themeShade="80"/>
              <w:right w:val="nil"/>
            </w:tcBorders>
            <w:hideMark/>
          </w:tcPr>
          <w:p w14:paraId="5CAD43DF" w14:textId="4B1CB30A" w:rsidR="008003C7" w:rsidRDefault="00C97F2D" w:rsidP="00630B23">
            <w:pPr>
              <w:pStyle w:val="Caption"/>
              <w:spacing w:after="0"/>
              <w:rPr>
                <w:color w:val="auto"/>
                <w:sz w:val="16"/>
                <w:szCs w:val="16"/>
              </w:rPr>
            </w:pPr>
            <w:bookmarkStart w:id="56" w:name="_Toc371338642"/>
            <w:r>
              <w:rPr>
                <w:sz w:val="16"/>
                <w:szCs w:val="16"/>
                <w:lang w:val="mn-MN"/>
              </w:rPr>
              <w:t>Зураг</w:t>
            </w:r>
            <w:r w:rsidR="008003C7">
              <w:rPr>
                <w:sz w:val="16"/>
                <w:szCs w:val="16"/>
              </w:rPr>
              <w:t xml:space="preserve"> </w:t>
            </w:r>
            <w:r w:rsidR="008003C7">
              <w:fldChar w:fldCharType="begin"/>
            </w:r>
            <w:r w:rsidR="008003C7">
              <w:rPr>
                <w:sz w:val="16"/>
                <w:szCs w:val="16"/>
              </w:rPr>
              <w:instrText xml:space="preserve"> SEQ Figure \* ARABIC </w:instrText>
            </w:r>
            <w:r w:rsidR="008003C7">
              <w:fldChar w:fldCharType="separate"/>
            </w:r>
            <w:r w:rsidR="008003C7">
              <w:rPr>
                <w:noProof/>
                <w:sz w:val="16"/>
                <w:szCs w:val="16"/>
              </w:rPr>
              <w:t>35</w:t>
            </w:r>
            <w:r w:rsidR="008003C7">
              <w:fldChar w:fldCharType="end"/>
            </w:r>
            <w:r w:rsidR="008003C7">
              <w:rPr>
                <w:sz w:val="16"/>
                <w:szCs w:val="16"/>
              </w:rPr>
              <w:t xml:space="preserve">. </w:t>
            </w:r>
            <w:r>
              <w:rPr>
                <w:sz w:val="16"/>
                <w:szCs w:val="16"/>
                <w:lang w:val="mn-MN"/>
              </w:rPr>
              <w:t>Зээлийн хадгаламжийн харьцаа өсч байна</w:t>
            </w:r>
            <w:bookmarkEnd w:id="56"/>
          </w:p>
        </w:tc>
        <w:tc>
          <w:tcPr>
            <w:tcW w:w="222" w:type="dxa"/>
          </w:tcPr>
          <w:p w14:paraId="7E119D32" w14:textId="77777777" w:rsidR="008003C7" w:rsidRDefault="008003C7" w:rsidP="00630B23">
            <w:pPr>
              <w:pStyle w:val="Caption"/>
              <w:spacing w:after="0"/>
              <w:jc w:val="center"/>
              <w:rPr>
                <w:color w:val="auto"/>
                <w:sz w:val="2"/>
              </w:rPr>
            </w:pPr>
          </w:p>
        </w:tc>
        <w:tc>
          <w:tcPr>
            <w:tcW w:w="4698" w:type="dxa"/>
            <w:tcBorders>
              <w:top w:val="nil"/>
              <w:left w:val="nil"/>
              <w:bottom w:val="single" w:sz="4" w:space="0" w:color="984806" w:themeColor="accent6" w:themeShade="80"/>
              <w:right w:val="nil"/>
            </w:tcBorders>
            <w:hideMark/>
          </w:tcPr>
          <w:p w14:paraId="04C8898B" w14:textId="36143220" w:rsidR="008003C7" w:rsidRDefault="00C97F2D" w:rsidP="00630B23">
            <w:pPr>
              <w:pStyle w:val="Caption"/>
              <w:keepNext/>
              <w:spacing w:after="0"/>
              <w:jc w:val="both"/>
              <w:rPr>
                <w:sz w:val="16"/>
                <w:szCs w:val="16"/>
              </w:rPr>
            </w:pPr>
            <w:bookmarkStart w:id="57" w:name="_Toc371338643"/>
            <w:r>
              <w:rPr>
                <w:sz w:val="16"/>
                <w:szCs w:val="16"/>
                <w:lang w:val="mn-MN"/>
              </w:rPr>
              <w:t>Зураг</w:t>
            </w:r>
            <w:r w:rsidR="008003C7">
              <w:rPr>
                <w:sz w:val="16"/>
                <w:szCs w:val="16"/>
              </w:rPr>
              <w:t xml:space="preserve"> </w:t>
            </w:r>
            <w:r w:rsidR="008003C7">
              <w:fldChar w:fldCharType="begin"/>
            </w:r>
            <w:r w:rsidR="008003C7">
              <w:rPr>
                <w:sz w:val="16"/>
                <w:szCs w:val="16"/>
              </w:rPr>
              <w:instrText xml:space="preserve"> SEQ Figure \* ARABIC </w:instrText>
            </w:r>
            <w:r w:rsidR="008003C7">
              <w:fldChar w:fldCharType="separate"/>
            </w:r>
            <w:r w:rsidR="008003C7">
              <w:rPr>
                <w:noProof/>
                <w:sz w:val="16"/>
                <w:szCs w:val="16"/>
              </w:rPr>
              <w:t>36</w:t>
            </w:r>
            <w:r w:rsidR="008003C7">
              <w:fldChar w:fldCharType="end"/>
            </w:r>
            <w:r w:rsidR="008003C7">
              <w:rPr>
                <w:sz w:val="16"/>
                <w:szCs w:val="16"/>
              </w:rPr>
              <w:t xml:space="preserve">. </w:t>
            </w:r>
            <w:r>
              <w:rPr>
                <w:sz w:val="16"/>
                <w:szCs w:val="16"/>
                <w:lang w:val="mn-MN"/>
              </w:rPr>
              <w:t>Төгрөгийн болон гадаад валютын хадгаламж</w:t>
            </w:r>
            <w:bookmarkEnd w:id="57"/>
          </w:p>
        </w:tc>
      </w:tr>
      <w:tr w:rsidR="008003C7" w14:paraId="38DF81A3" w14:textId="77777777" w:rsidTr="008003C7">
        <w:trPr>
          <w:trHeight w:val="3221"/>
        </w:trPr>
        <w:tc>
          <w:tcPr>
            <w:tcW w:w="4656" w:type="dxa"/>
            <w:gridSpan w:val="2"/>
            <w:tcBorders>
              <w:top w:val="single" w:sz="4" w:space="0" w:color="984806" w:themeColor="accent6" w:themeShade="80"/>
              <w:left w:val="nil"/>
              <w:bottom w:val="nil"/>
              <w:right w:val="nil"/>
            </w:tcBorders>
            <w:hideMark/>
          </w:tcPr>
          <w:p w14:paraId="76533A81" w14:textId="5105AD33" w:rsidR="008003C7" w:rsidRDefault="00C97F2D">
            <w:pPr>
              <w:pStyle w:val="NoSpacing"/>
              <w:jc w:val="both"/>
              <w:rPr>
                <w:sz w:val="16"/>
              </w:rPr>
            </w:pPr>
            <w:r>
              <w:rPr>
                <w:sz w:val="16"/>
                <w:lang w:val="mn-MN"/>
              </w:rPr>
              <w:t>Банкны зээл болон хадгаламжийн хандлага</w:t>
            </w:r>
            <w:r w:rsidR="008003C7">
              <w:rPr>
                <w:sz w:val="16"/>
              </w:rPr>
              <w:t xml:space="preserve"> (</w:t>
            </w:r>
            <w:r>
              <w:rPr>
                <w:sz w:val="16"/>
                <w:lang w:val="mn-MN"/>
              </w:rPr>
              <w:t>өмнөх улирлатай харьцуулсан</w:t>
            </w:r>
            <w:r w:rsidR="008003C7">
              <w:rPr>
                <w:sz w:val="16"/>
              </w:rPr>
              <w:t xml:space="preserve">, % </w:t>
            </w:r>
            <w:r>
              <w:rPr>
                <w:sz w:val="16"/>
                <w:lang w:val="mn-MN"/>
              </w:rPr>
              <w:t>өөрчлөлт</w:t>
            </w:r>
            <w:r w:rsidR="008003C7">
              <w:rPr>
                <w:sz w:val="16"/>
              </w:rPr>
              <w:t>)</w:t>
            </w:r>
          </w:p>
          <w:p w14:paraId="617A0A37" w14:textId="7C5A54CE" w:rsidR="008003C7" w:rsidRDefault="008003C7">
            <w:pPr>
              <w:pStyle w:val="NoSpacing"/>
              <w:jc w:val="both"/>
            </w:pPr>
            <w:r>
              <w:rPr>
                <w:noProof/>
              </w:rPr>
              <w:drawing>
                <wp:inline distT="0" distB="0" distL="0" distR="0" wp14:anchorId="567EEF70" wp14:editId="262E8223">
                  <wp:extent cx="2819400" cy="1879600"/>
                  <wp:effectExtent l="0" t="0" r="0" b="6350"/>
                  <wp:docPr id="331" name="Chart 3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tc>
        <w:tc>
          <w:tcPr>
            <w:tcW w:w="222" w:type="dxa"/>
          </w:tcPr>
          <w:p w14:paraId="21E6C343" w14:textId="77777777" w:rsidR="008003C7" w:rsidRDefault="008003C7">
            <w:pPr>
              <w:pStyle w:val="NoSpacing"/>
              <w:jc w:val="both"/>
              <w:rPr>
                <w:noProof/>
                <w:sz w:val="2"/>
                <w:lang w:eastAsia="ko-KR"/>
              </w:rPr>
            </w:pPr>
          </w:p>
          <w:p w14:paraId="2CDDAEAB" w14:textId="77777777" w:rsidR="008003C7" w:rsidRDefault="008003C7">
            <w:pPr>
              <w:pStyle w:val="NoSpacing"/>
              <w:jc w:val="both"/>
              <w:rPr>
                <w:noProof/>
                <w:sz w:val="2"/>
                <w:lang w:eastAsia="ko-KR"/>
              </w:rPr>
            </w:pPr>
          </w:p>
        </w:tc>
        <w:tc>
          <w:tcPr>
            <w:tcW w:w="4698" w:type="dxa"/>
            <w:tcBorders>
              <w:top w:val="single" w:sz="4" w:space="0" w:color="984806" w:themeColor="accent6" w:themeShade="80"/>
              <w:left w:val="nil"/>
              <w:bottom w:val="nil"/>
              <w:right w:val="nil"/>
            </w:tcBorders>
            <w:hideMark/>
          </w:tcPr>
          <w:p w14:paraId="4F829AFB" w14:textId="17F5128D" w:rsidR="008003C7" w:rsidRPr="00630B23" w:rsidRDefault="008003C7">
            <w:pPr>
              <w:pStyle w:val="NoSpacing"/>
              <w:jc w:val="both"/>
              <w:rPr>
                <w:sz w:val="16"/>
                <w:szCs w:val="18"/>
                <w:lang w:val="mn-MN" w:eastAsia="ko-KR"/>
              </w:rPr>
            </w:pPr>
            <w:r>
              <w:rPr>
                <w:sz w:val="16"/>
                <w:szCs w:val="18"/>
              </w:rPr>
              <w:t xml:space="preserve">% </w:t>
            </w:r>
            <w:r w:rsidR="00C97F2D">
              <w:rPr>
                <w:sz w:val="16"/>
                <w:szCs w:val="18"/>
                <w:lang w:val="mn-MN"/>
              </w:rPr>
              <w:t>өөрчлөлт</w:t>
            </w:r>
            <w:r>
              <w:rPr>
                <w:sz w:val="16"/>
                <w:szCs w:val="18"/>
              </w:rPr>
              <w:t>,</w:t>
            </w:r>
            <w:r w:rsidR="00C97F2D">
              <w:rPr>
                <w:sz w:val="16"/>
                <w:szCs w:val="18"/>
                <w:lang w:val="mn-MN"/>
              </w:rPr>
              <w:t xml:space="preserve"> өмнөх жилтэй харьцуулсан</w:t>
            </w:r>
            <w:r>
              <w:rPr>
                <w:sz w:val="16"/>
                <w:szCs w:val="18"/>
              </w:rPr>
              <w:t xml:space="preserve">, </w:t>
            </w:r>
            <w:r w:rsidR="00C97F2D">
              <w:rPr>
                <w:sz w:val="16"/>
                <w:szCs w:val="18"/>
                <w:lang w:val="mn-MN"/>
              </w:rPr>
              <w:t>3 сарын гулсмал дундаж</w:t>
            </w:r>
          </w:p>
          <w:p w14:paraId="60806640" w14:textId="0C5378E3" w:rsidR="008003C7" w:rsidRDefault="008003C7">
            <w:pPr>
              <w:pStyle w:val="NoSpacing"/>
              <w:jc w:val="both"/>
              <w:rPr>
                <w:lang w:eastAsia="ko-KR"/>
              </w:rPr>
            </w:pPr>
            <w:r>
              <w:rPr>
                <w:noProof/>
              </w:rPr>
              <w:drawing>
                <wp:inline distT="0" distB="0" distL="0" distR="0" wp14:anchorId="5EB46FFB" wp14:editId="07BA7997">
                  <wp:extent cx="3213100" cy="2012950"/>
                  <wp:effectExtent l="0" t="0" r="6350" b="6350"/>
                  <wp:docPr id="328" name="Chart 3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tc>
      </w:tr>
      <w:tr w:rsidR="008003C7" w14:paraId="72ACCBE4" w14:textId="77777777" w:rsidTr="008003C7">
        <w:trPr>
          <w:trHeight w:val="89"/>
        </w:trPr>
        <w:tc>
          <w:tcPr>
            <w:tcW w:w="3759" w:type="dxa"/>
            <w:hideMark/>
          </w:tcPr>
          <w:p w14:paraId="2657CB56" w14:textId="77777777" w:rsidR="00C97F2D" w:rsidRDefault="00C97F2D">
            <w:pPr>
              <w:pStyle w:val="NoSpacing"/>
              <w:jc w:val="both"/>
              <w:rPr>
                <w:i/>
                <w:sz w:val="14"/>
                <w:szCs w:val="18"/>
                <w:lang w:val="mn-MN"/>
              </w:rPr>
            </w:pPr>
          </w:p>
          <w:p w14:paraId="717D22A1" w14:textId="7FDE3460" w:rsidR="008003C7" w:rsidRDefault="00C97F2D">
            <w:pPr>
              <w:pStyle w:val="NoSpacing"/>
              <w:jc w:val="both"/>
              <w:rPr>
                <w:sz w:val="14"/>
                <w:szCs w:val="18"/>
              </w:rPr>
            </w:pPr>
            <w:r>
              <w:rPr>
                <w:i/>
                <w:sz w:val="14"/>
                <w:szCs w:val="18"/>
                <w:lang w:val="mn-MN"/>
              </w:rPr>
              <w:t>Эх үүсвэр</w:t>
            </w:r>
            <w:r>
              <w:rPr>
                <w:i/>
                <w:sz w:val="14"/>
                <w:szCs w:val="18"/>
              </w:rPr>
              <w:t>:</w:t>
            </w:r>
            <w:r>
              <w:rPr>
                <w:i/>
                <w:sz w:val="14"/>
                <w:szCs w:val="18"/>
                <w:lang w:val="mn-MN"/>
              </w:rPr>
              <w:t xml:space="preserve"> </w:t>
            </w:r>
            <w:r>
              <w:rPr>
                <w:sz w:val="14"/>
                <w:szCs w:val="18"/>
                <w:lang w:val="mn-MN"/>
              </w:rPr>
              <w:t>МБ, ДБ-мэргэжилтнүүдийн тооцоо</w:t>
            </w:r>
          </w:p>
        </w:tc>
        <w:tc>
          <w:tcPr>
            <w:tcW w:w="897" w:type="dxa"/>
          </w:tcPr>
          <w:p w14:paraId="68A66136" w14:textId="77777777" w:rsidR="008003C7" w:rsidRDefault="008003C7">
            <w:pPr>
              <w:pStyle w:val="NoSpacing"/>
              <w:jc w:val="both"/>
              <w:rPr>
                <w:i/>
                <w:sz w:val="2"/>
                <w:szCs w:val="18"/>
              </w:rPr>
            </w:pPr>
          </w:p>
        </w:tc>
        <w:tc>
          <w:tcPr>
            <w:tcW w:w="4920" w:type="dxa"/>
            <w:gridSpan w:val="2"/>
          </w:tcPr>
          <w:p w14:paraId="51EC5604" w14:textId="77777777" w:rsidR="008003C7" w:rsidRDefault="008003C7">
            <w:pPr>
              <w:pStyle w:val="NoSpacing"/>
              <w:jc w:val="both"/>
              <w:rPr>
                <w:sz w:val="14"/>
              </w:rPr>
            </w:pPr>
          </w:p>
        </w:tc>
      </w:tr>
    </w:tbl>
    <w:p w14:paraId="6A16CE01" w14:textId="77777777" w:rsidR="008003C7" w:rsidRDefault="008003C7" w:rsidP="008003C7">
      <w:pPr>
        <w:jc w:val="both"/>
        <w:rPr>
          <w:rFonts w:ascii="Arial" w:hAnsi="Arial" w:cs="Arial"/>
          <w:b/>
          <w:color w:val="000000" w:themeColor="text1"/>
          <w:sz w:val="20"/>
        </w:rPr>
      </w:pPr>
    </w:p>
    <w:p w14:paraId="07E9F706" w14:textId="77777777" w:rsidR="008003C7" w:rsidRDefault="008003C7" w:rsidP="008003C7">
      <w:pPr>
        <w:jc w:val="both"/>
        <w:rPr>
          <w:rFonts w:ascii="Arial" w:hAnsi="Arial" w:cs="Arial"/>
          <w:color w:val="000000" w:themeColor="text1"/>
          <w:sz w:val="20"/>
        </w:rPr>
      </w:pPr>
      <w:r>
        <w:rPr>
          <w:rFonts w:ascii="Arial" w:hAnsi="Arial" w:cs="Arial"/>
          <w:b/>
          <w:color w:val="000000" w:themeColor="text1"/>
          <w:sz w:val="20"/>
          <w:lang w:val="mn-MN"/>
        </w:rPr>
        <w:t xml:space="preserve">Мөнгөний бодлогын удирдлагууд зээлийн огцом өсөлтөд анхаарлаа хандуулах ёстой. </w:t>
      </w:r>
      <w:r>
        <w:rPr>
          <w:rFonts w:ascii="Arial" w:hAnsi="Arial" w:cs="Arial"/>
          <w:color w:val="000000" w:themeColor="text1"/>
          <w:sz w:val="20"/>
          <w:lang w:val="mn-MN"/>
        </w:rPr>
        <w:t xml:space="preserve">Уул уурхайн зах зээл сул байгаа энэ үед мөнгөний бодлогыг сулруулсан нь хоёр оронтой өсөлтөд хүргэхэд хувь нэмэр оруулсан мөн хөрвөх чадварыг нэмэгдүүлэхнд дэмжлэг үзүүлж, дотоодын зээлийн өндөр өсөлтийг хадгалан үлдлээ. Гэвч эдийн засгийн үзүүлэлтүүдээс харахад сүүлийн </w:t>
      </w:r>
      <w:r>
        <w:rPr>
          <w:rFonts w:ascii="Arial" w:hAnsi="Arial" w:cs="Arial"/>
          <w:color w:val="000000" w:themeColor="text1"/>
          <w:sz w:val="20"/>
          <w:lang w:val="mn-MN"/>
        </w:rPr>
        <w:lastRenderedPageBreak/>
        <w:t>саруудын зээлийн огцом өсөлт нь гадаад болон дотоод тэнцвэргүй байдлыг улам муутгаж эхэлж байна</w:t>
      </w:r>
      <w:r>
        <w:rPr>
          <w:rFonts w:ascii="Arial" w:hAnsi="Arial" w:cs="Arial"/>
          <w:color w:val="000000" w:themeColor="text1"/>
          <w:sz w:val="20"/>
        </w:rPr>
        <w:t>;</w:t>
      </w:r>
      <w:r>
        <w:rPr>
          <w:rFonts w:ascii="Arial" w:hAnsi="Arial" w:cs="Arial"/>
          <w:color w:val="000000" w:themeColor="text1"/>
          <w:sz w:val="20"/>
          <w:lang w:val="mn-MN"/>
        </w:rPr>
        <w:t xml:space="preserve"> валютын ханшны сүүлийн огцом хөдөлгөөн мөн инфляци нэмэгдэж эхэлсэн. Хувийн салбарын зээлийн өсөлт бараг 50 хувьд хүрэхэд ойрхон байгаа энэ үед мөнгөний бодлогын удирдлагууд төлбөрийн тэнцлийн тэнцвэргүй байдал нэмэгдэх, инфляцийн дарамтад үзүүлэх сөрөг нөлөөг багасгах тал дээр анхаарлаа хандуулах хэрэгтэй байна. Удирдлагууд төлбөрийн тэнцэл, валютын ханш, инфляцийн түвшин болон банкны салбарын үзүүлэлтүүд зэрэг макро эдийн засгийн үзүүлэлтүүдийг анхааралтай харах ёстой. </w:t>
      </w:r>
    </w:p>
    <w:p w14:paraId="35B661EB" w14:textId="77777777" w:rsidR="008003C7" w:rsidRDefault="008003C7" w:rsidP="008003C7">
      <w:pPr>
        <w:spacing w:after="0"/>
        <w:jc w:val="both"/>
        <w:rPr>
          <w:rFonts w:ascii="Arial" w:hAnsi="Arial" w:cs="Arial"/>
          <w:color w:val="000000" w:themeColor="text1"/>
          <w:sz w:val="20"/>
        </w:rPr>
      </w:pPr>
      <w:r>
        <w:rPr>
          <w:rFonts w:ascii="Arial" w:hAnsi="Arial" w:cs="Arial"/>
          <w:b/>
          <w:color w:val="000000" w:themeColor="text1"/>
          <w:sz w:val="20"/>
          <w:lang w:val="mn-MN"/>
        </w:rPr>
        <w:t xml:space="preserve">Сүүлийн мөнгөний үзүүлэлтүүдээс харахад, мөнгөний сулралтын хурдац удааширч байгаа тэмдэг ажиглагдаж байгаа ч их хэмжээний бодлогын зээлийн хөтөлбөрүүд үргэлжлэх хандлагатай байгааа үед мөнгөний сулралт нь өндөр түвшинд хэвээрээ байна. </w:t>
      </w:r>
      <w:r>
        <w:rPr>
          <w:rFonts w:ascii="Arial" w:hAnsi="Arial" w:cs="Arial"/>
          <w:color w:val="000000" w:themeColor="text1"/>
          <w:sz w:val="20"/>
          <w:lang w:val="mn-MN"/>
        </w:rPr>
        <w:t xml:space="preserve">Нөөц мөнгөний өсөлт нь өнгөрсөн 12 дугаар сард 30.5 хувиас 7 дугаар сард </w:t>
      </w:r>
      <w:r>
        <w:rPr>
          <w:rFonts w:ascii="Arial" w:hAnsi="Arial" w:cs="Arial"/>
          <w:color w:val="000000" w:themeColor="text1"/>
          <w:sz w:val="20"/>
        </w:rPr>
        <w:t>59.3</w:t>
      </w:r>
      <w:r>
        <w:rPr>
          <w:rFonts w:ascii="Arial" w:hAnsi="Arial" w:cs="Arial"/>
          <w:color w:val="000000" w:themeColor="text1"/>
          <w:sz w:val="20"/>
          <w:lang w:val="mn-MN"/>
        </w:rPr>
        <w:t xml:space="preserve"> хувьд өссөн</w:t>
      </w:r>
      <w:r>
        <w:rPr>
          <w:rFonts w:ascii="Arial" w:hAnsi="Arial" w:cs="Arial"/>
          <w:color w:val="000000" w:themeColor="text1"/>
          <w:sz w:val="20"/>
        </w:rPr>
        <w:t xml:space="preserve"> (</w:t>
      </w:r>
      <w:r>
        <w:rPr>
          <w:rFonts w:ascii="Arial" w:hAnsi="Arial" w:cs="Arial"/>
          <w:color w:val="000000" w:themeColor="text1"/>
          <w:sz w:val="20"/>
          <w:lang w:val="mn-MN"/>
        </w:rPr>
        <w:t>өмнөх оны мөн үетэй харьцуулбал</w:t>
      </w:r>
      <w:r>
        <w:rPr>
          <w:rFonts w:ascii="Arial" w:hAnsi="Arial" w:cs="Arial"/>
          <w:color w:val="000000" w:themeColor="text1"/>
          <w:sz w:val="20"/>
        </w:rPr>
        <w:t xml:space="preserve">) </w:t>
      </w:r>
      <w:r>
        <w:rPr>
          <w:rFonts w:ascii="Arial" w:hAnsi="Arial" w:cs="Arial"/>
          <w:color w:val="000000" w:themeColor="text1"/>
          <w:sz w:val="20"/>
          <w:lang w:val="mn-MN"/>
        </w:rPr>
        <w:t xml:space="preserve">бол 8 дугаар сард 33.9 хувьд буурч 9 дүгээр сард 22.4 хувьд хүрчээ. </w:t>
      </w:r>
      <w:r>
        <w:rPr>
          <w:rFonts w:ascii="Arial" w:hAnsi="Arial" w:cs="Arial"/>
          <w:color w:val="000000" w:themeColor="text1"/>
          <w:sz w:val="20"/>
        </w:rPr>
        <w:t>(</w:t>
      </w:r>
      <w:r>
        <w:rPr>
          <w:rFonts w:ascii="Arial" w:hAnsi="Arial" w:cs="Arial"/>
          <w:color w:val="000000" w:themeColor="text1"/>
          <w:sz w:val="20"/>
          <w:lang w:val="mn-MN"/>
        </w:rPr>
        <w:t>Зураг</w:t>
      </w:r>
      <w:r>
        <w:rPr>
          <w:rFonts w:ascii="Arial" w:hAnsi="Arial" w:cs="Arial"/>
          <w:color w:val="000000" w:themeColor="text1"/>
          <w:sz w:val="20"/>
        </w:rPr>
        <w:t xml:space="preserve"> 37) МБ нь арилжааны банкуудын илүүдэл хөрвөх хөрөнгө 771 тэрбум төгрөгийг 8 болон 9 дүгээр саруудад Төв банкны үнэ цаасаар дамжуулан нээлттэй зах зээлийн үйл ажиллагаагаар </w:t>
      </w:r>
      <w:r>
        <w:rPr>
          <w:rFonts w:ascii="Arial" w:hAnsi="Arial" w:cs="Arial"/>
          <w:color w:val="000000" w:themeColor="text1"/>
          <w:sz w:val="20"/>
          <w:lang w:val="mn-MN"/>
        </w:rPr>
        <w:t xml:space="preserve">шингээж </w:t>
      </w:r>
      <w:r>
        <w:rPr>
          <w:rFonts w:ascii="Arial" w:hAnsi="Arial" w:cs="Arial"/>
          <w:color w:val="000000" w:themeColor="text1"/>
          <w:sz w:val="20"/>
        </w:rPr>
        <w:t xml:space="preserve">авсан. </w:t>
      </w:r>
      <w:r>
        <w:rPr>
          <w:rFonts w:ascii="Arial" w:hAnsi="Arial" w:cs="Arial"/>
          <w:color w:val="000000" w:themeColor="text1"/>
          <w:sz w:val="20"/>
          <w:lang w:val="mn-MN"/>
        </w:rPr>
        <w:t xml:space="preserve">Төв банкнаас богино хугацаатай хадгаламж байдлаар байршуулсан 900 тэрбум төгрөгийг МБанкинд 2013 оны сүүл гэхэд буцааж өгөхөөр төлөвлөсөн. Гэвч мөнгөний сул бодлогын томоохон хэсэг болон зээлийн бодлогын хөтөлбөрүүд нь хэрэгжиж байгаа хэвээрээ байна. Үнийг тогтворжуулах хөтөлбөр нь хоёроос илүү жилийн хугацаатайгаар хэрэгжихээр төлөвлөгдсөн бөгөөд бага хүүтэй орон сууцны зээлийн хөтөлбөрийг оролцуулаад барилгын болон орон сууцны хөгжлийн хөтөлбөрүүд нь нийгэмд нөлөөтэй хэвээрээ байгаа тул цаашид үргэлжлэх нь хэвээрээ. Энэхүү хоёр хөтөлбөр нь мөнгөний сулруулсан хөтөлбөрүүдийн дал гаран хувийг эзэлж байна. </w:t>
      </w:r>
    </w:p>
    <w:tbl>
      <w:tblPr>
        <w:tblpPr w:leftFromText="187" w:rightFromText="187" w:vertAnchor="text" w:horzAnchor="margin" w:tblpXSpec="right" w:tblpY="102"/>
        <w:tblW w:w="0" w:type="auto"/>
        <w:tblCellMar>
          <w:left w:w="115" w:type="dxa"/>
          <w:right w:w="115" w:type="dxa"/>
        </w:tblCellMar>
        <w:tblLook w:val="04A0" w:firstRow="1" w:lastRow="0" w:firstColumn="1" w:lastColumn="0" w:noHBand="0" w:noVBand="1"/>
      </w:tblPr>
      <w:tblGrid>
        <w:gridCol w:w="5120"/>
      </w:tblGrid>
      <w:tr w:rsidR="008003C7" w14:paraId="4E84436D" w14:textId="77777777" w:rsidTr="008003C7">
        <w:trPr>
          <w:trHeight w:val="236"/>
        </w:trPr>
        <w:tc>
          <w:tcPr>
            <w:tcW w:w="5098" w:type="dxa"/>
            <w:tcBorders>
              <w:top w:val="nil"/>
              <w:left w:val="nil"/>
              <w:bottom w:val="single" w:sz="4" w:space="0" w:color="984806" w:themeColor="accent6" w:themeShade="80"/>
              <w:right w:val="nil"/>
            </w:tcBorders>
            <w:hideMark/>
          </w:tcPr>
          <w:p w14:paraId="30D74BD0" w14:textId="20C7EF55" w:rsidR="008003C7" w:rsidRDefault="00C97F2D" w:rsidP="00630B23">
            <w:pPr>
              <w:pStyle w:val="Caption"/>
              <w:keepNext/>
              <w:spacing w:after="0"/>
              <w:rPr>
                <w:sz w:val="16"/>
                <w:szCs w:val="16"/>
              </w:rPr>
            </w:pPr>
            <w:bookmarkStart w:id="58" w:name="_Toc371338644"/>
            <w:r>
              <w:rPr>
                <w:sz w:val="16"/>
                <w:szCs w:val="16"/>
                <w:lang w:val="mn-MN"/>
              </w:rPr>
              <w:t>Зураг</w:t>
            </w:r>
            <w:r w:rsidR="008003C7">
              <w:rPr>
                <w:sz w:val="16"/>
                <w:szCs w:val="16"/>
              </w:rPr>
              <w:t xml:space="preserve"> </w:t>
            </w:r>
            <w:r w:rsidR="008003C7">
              <w:fldChar w:fldCharType="begin"/>
            </w:r>
            <w:r w:rsidR="008003C7">
              <w:rPr>
                <w:sz w:val="16"/>
                <w:szCs w:val="16"/>
              </w:rPr>
              <w:instrText xml:space="preserve"> SEQ Figure \* ARABIC </w:instrText>
            </w:r>
            <w:r w:rsidR="008003C7">
              <w:fldChar w:fldCharType="separate"/>
            </w:r>
            <w:r w:rsidR="008003C7">
              <w:rPr>
                <w:noProof/>
                <w:sz w:val="16"/>
                <w:szCs w:val="16"/>
              </w:rPr>
              <w:t>37</w:t>
            </w:r>
            <w:r w:rsidR="008003C7">
              <w:fldChar w:fldCharType="end"/>
            </w:r>
            <w:r w:rsidR="008003C7">
              <w:rPr>
                <w:sz w:val="16"/>
                <w:szCs w:val="16"/>
              </w:rPr>
              <w:t xml:space="preserve">. </w:t>
            </w:r>
            <w:r>
              <w:rPr>
                <w:sz w:val="16"/>
                <w:szCs w:val="16"/>
                <w:lang w:val="mn-MN"/>
              </w:rPr>
              <w:t>Нөөц мөнгөний өсөлт саяхнаас буурлаа</w:t>
            </w:r>
            <w:bookmarkEnd w:id="58"/>
          </w:p>
        </w:tc>
      </w:tr>
      <w:tr w:rsidR="008003C7" w14:paraId="3E37F6FA" w14:textId="77777777" w:rsidTr="008003C7">
        <w:trPr>
          <w:trHeight w:val="2837"/>
        </w:trPr>
        <w:tc>
          <w:tcPr>
            <w:tcW w:w="5098" w:type="dxa"/>
            <w:tcBorders>
              <w:top w:val="single" w:sz="4" w:space="0" w:color="984806" w:themeColor="accent6" w:themeShade="80"/>
              <w:left w:val="nil"/>
              <w:bottom w:val="nil"/>
              <w:right w:val="nil"/>
            </w:tcBorders>
            <w:hideMark/>
          </w:tcPr>
          <w:p w14:paraId="431B96C5" w14:textId="77777777" w:rsidR="008003C7" w:rsidRDefault="008003C7">
            <w:pPr>
              <w:pStyle w:val="Caption"/>
              <w:snapToGrid w:val="0"/>
              <w:rPr>
                <w:b w:val="0"/>
                <w:color w:val="auto"/>
                <w:szCs w:val="20"/>
              </w:rPr>
            </w:pPr>
            <w:r>
              <w:rPr>
                <w:b w:val="0"/>
                <w:color w:val="auto"/>
                <w:szCs w:val="20"/>
              </w:rPr>
              <w:t>Reserve Money Growth and Central Bank Bills Issuance</w:t>
            </w:r>
          </w:p>
          <w:p w14:paraId="1473EC2B" w14:textId="03DB3D0A" w:rsidR="008003C7" w:rsidRDefault="008003C7">
            <w:pPr>
              <w:snapToGrid w:val="0"/>
              <w:rPr>
                <w:sz w:val="20"/>
                <w:szCs w:val="20"/>
              </w:rPr>
            </w:pPr>
            <w:r w:rsidRPr="00630B23">
              <w:rPr>
                <w:noProof/>
                <w:sz w:val="20"/>
                <w:szCs w:val="20"/>
              </w:rPr>
              <w:drawing>
                <wp:inline distT="0" distB="0" distL="0" distR="0" wp14:anchorId="4B38D749" wp14:editId="5DC73901">
                  <wp:extent cx="3098800" cy="1917700"/>
                  <wp:effectExtent l="0" t="0" r="6350" b="6350"/>
                  <wp:docPr id="327" name="Chart 3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tc>
      </w:tr>
      <w:tr w:rsidR="008003C7" w14:paraId="27DB8694" w14:textId="77777777" w:rsidTr="008003C7">
        <w:trPr>
          <w:trHeight w:val="68"/>
        </w:trPr>
        <w:tc>
          <w:tcPr>
            <w:tcW w:w="5098" w:type="dxa"/>
            <w:hideMark/>
          </w:tcPr>
          <w:p w14:paraId="040AA7FF" w14:textId="7D4F4A2E" w:rsidR="008003C7" w:rsidRDefault="008003C7">
            <w:pPr>
              <w:pStyle w:val="NoSpacing"/>
              <w:snapToGrid w:val="0"/>
              <w:jc w:val="both"/>
              <w:rPr>
                <w:sz w:val="14"/>
                <w:szCs w:val="20"/>
              </w:rPr>
            </w:pPr>
            <w:r>
              <w:rPr>
                <w:i/>
                <w:sz w:val="14"/>
                <w:szCs w:val="20"/>
              </w:rPr>
              <w:t xml:space="preserve">   </w:t>
            </w:r>
            <w:r w:rsidR="00C97F2D">
              <w:rPr>
                <w:i/>
                <w:sz w:val="14"/>
                <w:szCs w:val="18"/>
                <w:lang w:val="mn-MN"/>
              </w:rPr>
              <w:t xml:space="preserve"> Эх үүсвэр</w:t>
            </w:r>
            <w:r w:rsidR="00C97F2D">
              <w:rPr>
                <w:i/>
                <w:sz w:val="14"/>
                <w:szCs w:val="18"/>
              </w:rPr>
              <w:t>:</w:t>
            </w:r>
            <w:r w:rsidR="00C97F2D">
              <w:rPr>
                <w:i/>
                <w:sz w:val="14"/>
                <w:szCs w:val="18"/>
                <w:lang w:val="mn-MN"/>
              </w:rPr>
              <w:t xml:space="preserve"> </w:t>
            </w:r>
            <w:r w:rsidR="00C97F2D">
              <w:rPr>
                <w:sz w:val="14"/>
                <w:szCs w:val="18"/>
                <w:lang w:val="mn-MN"/>
              </w:rPr>
              <w:t>МБ, ДБ-мэргэжилтнүүдийн тооцоо</w:t>
            </w:r>
          </w:p>
        </w:tc>
      </w:tr>
    </w:tbl>
    <w:p w14:paraId="2BC6A44C" w14:textId="77777777" w:rsidR="008003C7" w:rsidRDefault="008003C7" w:rsidP="008003C7">
      <w:pPr>
        <w:jc w:val="both"/>
        <w:rPr>
          <w:rFonts w:ascii="Arial" w:hAnsi="Arial" w:cs="Arial"/>
          <w:color w:val="000000" w:themeColor="text1"/>
          <w:sz w:val="20"/>
        </w:rPr>
      </w:pPr>
      <w:r>
        <w:rPr>
          <w:rFonts w:ascii="Arial" w:hAnsi="Arial" w:cs="Arial"/>
          <w:b/>
          <w:color w:val="000000" w:themeColor="text1"/>
          <w:sz w:val="20"/>
          <w:lang w:val="mn-MN"/>
        </w:rPr>
        <w:t xml:space="preserve">Мөнгөний сул бодлогын арга хэрэгсэлүүд нь банкны тогтолцоонд гажуудал, өртөмтгийн байдлыг үүсгэх эрсдлийн хүчин зүйлсүүдийг агуулж байна. </w:t>
      </w:r>
      <w:r>
        <w:rPr>
          <w:rFonts w:ascii="Arial" w:hAnsi="Arial" w:cs="Arial"/>
          <w:color w:val="000000" w:themeColor="text1"/>
          <w:sz w:val="20"/>
          <w:lang w:val="mn-MN"/>
        </w:rPr>
        <w:t>Нийт мөнгөний нөхцөл байдлыг дахин үнэлгээ хийхэд, цаашдаа дараах эрсдлүүдийг хянан авч үзэн, анхааралдаа авах хэрэгтэй</w:t>
      </w:r>
      <w:r>
        <w:rPr>
          <w:rFonts w:ascii="Arial" w:hAnsi="Arial" w:cs="Arial"/>
          <w:color w:val="000000" w:themeColor="text1"/>
          <w:sz w:val="20"/>
        </w:rPr>
        <w:t>:</w:t>
      </w:r>
    </w:p>
    <w:p w14:paraId="7E99CADA" w14:textId="77777777" w:rsidR="008003C7" w:rsidRDefault="008003C7" w:rsidP="008003C7">
      <w:pPr>
        <w:pStyle w:val="ListParagraph"/>
        <w:numPr>
          <w:ilvl w:val="0"/>
          <w:numId w:val="26"/>
        </w:numPr>
        <w:jc w:val="both"/>
        <w:rPr>
          <w:rFonts w:ascii="Arial" w:hAnsi="Arial" w:cs="Arial"/>
          <w:color w:val="000000" w:themeColor="text1"/>
          <w:sz w:val="20"/>
        </w:rPr>
      </w:pPr>
      <w:r>
        <w:rPr>
          <w:rFonts w:ascii="Arial" w:hAnsi="Arial" w:cs="Arial"/>
          <w:b/>
          <w:color w:val="000000" w:themeColor="text1"/>
          <w:sz w:val="20"/>
          <w:lang w:val="mn-MN"/>
        </w:rPr>
        <w:t xml:space="preserve">Бодлогын зээлүүдэд хүүгийн хязгаар тогтоосон тул банкуудын зээлийн эрсдлийг давах чадвар хязгаарлагдмал боллоо. </w:t>
      </w:r>
      <w:r>
        <w:rPr>
          <w:rFonts w:ascii="Arial" w:hAnsi="Arial" w:cs="Arial"/>
          <w:color w:val="000000" w:themeColor="text1"/>
          <w:sz w:val="20"/>
          <w:lang w:val="mn-MN"/>
        </w:rPr>
        <w:t xml:space="preserve">Бодлогын зээлийн хөтөлбөрүүдэд нь арилжааны банкуудаар дамжуулан ашиг хүртэгчдэд </w:t>
      </w:r>
      <w:r>
        <w:rPr>
          <w:rFonts w:ascii="Arial" w:hAnsi="Arial" w:cs="Arial"/>
          <w:color w:val="000000" w:themeColor="text1"/>
          <w:sz w:val="20"/>
        </w:rPr>
        <w:t>(</w:t>
      </w:r>
      <w:r>
        <w:rPr>
          <w:rFonts w:ascii="Arial" w:hAnsi="Arial" w:cs="Arial"/>
          <w:color w:val="000000" w:themeColor="text1"/>
          <w:sz w:val="20"/>
          <w:lang w:val="mn-MN"/>
        </w:rPr>
        <w:t>газрын тос, махны бөөний компаниуд, барилгын материалын үйлдвэрлэгчид, орон сууц худалдан авч байгаа хувь хүмүүс</w:t>
      </w:r>
      <w:r>
        <w:rPr>
          <w:rFonts w:ascii="Arial" w:hAnsi="Arial" w:cs="Arial"/>
          <w:color w:val="000000" w:themeColor="text1"/>
          <w:sz w:val="20"/>
        </w:rPr>
        <w:t>)</w:t>
      </w:r>
      <w:r>
        <w:rPr>
          <w:rFonts w:ascii="Arial" w:hAnsi="Arial" w:cs="Arial"/>
          <w:color w:val="000000" w:themeColor="text1"/>
          <w:sz w:val="20"/>
          <w:lang w:val="mn-MN"/>
        </w:rPr>
        <w:t xml:space="preserve"> хөнгөлөлттэй зээлийг олгох замаар хэрэгжиж байна. Бодлогын зээлтэй холбоотой зээлийн эрсдэл нь банкуудын балансад илэрхийлэгдэх ёстой боловч банкуудад зээлийн дээд хязгаар тогтоосон учраас хувь хүмүүс, зээлдэгчдийн зээлийн эрсдлийг бүрэнд үнэлж, зээлийн хүүнд оруулж чадахгүй байна. </w:t>
      </w:r>
    </w:p>
    <w:p w14:paraId="6D0805D4" w14:textId="77777777" w:rsidR="008003C7" w:rsidRDefault="008003C7" w:rsidP="008003C7">
      <w:pPr>
        <w:pStyle w:val="ListParagraph"/>
        <w:jc w:val="both"/>
        <w:rPr>
          <w:rFonts w:ascii="Arial" w:hAnsi="Arial" w:cs="Arial"/>
          <w:color w:val="000000" w:themeColor="text1"/>
          <w:sz w:val="20"/>
        </w:rPr>
      </w:pPr>
    </w:p>
    <w:p w14:paraId="67D480C9" w14:textId="77777777" w:rsidR="008003C7" w:rsidRDefault="008003C7" w:rsidP="008003C7">
      <w:pPr>
        <w:pStyle w:val="ListParagraph"/>
        <w:numPr>
          <w:ilvl w:val="0"/>
          <w:numId w:val="26"/>
        </w:numPr>
        <w:jc w:val="both"/>
        <w:rPr>
          <w:rFonts w:ascii="Arial" w:hAnsi="Arial" w:cs="Arial"/>
          <w:color w:val="000000" w:themeColor="text1"/>
          <w:sz w:val="20"/>
        </w:rPr>
      </w:pPr>
      <w:r>
        <w:rPr>
          <w:rFonts w:ascii="Arial" w:hAnsi="Arial" w:cs="Arial"/>
          <w:b/>
          <w:color w:val="000000" w:themeColor="text1"/>
          <w:sz w:val="20"/>
          <w:lang w:val="mn-MN"/>
        </w:rPr>
        <w:t>Зохицуулалтыг сулруулсан</w:t>
      </w:r>
      <w:r>
        <w:rPr>
          <w:rFonts w:ascii="Arial" w:hAnsi="Arial" w:cs="Arial"/>
          <w:b/>
          <w:color w:val="000000" w:themeColor="text1"/>
          <w:sz w:val="20"/>
        </w:rPr>
        <w:t xml:space="preserve">. </w:t>
      </w:r>
      <w:r>
        <w:rPr>
          <w:rFonts w:ascii="Arial" w:hAnsi="Arial" w:cs="Arial"/>
          <w:color w:val="000000" w:themeColor="text1"/>
          <w:sz w:val="20"/>
          <w:lang w:val="mn-MN"/>
        </w:rPr>
        <w:t xml:space="preserve">Зарим бодлогын зээлүүд </w:t>
      </w:r>
      <w:r>
        <w:rPr>
          <w:rFonts w:ascii="Arial" w:hAnsi="Arial" w:cs="Arial"/>
          <w:color w:val="000000" w:themeColor="text1"/>
          <w:sz w:val="20"/>
        </w:rPr>
        <w:t>(</w:t>
      </w:r>
      <w:r>
        <w:rPr>
          <w:rFonts w:ascii="Arial" w:hAnsi="Arial" w:cs="Arial"/>
          <w:color w:val="000000" w:themeColor="text1"/>
          <w:sz w:val="20"/>
          <w:lang w:val="mn-MN"/>
        </w:rPr>
        <w:t>жишээ нь Үнийг тогтворжуулах хөтөлбөр</w:t>
      </w:r>
      <w:r>
        <w:rPr>
          <w:rFonts w:ascii="Arial" w:hAnsi="Arial" w:cs="Arial"/>
          <w:color w:val="000000" w:themeColor="text1"/>
          <w:sz w:val="20"/>
        </w:rPr>
        <w:t xml:space="preserve">) </w:t>
      </w:r>
      <w:r>
        <w:rPr>
          <w:rFonts w:ascii="Arial" w:hAnsi="Arial" w:cs="Arial"/>
          <w:color w:val="000000" w:themeColor="text1"/>
          <w:sz w:val="20"/>
          <w:lang w:val="mn-MN"/>
        </w:rPr>
        <w:t xml:space="preserve">нь зарим оновчтой зохицуулалтыг зөөлрүүлж, хөнгөлөлт үзүүлж байгаа нь банкны зээлийн үйл ажиллагаанд ёсзүйн сөрөг нөлөөг нэмэгдүүлж, банкны тогтолцооны эрүүл байдлыг муутгана. </w:t>
      </w:r>
    </w:p>
    <w:p w14:paraId="5E5D9914" w14:textId="77777777" w:rsidR="008003C7" w:rsidRDefault="008003C7" w:rsidP="008003C7">
      <w:pPr>
        <w:pStyle w:val="ListParagraph"/>
        <w:rPr>
          <w:rFonts w:ascii="Arial" w:hAnsi="Arial" w:cs="Arial"/>
          <w:color w:val="000000" w:themeColor="text1"/>
          <w:sz w:val="20"/>
        </w:rPr>
      </w:pPr>
    </w:p>
    <w:p w14:paraId="47C669FC" w14:textId="77777777" w:rsidR="008003C7" w:rsidRDefault="008003C7" w:rsidP="008003C7">
      <w:pPr>
        <w:pStyle w:val="ListParagraph"/>
        <w:numPr>
          <w:ilvl w:val="0"/>
          <w:numId w:val="26"/>
        </w:numPr>
        <w:jc w:val="both"/>
        <w:rPr>
          <w:rFonts w:ascii="Arial" w:hAnsi="Arial" w:cs="Arial"/>
          <w:color w:val="000000" w:themeColor="text1"/>
          <w:sz w:val="20"/>
        </w:rPr>
      </w:pPr>
      <w:r>
        <w:rPr>
          <w:rFonts w:ascii="Arial" w:hAnsi="Arial" w:cs="Arial"/>
          <w:b/>
          <w:color w:val="000000" w:themeColor="text1"/>
          <w:sz w:val="20"/>
          <w:lang w:val="mn-MN"/>
        </w:rPr>
        <w:t>Дахин санхүүжилтийн эрсдлүүд</w:t>
      </w:r>
      <w:r>
        <w:rPr>
          <w:rFonts w:ascii="Arial" w:hAnsi="Arial" w:cs="Arial"/>
          <w:b/>
          <w:color w:val="000000" w:themeColor="text1"/>
          <w:sz w:val="20"/>
        </w:rPr>
        <w:t xml:space="preserve">. </w:t>
      </w:r>
      <w:r>
        <w:rPr>
          <w:rFonts w:ascii="Arial" w:hAnsi="Arial" w:cs="Arial"/>
          <w:color w:val="000000" w:themeColor="text1"/>
          <w:sz w:val="20"/>
          <w:lang w:val="mn-MN"/>
        </w:rPr>
        <w:t>МБ</w:t>
      </w:r>
      <w:r>
        <w:rPr>
          <w:rFonts w:ascii="Arial" w:hAnsi="Arial" w:cs="Arial"/>
          <w:color w:val="000000" w:themeColor="text1"/>
          <w:sz w:val="20"/>
        </w:rPr>
        <w:t>-</w:t>
      </w:r>
      <w:r>
        <w:rPr>
          <w:rFonts w:ascii="Arial" w:hAnsi="Arial" w:cs="Arial"/>
          <w:color w:val="000000" w:themeColor="text1"/>
          <w:sz w:val="20"/>
          <w:lang w:val="mn-MN"/>
        </w:rPr>
        <w:t>ны санхүүжилт нь хамгийн ихдээ гурван жил буюу тур зуурын байх зорилготой байсан. Энэ нь дахин санхүүжилтийн эрсдлүүдийг бий болгож байгаа, учир нь МБ нь бодлогын зээлээс гаргаж, банкууд бага хүүтэй МБ</w:t>
      </w:r>
      <w:r>
        <w:rPr>
          <w:rFonts w:ascii="Arial" w:hAnsi="Arial" w:cs="Arial"/>
          <w:color w:val="000000" w:themeColor="text1"/>
          <w:sz w:val="20"/>
        </w:rPr>
        <w:t>-</w:t>
      </w:r>
      <w:r>
        <w:rPr>
          <w:rFonts w:ascii="Arial" w:hAnsi="Arial" w:cs="Arial"/>
          <w:color w:val="000000" w:themeColor="text1"/>
          <w:sz w:val="20"/>
          <w:lang w:val="mn-MN"/>
        </w:rPr>
        <w:t xml:space="preserve">ны санхүүжилтийг дахин санхүүжүүлэх хэрэгтэй болно. Зах зээлд адил төстэй санхүүжилтийн эх үүсвэрийн үнэлсэн үнэлгээ дутагдалтай байгаа тул одоогийн бодлогын зээл нь удаан хугацаанд үргэлжлэх, ялангуяа бага хүүтэй орон сууцны хөтөлбөр нь үргэлжлэх магадлалтай. </w:t>
      </w:r>
    </w:p>
    <w:p w14:paraId="21DCBA98" w14:textId="77777777" w:rsidR="008003C7" w:rsidRDefault="008003C7" w:rsidP="008003C7">
      <w:pPr>
        <w:jc w:val="both"/>
        <w:rPr>
          <w:rFonts w:ascii="Arial" w:hAnsi="Arial" w:cs="Arial"/>
          <w:sz w:val="20"/>
          <w:szCs w:val="20"/>
        </w:rPr>
      </w:pPr>
      <w:r>
        <w:rPr>
          <w:rFonts w:ascii="Arial" w:hAnsi="Arial" w:cs="Arial"/>
          <w:b/>
          <w:sz w:val="20"/>
          <w:szCs w:val="20"/>
          <w:lang w:val="mn-MN"/>
        </w:rPr>
        <w:t xml:space="preserve">Зээлийн өсөлт нь барилгын салбарт төвлөрч байна. </w:t>
      </w:r>
      <w:r>
        <w:rPr>
          <w:rFonts w:ascii="Arial" w:hAnsi="Arial" w:cs="Arial"/>
          <w:sz w:val="20"/>
          <w:szCs w:val="20"/>
          <w:lang w:val="mn-MN"/>
        </w:rPr>
        <w:t>2013 оны хоёрдугаар улиралд, ихэнх салбаруудад банкнуудын зээл бодлогын зээлийн улмаас огцом өсөлтийг үзүүлсэн. Энэ улирлыг өмнөх улиралтай нь харьцуулсан байдлаар нь авч үзвэл, барилгын салбарт өгсөн зээл 67.7 хувиар огцом нэмэгдэж, дараа нь бөөний салбарын зээл орж байна</w:t>
      </w:r>
      <w:r>
        <w:rPr>
          <w:rFonts w:ascii="Arial" w:hAnsi="Arial" w:cs="Arial"/>
          <w:sz w:val="20"/>
          <w:szCs w:val="20"/>
        </w:rPr>
        <w:t xml:space="preserve"> (22.8 </w:t>
      </w:r>
      <w:r>
        <w:rPr>
          <w:rFonts w:ascii="Arial" w:hAnsi="Arial" w:cs="Arial"/>
          <w:sz w:val="20"/>
          <w:szCs w:val="20"/>
          <w:lang w:val="mn-MN"/>
        </w:rPr>
        <w:t>хувь</w:t>
      </w:r>
      <w:r>
        <w:rPr>
          <w:rFonts w:ascii="Arial" w:hAnsi="Arial" w:cs="Arial"/>
          <w:sz w:val="20"/>
          <w:szCs w:val="20"/>
        </w:rPr>
        <w:t>).  (</w:t>
      </w:r>
      <w:r>
        <w:rPr>
          <w:rFonts w:ascii="Arial" w:hAnsi="Arial" w:cs="Arial"/>
          <w:sz w:val="20"/>
          <w:szCs w:val="20"/>
          <w:lang w:val="mn-MN"/>
        </w:rPr>
        <w:t>Зураг</w:t>
      </w:r>
      <w:r>
        <w:rPr>
          <w:rFonts w:ascii="Arial" w:hAnsi="Arial" w:cs="Arial"/>
          <w:sz w:val="20"/>
          <w:szCs w:val="20"/>
        </w:rPr>
        <w:t xml:space="preserve"> 38) </w:t>
      </w:r>
      <w:r>
        <w:rPr>
          <w:rFonts w:ascii="Arial" w:hAnsi="Arial" w:cs="Arial"/>
          <w:sz w:val="20"/>
          <w:szCs w:val="20"/>
          <w:lang w:val="mn-MN"/>
        </w:rPr>
        <w:t xml:space="preserve">Уул уурхайн салбарт өгсөн зээл нь 10.2 хувиар нэмэгдсэн бол аж үйлдвэрлэлийн зээлийн өсөлт 12 хувь байлаа. Үүний үр дүнд хоёрдугаар улиралд барилгын болон үл хөдлөхтэй холбоотой зээл нь 2012 оны эцэст 33.5 хувь байсан бол өсч </w:t>
      </w:r>
      <w:r>
        <w:rPr>
          <w:rFonts w:ascii="Arial" w:hAnsi="Arial" w:cs="Arial"/>
          <w:sz w:val="20"/>
          <w:szCs w:val="20"/>
        </w:rPr>
        <w:t xml:space="preserve">37.7 </w:t>
      </w:r>
      <w:r>
        <w:rPr>
          <w:rFonts w:ascii="Arial" w:hAnsi="Arial" w:cs="Arial"/>
          <w:sz w:val="20"/>
          <w:szCs w:val="20"/>
          <w:lang w:val="mn-MN"/>
        </w:rPr>
        <w:t>хувийг эзэлж байна. Бөөний салбар нь аж үйлдвэрлэлийн зээлийн 24.1 хувийг эзэлж байна. Уул уурхайн салбарт өгсөн зээл нь 14.7 хувийг эзэлж байгаа нь сүүлийн 3 жилд тогтвортой байх хандлагатай байна</w:t>
      </w:r>
      <w:r>
        <w:rPr>
          <w:rFonts w:ascii="Arial" w:hAnsi="Arial" w:cs="Arial"/>
          <w:sz w:val="20"/>
          <w:szCs w:val="20"/>
        </w:rPr>
        <w:t>. (</w:t>
      </w:r>
      <w:r>
        <w:rPr>
          <w:rFonts w:ascii="Arial" w:hAnsi="Arial" w:cs="Arial"/>
          <w:sz w:val="20"/>
          <w:szCs w:val="20"/>
          <w:lang w:val="mn-MN"/>
        </w:rPr>
        <w:t>Зураг</w:t>
      </w:r>
      <w:r>
        <w:rPr>
          <w:rFonts w:ascii="Arial" w:hAnsi="Arial" w:cs="Arial"/>
          <w:sz w:val="20"/>
          <w:szCs w:val="20"/>
        </w:rPr>
        <w:t xml:space="preserve"> 39) </w:t>
      </w:r>
      <w:r>
        <w:rPr>
          <w:rFonts w:ascii="Arial" w:hAnsi="Arial" w:cs="Arial"/>
          <w:sz w:val="20"/>
          <w:szCs w:val="20"/>
          <w:lang w:val="mn-MN"/>
        </w:rPr>
        <w:t xml:space="preserve">Барилгын болон үл хөдлөх салбарын зээл ийнхүү нэмэгдэж байгаа нь эдгээр салбаруудад бодлогын зээлийн хөтөлбөрүүд төвлөрч байгаатай холбоотой. Нийт бодлогын зээлийн бараг 60 хувьд нь Үнийг тогтворжуулах хөтөлбөрийг оролцуулаад барилгын болон орон сууцны салбарт чиглэгдэхээр төлөвлөсөн бөгөөд 6 дугаар сард барилгын болон орон сууцны хөгжлийг дэмжих нэмэлт арга хэмжээнүүдийг оруулсан. </w:t>
      </w:r>
      <w:r>
        <w:rPr>
          <w:rFonts w:ascii="Arial" w:hAnsi="Arial" w:cs="Arial"/>
          <w:sz w:val="20"/>
          <w:szCs w:val="20"/>
        </w:rPr>
        <w:t>(</w:t>
      </w:r>
      <w:proofErr w:type="gramStart"/>
      <w:r>
        <w:rPr>
          <w:rFonts w:ascii="Arial" w:hAnsi="Arial" w:cs="Arial"/>
          <w:sz w:val="20"/>
          <w:szCs w:val="20"/>
          <w:lang w:val="mn-MN"/>
        </w:rPr>
        <w:t>илүү</w:t>
      </w:r>
      <w:proofErr w:type="gramEnd"/>
      <w:r>
        <w:rPr>
          <w:rFonts w:ascii="Arial" w:hAnsi="Arial" w:cs="Arial"/>
          <w:sz w:val="20"/>
          <w:szCs w:val="20"/>
          <w:lang w:val="mn-MN"/>
        </w:rPr>
        <w:t xml:space="preserve"> дэлгэрэнгүйг Хайрцаг</w:t>
      </w:r>
      <w:r>
        <w:rPr>
          <w:rFonts w:ascii="Arial" w:hAnsi="Arial" w:cs="Arial"/>
          <w:sz w:val="20"/>
          <w:szCs w:val="20"/>
        </w:rPr>
        <w:t xml:space="preserve"> 6-</w:t>
      </w:r>
      <w:r>
        <w:rPr>
          <w:rFonts w:ascii="Arial" w:hAnsi="Arial" w:cs="Arial"/>
          <w:sz w:val="20"/>
          <w:szCs w:val="20"/>
          <w:lang w:val="mn-MN"/>
        </w:rPr>
        <w:t>аас харна уу</w:t>
      </w:r>
      <w:r>
        <w:rPr>
          <w:rFonts w:ascii="Arial" w:hAnsi="Arial" w:cs="Arial"/>
          <w:sz w:val="20"/>
          <w:szCs w:val="20"/>
        </w:rPr>
        <w:t>.)</w:t>
      </w:r>
    </w:p>
    <w:p w14:paraId="2BEF2F17" w14:textId="77777777" w:rsidR="008003C7" w:rsidRDefault="008003C7" w:rsidP="008003C7">
      <w:pPr>
        <w:spacing w:after="120"/>
        <w:jc w:val="both"/>
        <w:rPr>
          <w:rFonts w:ascii="Arial" w:hAnsi="Arial" w:cs="Arial"/>
          <w:sz w:val="4"/>
          <w:szCs w:val="4"/>
        </w:rPr>
      </w:pPr>
      <w:r>
        <w:rPr>
          <w:rFonts w:ascii="Arial" w:hAnsi="Arial" w:cs="Arial"/>
          <w:b/>
          <w:sz w:val="20"/>
          <w:szCs w:val="20"/>
          <w:lang w:val="mn-MN"/>
        </w:rPr>
        <w:t xml:space="preserve">Банкны хянан шалгалтын удирдлагууд барилгын болон үл хөдлөх хөрөнгийн хөгжлийг нарийн хянах, мөн эдгээр салбаруудад зээлийн чанарыг хянах шаардлагатай. </w:t>
      </w:r>
      <w:r>
        <w:rPr>
          <w:rFonts w:ascii="Arial" w:hAnsi="Arial" w:cs="Arial"/>
          <w:sz w:val="20"/>
          <w:szCs w:val="20"/>
          <w:lang w:val="mn-MN"/>
        </w:rPr>
        <w:t xml:space="preserve">Барилгын зээлийн дийлэнх хувь нь орон сууцны барилгыг санхүүжүүлэхэд хэрэглэгдсэн бөгөөд энэ нь энэ оны эхний хагас жилд өмнөх үетэй харьцуулбал нэрлэсэн хэмжээгээр </w:t>
      </w:r>
      <w:r>
        <w:rPr>
          <w:rFonts w:ascii="Arial" w:hAnsi="Arial" w:cs="Arial"/>
          <w:sz w:val="20"/>
          <w:szCs w:val="20"/>
        </w:rPr>
        <w:t xml:space="preserve">287 </w:t>
      </w:r>
      <w:r>
        <w:rPr>
          <w:rFonts w:ascii="Arial" w:hAnsi="Arial" w:cs="Arial"/>
          <w:sz w:val="20"/>
          <w:szCs w:val="20"/>
          <w:lang w:val="mn-MN"/>
        </w:rPr>
        <w:t>хувиар өссөн</w:t>
      </w:r>
      <w:r>
        <w:rPr>
          <w:rFonts w:ascii="Arial" w:hAnsi="Arial" w:cs="Arial"/>
          <w:sz w:val="20"/>
          <w:szCs w:val="20"/>
        </w:rPr>
        <w:t xml:space="preserve">. </w:t>
      </w:r>
      <w:r>
        <w:rPr>
          <w:rFonts w:ascii="Arial" w:hAnsi="Arial" w:cs="Arial"/>
          <w:sz w:val="20"/>
          <w:szCs w:val="20"/>
          <w:lang w:val="mn-MN"/>
        </w:rPr>
        <w:t>Барилгын болон үл хөдлөх хөрөнгийн салбарууд нь эдийн засгийн хямралд хамгийн өртөмтгий, эдийн засгийн уналт, өсөлтийн мөчлөгт хамгийн их өртөгөөрөө алдартай бөгөөд ялангуяа барилгын болон үл хөдлөх хөрөнгийн хөөс арилжааны зориулалтаар эсвэл бодлогын хэт урамшууллаас үүдэж огцом нэмэгддэг. Эдгээр салбаруудад зээлийг нэмэгдүүлж байгаа нь банкны салбарыг барилгын болон үл хөдлөх хөрөнгийн салбаруудад гарч болох уналтад илүү эмзэг болгож байна. ХҮИ дэх түрээсийн үнийн өсөлтийн дүнгээс харахад барилгын үнийн өсөлт нь түрээсийн үнэ нэмэгдэж эхэлснээр илэрч байна</w:t>
      </w:r>
      <w:r>
        <w:rPr>
          <w:rFonts w:ascii="Arial" w:hAnsi="Arial" w:cs="Arial"/>
          <w:sz w:val="20"/>
          <w:szCs w:val="20"/>
        </w:rPr>
        <w:t xml:space="preserve">: </w:t>
      </w:r>
      <w:r>
        <w:rPr>
          <w:rFonts w:ascii="Arial" w:hAnsi="Arial" w:cs="Arial"/>
          <w:sz w:val="20"/>
          <w:szCs w:val="20"/>
          <w:lang w:val="mn-MN"/>
        </w:rPr>
        <w:t xml:space="preserve"> 8 дугаар сард түрээсийн үнэ 20.1 хувь, 9 дүгээр сард өмнөх үетэй харьцуулбал 16 хувиар өсчээ. </w:t>
      </w:r>
    </w:p>
    <w:tbl>
      <w:tblPr>
        <w:tblpPr w:leftFromText="180" w:rightFromText="180" w:vertAnchor="text" w:horzAnchor="margin" w:tblpY="169"/>
        <w:tblW w:w="0" w:type="auto"/>
        <w:tblLook w:val="04A0" w:firstRow="1" w:lastRow="0" w:firstColumn="1" w:lastColumn="0" w:noHBand="0" w:noVBand="1"/>
      </w:tblPr>
      <w:tblGrid>
        <w:gridCol w:w="3729"/>
        <w:gridCol w:w="819"/>
        <w:gridCol w:w="222"/>
        <w:gridCol w:w="4806"/>
      </w:tblGrid>
      <w:tr w:rsidR="008003C7" w14:paraId="2E3B7077" w14:textId="77777777" w:rsidTr="008003C7">
        <w:tc>
          <w:tcPr>
            <w:tcW w:w="4656" w:type="dxa"/>
            <w:gridSpan w:val="2"/>
            <w:tcBorders>
              <w:top w:val="nil"/>
              <w:left w:val="nil"/>
              <w:bottom w:val="single" w:sz="4" w:space="0" w:color="984806" w:themeColor="accent6" w:themeShade="80"/>
              <w:right w:val="nil"/>
            </w:tcBorders>
            <w:hideMark/>
          </w:tcPr>
          <w:p w14:paraId="11EE3EFA" w14:textId="1BDA0B3C" w:rsidR="008003C7" w:rsidRPr="00630B23" w:rsidRDefault="00C97F2D" w:rsidP="00630B23">
            <w:pPr>
              <w:pStyle w:val="Caption"/>
              <w:spacing w:after="0"/>
              <w:rPr>
                <w:color w:val="auto"/>
                <w:sz w:val="16"/>
                <w:szCs w:val="16"/>
                <w:lang w:val="mn-MN"/>
              </w:rPr>
            </w:pPr>
            <w:bookmarkStart w:id="59" w:name="_Toc371338645"/>
            <w:r>
              <w:rPr>
                <w:sz w:val="16"/>
                <w:szCs w:val="16"/>
                <w:lang w:val="mn-MN"/>
              </w:rPr>
              <w:t>Зураг</w:t>
            </w:r>
            <w:r w:rsidR="008003C7">
              <w:rPr>
                <w:sz w:val="16"/>
                <w:szCs w:val="16"/>
              </w:rPr>
              <w:t xml:space="preserve"> </w:t>
            </w:r>
            <w:r w:rsidR="008003C7">
              <w:fldChar w:fldCharType="begin"/>
            </w:r>
            <w:r w:rsidR="008003C7">
              <w:rPr>
                <w:sz w:val="16"/>
                <w:szCs w:val="16"/>
              </w:rPr>
              <w:instrText xml:space="preserve"> SEQ Figure \* ARABIC </w:instrText>
            </w:r>
            <w:r w:rsidR="008003C7">
              <w:fldChar w:fldCharType="separate"/>
            </w:r>
            <w:r w:rsidR="008003C7">
              <w:rPr>
                <w:noProof/>
                <w:sz w:val="16"/>
                <w:szCs w:val="16"/>
              </w:rPr>
              <w:t>38</w:t>
            </w:r>
            <w:r w:rsidR="008003C7">
              <w:fldChar w:fldCharType="end"/>
            </w:r>
            <w:r w:rsidR="008003C7">
              <w:rPr>
                <w:sz w:val="16"/>
                <w:szCs w:val="16"/>
              </w:rPr>
              <w:t xml:space="preserve">. </w:t>
            </w:r>
            <w:r>
              <w:rPr>
                <w:sz w:val="16"/>
                <w:szCs w:val="16"/>
                <w:lang w:val="mn-MN"/>
              </w:rPr>
              <w:t>Барилгын зээл хурдацтайгаар өсч байна</w:t>
            </w:r>
            <w:bookmarkEnd w:id="59"/>
          </w:p>
        </w:tc>
        <w:tc>
          <w:tcPr>
            <w:tcW w:w="222" w:type="dxa"/>
          </w:tcPr>
          <w:p w14:paraId="7BF2CA71" w14:textId="77777777" w:rsidR="008003C7" w:rsidRDefault="008003C7" w:rsidP="00630B23">
            <w:pPr>
              <w:pStyle w:val="Caption"/>
              <w:spacing w:after="0"/>
              <w:jc w:val="center"/>
              <w:rPr>
                <w:color w:val="auto"/>
                <w:sz w:val="2"/>
              </w:rPr>
            </w:pPr>
          </w:p>
        </w:tc>
        <w:tc>
          <w:tcPr>
            <w:tcW w:w="4698" w:type="dxa"/>
            <w:tcBorders>
              <w:top w:val="nil"/>
              <w:left w:val="nil"/>
              <w:bottom w:val="single" w:sz="4" w:space="0" w:color="984806" w:themeColor="accent6" w:themeShade="80"/>
              <w:right w:val="nil"/>
            </w:tcBorders>
            <w:hideMark/>
          </w:tcPr>
          <w:p w14:paraId="2C4D5826" w14:textId="06790145" w:rsidR="008003C7" w:rsidRPr="00630B23" w:rsidRDefault="00C97F2D" w:rsidP="00630B23">
            <w:pPr>
              <w:pStyle w:val="Caption"/>
              <w:keepNext/>
              <w:spacing w:after="0"/>
              <w:jc w:val="both"/>
              <w:rPr>
                <w:sz w:val="16"/>
                <w:szCs w:val="16"/>
                <w:lang w:val="mn-MN"/>
              </w:rPr>
            </w:pPr>
            <w:bookmarkStart w:id="60" w:name="_Toc371338646"/>
            <w:r>
              <w:rPr>
                <w:sz w:val="16"/>
                <w:szCs w:val="16"/>
                <w:lang w:val="mn-MN"/>
              </w:rPr>
              <w:t>Зураг</w:t>
            </w:r>
            <w:r w:rsidR="008003C7">
              <w:rPr>
                <w:sz w:val="16"/>
                <w:szCs w:val="16"/>
              </w:rPr>
              <w:t xml:space="preserve"> </w:t>
            </w:r>
            <w:r w:rsidR="008003C7">
              <w:fldChar w:fldCharType="begin"/>
            </w:r>
            <w:r w:rsidR="008003C7">
              <w:rPr>
                <w:sz w:val="16"/>
                <w:szCs w:val="16"/>
              </w:rPr>
              <w:instrText xml:space="preserve"> SEQ Figure \* ARABIC </w:instrText>
            </w:r>
            <w:r w:rsidR="008003C7">
              <w:fldChar w:fldCharType="separate"/>
            </w:r>
            <w:r w:rsidR="008003C7">
              <w:rPr>
                <w:noProof/>
                <w:sz w:val="16"/>
                <w:szCs w:val="16"/>
              </w:rPr>
              <w:t>39</w:t>
            </w:r>
            <w:r w:rsidR="008003C7">
              <w:fldChar w:fldCharType="end"/>
            </w:r>
            <w:r w:rsidR="008003C7">
              <w:rPr>
                <w:sz w:val="16"/>
                <w:szCs w:val="16"/>
              </w:rPr>
              <w:t xml:space="preserve">. </w:t>
            </w:r>
            <w:r>
              <w:rPr>
                <w:sz w:val="16"/>
                <w:szCs w:val="16"/>
                <w:lang w:val="mn-MN"/>
              </w:rPr>
              <w:t>Барилгын салбарын зээлийн эзлэх хувь өсч байна</w:t>
            </w:r>
            <w:bookmarkEnd w:id="60"/>
          </w:p>
        </w:tc>
      </w:tr>
      <w:tr w:rsidR="008003C7" w14:paraId="5691CBD1" w14:textId="77777777" w:rsidTr="008003C7">
        <w:trPr>
          <w:trHeight w:val="2831"/>
        </w:trPr>
        <w:tc>
          <w:tcPr>
            <w:tcW w:w="4656" w:type="dxa"/>
            <w:gridSpan w:val="2"/>
            <w:tcBorders>
              <w:top w:val="single" w:sz="4" w:space="0" w:color="984806" w:themeColor="accent6" w:themeShade="80"/>
              <w:left w:val="nil"/>
              <w:bottom w:val="nil"/>
              <w:right w:val="nil"/>
            </w:tcBorders>
            <w:hideMark/>
          </w:tcPr>
          <w:p w14:paraId="395643B9" w14:textId="03DBDE6A" w:rsidR="008003C7" w:rsidRDefault="008003C7" w:rsidP="0017164F">
            <w:pPr>
              <w:pStyle w:val="NoSpacing"/>
              <w:jc w:val="both"/>
              <w:rPr>
                <w:sz w:val="16"/>
              </w:rPr>
            </w:pPr>
            <w:r>
              <w:rPr>
                <w:noProof/>
              </w:rPr>
              <w:drawing>
                <wp:anchor distT="0" distB="0" distL="114300" distR="114300" simplePos="0" relativeHeight="251772416" behindDoc="0" locked="0" layoutInCell="1" allowOverlap="1" wp14:anchorId="666800D9" wp14:editId="6D2361B0">
                  <wp:simplePos x="0" y="0"/>
                  <wp:positionH relativeFrom="column">
                    <wp:posOffset>105410</wp:posOffset>
                  </wp:positionH>
                  <wp:positionV relativeFrom="paragraph">
                    <wp:posOffset>135255</wp:posOffset>
                  </wp:positionV>
                  <wp:extent cx="2453005" cy="1652905"/>
                  <wp:effectExtent l="0" t="0" r="4445" b="0"/>
                  <wp:wrapSquare wrapText="bothSides"/>
                  <wp:docPr id="342" name="Chart 34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page">
                    <wp14:pctWidth>0</wp14:pctWidth>
                  </wp14:sizeRelH>
                  <wp14:sizeRelV relativeFrom="page">
                    <wp14:pctHeight>0</wp14:pctHeight>
                  </wp14:sizeRelV>
                </wp:anchor>
              </w:drawing>
            </w:r>
            <w:r w:rsidR="00C97F2D">
              <w:rPr>
                <w:sz w:val="16"/>
                <w:lang w:val="mn-MN"/>
              </w:rPr>
              <w:t>Банкны зээлийн өсөлт салбараар</w:t>
            </w:r>
            <w:r>
              <w:rPr>
                <w:sz w:val="16"/>
              </w:rPr>
              <w:t xml:space="preserve"> (%, </w:t>
            </w:r>
            <w:r w:rsidR="00C97F2D">
              <w:rPr>
                <w:sz w:val="16"/>
                <w:lang w:val="mn-MN"/>
              </w:rPr>
              <w:t>өмнөх улиралтай харь</w:t>
            </w:r>
            <w:r>
              <w:rPr>
                <w:sz w:val="16"/>
              </w:rPr>
              <w:t>)</w:t>
            </w:r>
          </w:p>
        </w:tc>
        <w:tc>
          <w:tcPr>
            <w:tcW w:w="222" w:type="dxa"/>
          </w:tcPr>
          <w:p w14:paraId="3D70D66A" w14:textId="77777777" w:rsidR="008003C7" w:rsidRDefault="008003C7">
            <w:pPr>
              <w:pStyle w:val="NoSpacing"/>
              <w:jc w:val="both"/>
              <w:rPr>
                <w:noProof/>
                <w:sz w:val="2"/>
                <w:lang w:eastAsia="ko-KR"/>
              </w:rPr>
            </w:pPr>
          </w:p>
          <w:p w14:paraId="2CDE81EB" w14:textId="77777777" w:rsidR="008003C7" w:rsidRDefault="008003C7">
            <w:pPr>
              <w:pStyle w:val="NoSpacing"/>
              <w:jc w:val="both"/>
              <w:rPr>
                <w:noProof/>
                <w:sz w:val="2"/>
                <w:lang w:eastAsia="ko-KR"/>
              </w:rPr>
            </w:pPr>
          </w:p>
        </w:tc>
        <w:tc>
          <w:tcPr>
            <w:tcW w:w="4698" w:type="dxa"/>
            <w:tcBorders>
              <w:top w:val="single" w:sz="4" w:space="0" w:color="984806" w:themeColor="accent6" w:themeShade="80"/>
              <w:left w:val="nil"/>
              <w:bottom w:val="nil"/>
              <w:right w:val="nil"/>
            </w:tcBorders>
            <w:hideMark/>
          </w:tcPr>
          <w:p w14:paraId="6F2ACCF0" w14:textId="13EF65BD" w:rsidR="008003C7" w:rsidRDefault="00C97F2D">
            <w:pPr>
              <w:pStyle w:val="NoSpacing"/>
              <w:jc w:val="both"/>
              <w:rPr>
                <w:sz w:val="16"/>
                <w:szCs w:val="18"/>
                <w:lang w:eastAsia="ko-KR"/>
              </w:rPr>
            </w:pPr>
            <w:r>
              <w:rPr>
                <w:sz w:val="16"/>
                <w:szCs w:val="18"/>
                <w:lang w:val="mn-MN"/>
              </w:rPr>
              <w:t>Зээлийн өрийн үлдэгдэл, салбараар</w:t>
            </w:r>
            <w:r w:rsidR="008003C7">
              <w:rPr>
                <w:sz w:val="16"/>
                <w:szCs w:val="18"/>
              </w:rPr>
              <w:t xml:space="preserve"> (%, </w:t>
            </w:r>
            <w:r>
              <w:rPr>
                <w:sz w:val="16"/>
                <w:szCs w:val="18"/>
                <w:lang w:val="mn-MN"/>
              </w:rPr>
              <w:t>2 дугаар улирал</w:t>
            </w:r>
            <w:r w:rsidR="008003C7">
              <w:rPr>
                <w:sz w:val="16"/>
                <w:szCs w:val="18"/>
              </w:rPr>
              <w:t xml:space="preserve">) </w:t>
            </w:r>
          </w:p>
          <w:p w14:paraId="580518B5" w14:textId="5E01B685" w:rsidR="008003C7" w:rsidRDefault="008003C7">
            <w:pPr>
              <w:pStyle w:val="NoSpacing"/>
              <w:jc w:val="both"/>
              <w:rPr>
                <w:lang w:eastAsia="ko-KR"/>
              </w:rPr>
            </w:pPr>
            <w:r>
              <w:rPr>
                <w:noProof/>
              </w:rPr>
              <w:drawing>
                <wp:inline distT="0" distB="0" distL="0" distR="0" wp14:anchorId="5EA7E2F6" wp14:editId="4999B5D9">
                  <wp:extent cx="2914650" cy="1536700"/>
                  <wp:effectExtent l="0" t="0" r="0" b="6350"/>
                  <wp:docPr id="326" name="Chart 326"/>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tc>
      </w:tr>
      <w:tr w:rsidR="008003C7" w14:paraId="3AA0E6F1" w14:textId="77777777" w:rsidTr="008003C7">
        <w:trPr>
          <w:trHeight w:val="89"/>
        </w:trPr>
        <w:tc>
          <w:tcPr>
            <w:tcW w:w="3759" w:type="dxa"/>
            <w:hideMark/>
          </w:tcPr>
          <w:p w14:paraId="3244F8A1" w14:textId="4C5E71C6" w:rsidR="008003C7" w:rsidRDefault="00C97F2D">
            <w:pPr>
              <w:pStyle w:val="NoSpacing"/>
              <w:jc w:val="both"/>
              <w:rPr>
                <w:sz w:val="14"/>
                <w:szCs w:val="18"/>
              </w:rPr>
            </w:pPr>
            <w:r>
              <w:rPr>
                <w:i/>
                <w:sz w:val="14"/>
                <w:szCs w:val="18"/>
                <w:lang w:val="mn-MN"/>
              </w:rPr>
              <w:t>Эх үүсвэр</w:t>
            </w:r>
            <w:r>
              <w:rPr>
                <w:i/>
                <w:sz w:val="14"/>
                <w:szCs w:val="18"/>
              </w:rPr>
              <w:t>:</w:t>
            </w:r>
            <w:r>
              <w:rPr>
                <w:i/>
                <w:sz w:val="14"/>
                <w:szCs w:val="18"/>
                <w:lang w:val="mn-MN"/>
              </w:rPr>
              <w:t xml:space="preserve"> </w:t>
            </w:r>
            <w:r>
              <w:rPr>
                <w:sz w:val="14"/>
                <w:szCs w:val="18"/>
                <w:lang w:val="mn-MN"/>
              </w:rPr>
              <w:t>МБ, ДБ-мэргэжилтнүүдийн тооцоо</w:t>
            </w:r>
          </w:p>
        </w:tc>
        <w:tc>
          <w:tcPr>
            <w:tcW w:w="897" w:type="dxa"/>
          </w:tcPr>
          <w:p w14:paraId="1B02FAF4" w14:textId="77777777" w:rsidR="008003C7" w:rsidRDefault="008003C7">
            <w:pPr>
              <w:pStyle w:val="NoSpacing"/>
              <w:jc w:val="both"/>
              <w:rPr>
                <w:i/>
                <w:sz w:val="2"/>
                <w:szCs w:val="18"/>
              </w:rPr>
            </w:pPr>
          </w:p>
        </w:tc>
        <w:tc>
          <w:tcPr>
            <w:tcW w:w="4920" w:type="dxa"/>
            <w:gridSpan w:val="2"/>
          </w:tcPr>
          <w:p w14:paraId="5C621A89" w14:textId="77777777" w:rsidR="008003C7" w:rsidRDefault="008003C7">
            <w:pPr>
              <w:pStyle w:val="NoSpacing"/>
              <w:jc w:val="both"/>
              <w:rPr>
                <w:sz w:val="14"/>
              </w:rPr>
            </w:pPr>
          </w:p>
        </w:tc>
      </w:tr>
    </w:tbl>
    <w:p w14:paraId="49C877FA" w14:textId="77777777" w:rsidR="008003C7" w:rsidRDefault="008003C7" w:rsidP="008003C7">
      <w:pPr>
        <w:spacing w:after="0"/>
        <w:jc w:val="both"/>
        <w:rPr>
          <w:rFonts w:ascii="Arial" w:hAnsi="Arial" w:cs="Arial"/>
          <w:sz w:val="20"/>
          <w:szCs w:val="20"/>
          <w:lang w:eastAsia="ko-KR"/>
        </w:rPr>
      </w:pPr>
    </w:p>
    <w:p w14:paraId="2AAF9627" w14:textId="77777777" w:rsidR="008003C7" w:rsidRDefault="008003C7" w:rsidP="008003C7">
      <w:pPr>
        <w:jc w:val="both"/>
        <w:rPr>
          <w:rFonts w:ascii="Arial" w:hAnsi="Arial" w:cs="Arial"/>
          <w:sz w:val="20"/>
          <w:szCs w:val="20"/>
          <w:lang w:eastAsia="ko-KR"/>
        </w:rPr>
      </w:pPr>
      <w:r>
        <w:rPr>
          <w:rFonts w:ascii="Arial" w:hAnsi="Arial" w:cs="Arial"/>
          <w:b/>
          <w:sz w:val="20"/>
          <w:szCs w:val="20"/>
          <w:lang w:val="mn-MN" w:eastAsia="ko-KR"/>
        </w:rPr>
        <w:lastRenderedPageBreak/>
        <w:t xml:space="preserve">Банкуудын чанаргүй зээлийн хэмжээ өсч байна. </w:t>
      </w:r>
      <w:r>
        <w:rPr>
          <w:rFonts w:ascii="Arial" w:hAnsi="Arial" w:cs="Arial"/>
          <w:sz w:val="20"/>
          <w:szCs w:val="20"/>
          <w:lang w:val="mn-MN" w:eastAsia="ko-KR"/>
        </w:rPr>
        <w:t xml:space="preserve">Чанаргүй зээлийн харьцаа </w:t>
      </w:r>
      <w:r>
        <w:rPr>
          <w:rFonts w:ascii="Arial" w:hAnsi="Arial" w:cs="Arial"/>
          <w:sz w:val="20"/>
          <w:szCs w:val="20"/>
          <w:lang w:eastAsia="ko-KR"/>
        </w:rPr>
        <w:t>(</w:t>
      </w:r>
      <w:r>
        <w:rPr>
          <w:rFonts w:ascii="Arial" w:hAnsi="Arial" w:cs="Arial"/>
          <w:sz w:val="20"/>
          <w:szCs w:val="20"/>
          <w:lang w:val="mn-MN" w:eastAsia="ko-KR"/>
        </w:rPr>
        <w:t>өмнөх хугацаа хэтэрсэн зээлийг хасаад</w:t>
      </w:r>
      <w:r>
        <w:rPr>
          <w:rFonts w:ascii="Arial" w:hAnsi="Arial" w:cs="Arial"/>
          <w:sz w:val="20"/>
          <w:szCs w:val="20"/>
          <w:lang w:eastAsia="ko-KR"/>
        </w:rPr>
        <w:t xml:space="preserve">) </w:t>
      </w:r>
      <w:r>
        <w:rPr>
          <w:rFonts w:ascii="Arial" w:hAnsi="Arial" w:cs="Arial"/>
          <w:sz w:val="20"/>
          <w:szCs w:val="20"/>
          <w:lang w:val="mn-MN" w:eastAsia="ko-KR"/>
        </w:rPr>
        <w:t xml:space="preserve">Хадгаламж банкны муу зээлээс үүдэж 6 дугаар сард 3.68 хувь байснаа 4.97 хувь болж өсчээ. Чанаргүй зээлийн харьцаа 9 дүгээр сард улам өсч </w:t>
      </w:r>
      <w:r>
        <w:rPr>
          <w:rFonts w:ascii="Arial" w:hAnsi="Arial" w:cs="Arial"/>
          <w:sz w:val="20"/>
          <w:szCs w:val="20"/>
          <w:lang w:eastAsia="ko-KR"/>
        </w:rPr>
        <w:t xml:space="preserve">5.29 </w:t>
      </w:r>
      <w:r>
        <w:rPr>
          <w:rFonts w:ascii="Arial" w:hAnsi="Arial" w:cs="Arial"/>
          <w:sz w:val="20"/>
          <w:szCs w:val="20"/>
          <w:lang w:val="mn-MN" w:eastAsia="ko-KR"/>
        </w:rPr>
        <w:t>хувьд хүрсэн</w:t>
      </w:r>
      <w:r>
        <w:rPr>
          <w:rFonts w:ascii="Arial" w:hAnsi="Arial" w:cs="Arial"/>
          <w:sz w:val="20"/>
          <w:szCs w:val="20"/>
          <w:lang w:eastAsia="ko-KR"/>
        </w:rPr>
        <w:t xml:space="preserve"> –</w:t>
      </w:r>
      <w:r>
        <w:rPr>
          <w:rFonts w:ascii="Arial" w:hAnsi="Arial" w:cs="Arial"/>
          <w:sz w:val="20"/>
          <w:szCs w:val="20"/>
          <w:lang w:val="mn-MN" w:eastAsia="ko-KR"/>
        </w:rPr>
        <w:t>энэ нь 2012 оны 4 сараас хойших хамгийн өндөр хэмжээ юм.</w:t>
      </w:r>
      <w:r>
        <w:rPr>
          <w:rFonts w:ascii="Arial" w:hAnsi="Arial" w:cs="Arial"/>
          <w:sz w:val="20"/>
          <w:szCs w:val="20"/>
          <w:lang w:eastAsia="ko-KR"/>
        </w:rPr>
        <w:t xml:space="preserve"> (</w:t>
      </w:r>
      <w:r>
        <w:rPr>
          <w:rFonts w:ascii="Arial" w:hAnsi="Arial" w:cs="Arial"/>
          <w:sz w:val="20"/>
          <w:szCs w:val="20"/>
          <w:lang w:val="mn-MN" w:eastAsia="ko-KR"/>
        </w:rPr>
        <w:t>Зураг</w:t>
      </w:r>
      <w:r>
        <w:rPr>
          <w:rFonts w:ascii="Arial" w:hAnsi="Arial" w:cs="Arial"/>
          <w:sz w:val="20"/>
          <w:szCs w:val="20"/>
          <w:lang w:eastAsia="ko-KR"/>
        </w:rPr>
        <w:t xml:space="preserve"> 40) </w:t>
      </w:r>
      <w:r>
        <w:rPr>
          <w:rFonts w:ascii="Arial" w:hAnsi="Arial" w:cs="Arial"/>
          <w:sz w:val="20"/>
          <w:szCs w:val="20"/>
          <w:lang w:val="mn-MN" w:eastAsia="ko-KR"/>
        </w:rPr>
        <w:t>Өнгөрсөн хугацаа хэтэрсэн зээлийг оруулсан чанаргүй зээлийн харьцаа нь адилхан өсөх хандлагатай байна, 7 дугаар сард 6.7 хувиас, 8 дугаар сард 6.66 хувь харин 9 дүгээр сард 6.8 хувьд хүрчээ. Харин чанаргүй зээлийн хэмжээ нь 8 дугаар 9 сар хүртэл 15.6 хувиар нэмэгдсэн нь</w:t>
      </w:r>
      <w:r>
        <w:rPr>
          <w:rFonts w:ascii="Arial" w:hAnsi="Arial" w:cs="Arial"/>
          <w:sz w:val="20"/>
          <w:szCs w:val="20"/>
          <w:lang w:eastAsia="ko-KR"/>
        </w:rPr>
        <w:t xml:space="preserve"> – </w:t>
      </w:r>
      <w:r>
        <w:rPr>
          <w:rFonts w:ascii="Arial" w:hAnsi="Arial" w:cs="Arial"/>
          <w:sz w:val="20"/>
          <w:szCs w:val="20"/>
          <w:lang w:val="mn-MN" w:eastAsia="ko-KR"/>
        </w:rPr>
        <w:t>2009 оны 6 сараас хойших өмнөх сартай харьцуулсан байдлаар авч үзвэл хамгийн өндөр түвшинд байна, үүнд өнгөрсөн 6 сарыг оролцуулаагүй, учир нь энэ сард Хадгаламж банкны муу зээл нэмэгдсэн. Өнгөрсөн хугацаа хэтэрсэн зээлийн хэмжээ нь 8 дугаар сард огцом 15.6 хувь өссөнөө 9 дүгээр сард 17 хувиар буурчээ.</w:t>
      </w:r>
      <w:r>
        <w:rPr>
          <w:rFonts w:ascii="Arial" w:hAnsi="Arial" w:cs="Arial"/>
          <w:sz w:val="20"/>
          <w:szCs w:val="20"/>
          <w:lang w:eastAsia="ko-KR"/>
        </w:rPr>
        <w:t xml:space="preserve"> (</w:t>
      </w:r>
      <w:r>
        <w:rPr>
          <w:rFonts w:ascii="Arial" w:hAnsi="Arial" w:cs="Arial"/>
          <w:sz w:val="20"/>
          <w:szCs w:val="20"/>
          <w:lang w:val="mn-MN" w:eastAsia="ko-KR"/>
        </w:rPr>
        <w:t>Зураг</w:t>
      </w:r>
      <w:r>
        <w:rPr>
          <w:rFonts w:ascii="Arial" w:hAnsi="Arial" w:cs="Arial"/>
          <w:sz w:val="20"/>
          <w:szCs w:val="20"/>
          <w:lang w:eastAsia="ko-KR"/>
        </w:rPr>
        <w:t xml:space="preserve"> 41) </w:t>
      </w:r>
      <w:r>
        <w:rPr>
          <w:rFonts w:ascii="Arial" w:hAnsi="Arial" w:cs="Arial"/>
          <w:sz w:val="20"/>
          <w:szCs w:val="20"/>
          <w:lang w:val="mn-MN" w:eastAsia="ko-KR"/>
        </w:rPr>
        <w:t xml:space="preserve">Банкуудын эрүүл байдал ерөнхийдөө тогтвортой хэвээрээ байгаа боловч чанаргүй зээлийн хэмжээ нэмэгдэж байгаа нь зарим зээлдэгчийн санхүүгийн байдал муудсныг харуулж байна. Зээлийн өсөлт хурдацтай байгаа, хугацаа хэтэрсэн болон чанаргүй зээлийн хэмжээ нэмэгдэж байгаа энэ үед байнгын хяналт шалгалт хэрэгтэй. </w:t>
      </w:r>
    </w:p>
    <w:tbl>
      <w:tblPr>
        <w:tblpPr w:leftFromText="180" w:rightFromText="180" w:vertAnchor="text" w:horzAnchor="margin" w:tblpY="10"/>
        <w:tblW w:w="0" w:type="auto"/>
        <w:tblLook w:val="04A0" w:firstRow="1" w:lastRow="0" w:firstColumn="1" w:lastColumn="0" w:noHBand="0" w:noVBand="1"/>
      </w:tblPr>
      <w:tblGrid>
        <w:gridCol w:w="3890"/>
        <w:gridCol w:w="907"/>
        <w:gridCol w:w="222"/>
        <w:gridCol w:w="4557"/>
      </w:tblGrid>
      <w:tr w:rsidR="008003C7" w14:paraId="5C6C1A54" w14:textId="77777777" w:rsidTr="008003C7">
        <w:tc>
          <w:tcPr>
            <w:tcW w:w="4797" w:type="dxa"/>
            <w:gridSpan w:val="2"/>
            <w:tcBorders>
              <w:top w:val="nil"/>
              <w:left w:val="nil"/>
              <w:bottom w:val="single" w:sz="4" w:space="0" w:color="984806" w:themeColor="accent6" w:themeShade="80"/>
              <w:right w:val="nil"/>
            </w:tcBorders>
            <w:hideMark/>
          </w:tcPr>
          <w:p w14:paraId="2D2011F6" w14:textId="34B61F48" w:rsidR="008003C7" w:rsidRDefault="00C97F2D" w:rsidP="00630B23">
            <w:pPr>
              <w:pStyle w:val="Caption"/>
              <w:keepNext/>
              <w:spacing w:after="0"/>
              <w:jc w:val="both"/>
              <w:rPr>
                <w:color w:val="auto"/>
                <w:sz w:val="16"/>
                <w:szCs w:val="16"/>
              </w:rPr>
            </w:pPr>
            <w:bookmarkStart w:id="61" w:name="_Toc371338647"/>
            <w:r>
              <w:rPr>
                <w:sz w:val="16"/>
                <w:szCs w:val="16"/>
                <w:lang w:val="mn-MN"/>
              </w:rPr>
              <w:t>Зураг</w:t>
            </w:r>
            <w:r w:rsidR="008003C7">
              <w:rPr>
                <w:sz w:val="16"/>
                <w:szCs w:val="16"/>
              </w:rPr>
              <w:t xml:space="preserve"> </w:t>
            </w:r>
            <w:r w:rsidR="008003C7">
              <w:fldChar w:fldCharType="begin"/>
            </w:r>
            <w:r w:rsidR="008003C7">
              <w:rPr>
                <w:sz w:val="16"/>
                <w:szCs w:val="16"/>
              </w:rPr>
              <w:instrText xml:space="preserve"> SEQ Figure \* ARABIC </w:instrText>
            </w:r>
            <w:r w:rsidR="008003C7">
              <w:fldChar w:fldCharType="separate"/>
            </w:r>
            <w:r w:rsidR="008003C7">
              <w:rPr>
                <w:noProof/>
                <w:sz w:val="16"/>
                <w:szCs w:val="16"/>
              </w:rPr>
              <w:t>40</w:t>
            </w:r>
            <w:r w:rsidR="008003C7">
              <w:fldChar w:fldCharType="end"/>
            </w:r>
            <w:r w:rsidR="008003C7">
              <w:rPr>
                <w:sz w:val="16"/>
                <w:szCs w:val="16"/>
              </w:rPr>
              <w:t xml:space="preserve">. </w:t>
            </w:r>
            <w:r>
              <w:rPr>
                <w:sz w:val="16"/>
                <w:szCs w:val="16"/>
                <w:lang w:val="mn-MN"/>
              </w:rPr>
              <w:t>Сүүлийн саруудад ЧЗХ харьцаа өсч байна</w:t>
            </w:r>
            <w:bookmarkEnd w:id="61"/>
          </w:p>
        </w:tc>
        <w:tc>
          <w:tcPr>
            <w:tcW w:w="222" w:type="dxa"/>
          </w:tcPr>
          <w:p w14:paraId="425DE242" w14:textId="77777777" w:rsidR="008003C7" w:rsidRDefault="008003C7" w:rsidP="00630B23">
            <w:pPr>
              <w:pStyle w:val="Caption"/>
              <w:spacing w:after="0"/>
              <w:jc w:val="center"/>
              <w:rPr>
                <w:color w:val="auto"/>
                <w:sz w:val="2"/>
              </w:rPr>
            </w:pPr>
          </w:p>
        </w:tc>
        <w:tc>
          <w:tcPr>
            <w:tcW w:w="4557" w:type="dxa"/>
            <w:tcBorders>
              <w:top w:val="nil"/>
              <w:left w:val="nil"/>
              <w:bottom w:val="single" w:sz="4" w:space="0" w:color="984806" w:themeColor="accent6" w:themeShade="80"/>
              <w:right w:val="nil"/>
            </w:tcBorders>
            <w:hideMark/>
          </w:tcPr>
          <w:p w14:paraId="26BDDA4A" w14:textId="41A27ABB" w:rsidR="008003C7" w:rsidRPr="00630B23" w:rsidRDefault="00C97F2D" w:rsidP="00630B23">
            <w:pPr>
              <w:pStyle w:val="Caption"/>
              <w:keepNext/>
              <w:spacing w:after="0"/>
              <w:jc w:val="both"/>
              <w:rPr>
                <w:sz w:val="16"/>
                <w:szCs w:val="16"/>
                <w:lang w:val="mn-MN"/>
              </w:rPr>
            </w:pPr>
            <w:bookmarkStart w:id="62" w:name="_Toc371338648"/>
            <w:r>
              <w:rPr>
                <w:sz w:val="16"/>
                <w:szCs w:val="16"/>
                <w:lang w:val="mn-MN"/>
              </w:rPr>
              <w:t>Зураг</w:t>
            </w:r>
            <w:r w:rsidR="008003C7">
              <w:rPr>
                <w:sz w:val="16"/>
                <w:szCs w:val="16"/>
              </w:rPr>
              <w:t xml:space="preserve"> </w:t>
            </w:r>
            <w:r w:rsidR="008003C7">
              <w:fldChar w:fldCharType="begin"/>
            </w:r>
            <w:r w:rsidR="008003C7">
              <w:rPr>
                <w:sz w:val="16"/>
                <w:szCs w:val="16"/>
              </w:rPr>
              <w:instrText xml:space="preserve"> SEQ Figure \* ARABIC </w:instrText>
            </w:r>
            <w:r w:rsidR="008003C7">
              <w:fldChar w:fldCharType="separate"/>
            </w:r>
            <w:r w:rsidR="008003C7">
              <w:rPr>
                <w:noProof/>
                <w:sz w:val="16"/>
                <w:szCs w:val="16"/>
              </w:rPr>
              <w:t>41</w:t>
            </w:r>
            <w:r w:rsidR="008003C7">
              <w:fldChar w:fldCharType="end"/>
            </w:r>
            <w:r w:rsidR="008003C7">
              <w:rPr>
                <w:sz w:val="16"/>
                <w:szCs w:val="16"/>
              </w:rPr>
              <w:t xml:space="preserve">. </w:t>
            </w:r>
            <w:r>
              <w:rPr>
                <w:sz w:val="16"/>
                <w:szCs w:val="16"/>
                <w:lang w:val="mn-MN"/>
              </w:rPr>
              <w:t>ЧЗХ хэмжээ нь 9 сард өслөө</w:t>
            </w:r>
            <w:bookmarkEnd w:id="62"/>
          </w:p>
        </w:tc>
      </w:tr>
      <w:tr w:rsidR="008003C7" w14:paraId="329B72A1" w14:textId="77777777" w:rsidTr="008003C7">
        <w:trPr>
          <w:trHeight w:val="2779"/>
        </w:trPr>
        <w:tc>
          <w:tcPr>
            <w:tcW w:w="4797" w:type="dxa"/>
            <w:gridSpan w:val="2"/>
            <w:tcBorders>
              <w:top w:val="single" w:sz="4" w:space="0" w:color="984806" w:themeColor="accent6" w:themeShade="80"/>
              <w:left w:val="nil"/>
              <w:bottom w:val="nil"/>
              <w:right w:val="nil"/>
            </w:tcBorders>
            <w:hideMark/>
          </w:tcPr>
          <w:p w14:paraId="3A3AF35D" w14:textId="40C06449" w:rsidR="008003C7" w:rsidRDefault="00C97F2D">
            <w:pPr>
              <w:pStyle w:val="NoSpacing"/>
              <w:jc w:val="both"/>
              <w:rPr>
                <w:sz w:val="16"/>
              </w:rPr>
            </w:pPr>
            <w:r>
              <w:rPr>
                <w:sz w:val="16"/>
                <w:lang w:val="mn-MN"/>
              </w:rPr>
              <w:t>Банкны чанаргүй зээлийн харьцаа</w:t>
            </w:r>
            <w:r w:rsidR="008003C7">
              <w:rPr>
                <w:sz w:val="16"/>
              </w:rPr>
              <w:t xml:space="preserve"> (%)</w:t>
            </w:r>
          </w:p>
          <w:p w14:paraId="02971161" w14:textId="6703E999" w:rsidR="008003C7" w:rsidRDefault="008003C7">
            <w:pPr>
              <w:pStyle w:val="NoSpacing"/>
              <w:jc w:val="both"/>
            </w:pPr>
            <w:r>
              <w:rPr>
                <w:noProof/>
              </w:rPr>
              <w:drawing>
                <wp:inline distT="0" distB="0" distL="0" distR="0" wp14:anchorId="69BAD03B" wp14:editId="2E162B6E">
                  <wp:extent cx="2984500" cy="1651000"/>
                  <wp:effectExtent l="0" t="0" r="6350" b="6350"/>
                  <wp:docPr id="324" name="Chart 324"/>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tc>
        <w:tc>
          <w:tcPr>
            <w:tcW w:w="222" w:type="dxa"/>
          </w:tcPr>
          <w:p w14:paraId="78825A80" w14:textId="77777777" w:rsidR="008003C7" w:rsidRDefault="008003C7">
            <w:pPr>
              <w:pStyle w:val="NoSpacing"/>
              <w:jc w:val="both"/>
              <w:rPr>
                <w:noProof/>
                <w:sz w:val="2"/>
                <w:lang w:eastAsia="ko-KR"/>
              </w:rPr>
            </w:pPr>
          </w:p>
          <w:p w14:paraId="3BD6DD69" w14:textId="77777777" w:rsidR="008003C7" w:rsidRDefault="008003C7">
            <w:pPr>
              <w:pStyle w:val="NoSpacing"/>
              <w:jc w:val="both"/>
              <w:rPr>
                <w:noProof/>
                <w:sz w:val="2"/>
                <w:lang w:eastAsia="ko-KR"/>
              </w:rPr>
            </w:pPr>
          </w:p>
        </w:tc>
        <w:tc>
          <w:tcPr>
            <w:tcW w:w="4557" w:type="dxa"/>
            <w:tcBorders>
              <w:top w:val="single" w:sz="4" w:space="0" w:color="984806" w:themeColor="accent6" w:themeShade="80"/>
              <w:left w:val="nil"/>
              <w:bottom w:val="nil"/>
              <w:right w:val="nil"/>
            </w:tcBorders>
            <w:hideMark/>
          </w:tcPr>
          <w:p w14:paraId="3CF8C7C2" w14:textId="1E639CE5" w:rsidR="008003C7" w:rsidRDefault="00A27E61">
            <w:pPr>
              <w:pStyle w:val="NoSpacing"/>
              <w:jc w:val="both"/>
              <w:rPr>
                <w:sz w:val="16"/>
                <w:szCs w:val="18"/>
                <w:lang w:eastAsia="ko-KR"/>
              </w:rPr>
            </w:pPr>
            <w:r>
              <w:rPr>
                <w:noProof/>
              </w:rPr>
              <mc:AlternateContent>
                <mc:Choice Requires="wps">
                  <w:drawing>
                    <wp:anchor distT="0" distB="0" distL="114300" distR="114300" simplePos="0" relativeHeight="251790848" behindDoc="0" locked="0" layoutInCell="1" allowOverlap="1" wp14:anchorId="5C2E2347" wp14:editId="638D9EA8">
                      <wp:simplePos x="0" y="0"/>
                      <wp:positionH relativeFrom="column">
                        <wp:posOffset>775335</wp:posOffset>
                      </wp:positionH>
                      <wp:positionV relativeFrom="paragraph">
                        <wp:posOffset>212725</wp:posOffset>
                      </wp:positionV>
                      <wp:extent cx="1733550" cy="165100"/>
                      <wp:effectExtent l="0" t="0" r="0" b="6350"/>
                      <wp:wrapNone/>
                      <wp:docPr id="358" name="Text Box 358"/>
                      <wp:cNvGraphicFramePr/>
                      <a:graphic xmlns:a="http://schemas.openxmlformats.org/drawingml/2006/main">
                        <a:graphicData uri="http://schemas.microsoft.com/office/word/2010/wordprocessingShape">
                          <wps:wsp>
                            <wps:cNvSpPr txBox="1"/>
                            <wps:spPr>
                              <a:xfrm>
                                <a:off x="0" y="0"/>
                                <a:ext cx="1733550" cy="165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EE1F8E5" w14:textId="60AA8DCC" w:rsidR="00A27E61" w:rsidRPr="00630B23" w:rsidRDefault="00A27E61">
                                  <w:pPr>
                                    <w:rPr>
                                      <w:sz w:val="8"/>
                                      <w:szCs w:val="8"/>
                                      <w:lang w:val="mn-MN"/>
                                    </w:rPr>
                                  </w:pPr>
                                  <w:r>
                                    <w:rPr>
                                      <w:sz w:val="8"/>
                                      <w:szCs w:val="8"/>
                                      <w:lang w:val="mn-MN"/>
                                    </w:rPr>
                                    <w:t>ЧЗХ+ хугацаа хэтэрсэн өр тэрбум төгрөг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8" o:spid="_x0000_s1028" type="#_x0000_t202" style="position:absolute;left:0;text-align:left;margin-left:61.05pt;margin-top:16.75pt;width:136.5pt;height:13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" fillcolor="white [3201]" stroked="f" strokeweight=".5pt">
                      <v:textbox>
                        <w:txbxContent>
                          <w:p w14:paraId="2EE1F8E5" w14:textId="60AA8DCC" w:rsidR="00A27E61" w:rsidRPr="00630B23" w:rsidRDefault="00A27E61">
                            <w:pPr>
                              <w:rPr>
                                <w:sz w:val="8"/>
                                <w:szCs w:val="8"/>
                                <w:lang w:val="mn-MN"/>
                              </w:rPr>
                            </w:pPr>
                            <w:r>
                              <w:rPr>
                                <w:sz w:val="8"/>
                                <w:szCs w:val="8"/>
                                <w:lang w:val="mn-MN"/>
                              </w:rPr>
                              <w:t>ЧЗХ+ хугацаа хэтэрсэн өр тэрбум төгрөг</w:t>
                            </w:r>
                          </w:p>
                        </w:txbxContent>
                      </v:textbox>
                    </v:shape>
                  </w:pict>
                </mc:Fallback>
              </mc:AlternateContent>
            </w:r>
            <w:r w:rsidR="008003C7">
              <w:rPr>
                <w:sz w:val="16"/>
                <w:szCs w:val="18"/>
              </w:rPr>
              <w:t xml:space="preserve">% </w:t>
            </w:r>
            <w:r w:rsidR="00C97F2D">
              <w:rPr>
                <w:sz w:val="16"/>
                <w:szCs w:val="18"/>
                <w:lang w:val="mn-MN"/>
              </w:rPr>
              <w:t>ЧЗ болон хугацаа хэтэрсэн зээлийн өөрчлөлт</w:t>
            </w:r>
            <w:r w:rsidR="008003C7">
              <w:rPr>
                <w:sz w:val="16"/>
                <w:szCs w:val="18"/>
              </w:rPr>
              <w:t xml:space="preserve"> (</w:t>
            </w:r>
            <w:r w:rsidR="00C97F2D">
              <w:rPr>
                <w:sz w:val="16"/>
                <w:szCs w:val="18"/>
                <w:lang w:val="mn-MN"/>
              </w:rPr>
              <w:t>өмнөх улиралтай харь.</w:t>
            </w:r>
            <w:r w:rsidR="008003C7">
              <w:rPr>
                <w:sz w:val="16"/>
                <w:szCs w:val="18"/>
              </w:rPr>
              <w:t>)</w:t>
            </w:r>
          </w:p>
          <w:p w14:paraId="2F142350" w14:textId="5188CABF" w:rsidR="008003C7" w:rsidRDefault="00A27E61">
            <w:pPr>
              <w:pStyle w:val="NoSpacing"/>
              <w:jc w:val="both"/>
              <w:rPr>
                <w:lang w:eastAsia="ko-KR"/>
              </w:rPr>
            </w:pPr>
            <w:r>
              <w:rPr>
                <w:noProof/>
              </w:rPr>
              <mc:AlternateContent>
                <mc:Choice Requires="wps">
                  <w:drawing>
                    <wp:anchor distT="0" distB="0" distL="114300" distR="114300" simplePos="0" relativeHeight="251792896" behindDoc="0" locked="0" layoutInCell="1" allowOverlap="1" wp14:anchorId="07D6EB44" wp14:editId="0B2CCF20">
                      <wp:simplePos x="0" y="0"/>
                      <wp:positionH relativeFrom="column">
                        <wp:posOffset>807085</wp:posOffset>
                      </wp:positionH>
                      <wp:positionV relativeFrom="paragraph">
                        <wp:posOffset>186690</wp:posOffset>
                      </wp:positionV>
                      <wp:extent cx="1555750" cy="177800"/>
                      <wp:effectExtent l="0" t="0" r="6350" b="0"/>
                      <wp:wrapNone/>
                      <wp:docPr id="360" name="Text Box 360"/>
                      <wp:cNvGraphicFramePr/>
                      <a:graphic xmlns:a="http://schemas.openxmlformats.org/drawingml/2006/main">
                        <a:graphicData uri="http://schemas.microsoft.com/office/word/2010/wordprocessingShape">
                          <wps:wsp>
                            <wps:cNvSpPr txBox="1"/>
                            <wps:spPr>
                              <a:xfrm>
                                <a:off x="0" y="0"/>
                                <a:ext cx="1555750" cy="177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33DDF21" w14:textId="3FBD905D" w:rsidR="00A27E61" w:rsidRPr="00630B23" w:rsidRDefault="00A27E61">
                                  <w:pPr>
                                    <w:rPr>
                                      <w:sz w:val="10"/>
                                      <w:szCs w:val="10"/>
                                      <w:lang w:val="mn-MN"/>
                                    </w:rPr>
                                  </w:pPr>
                                  <w:r>
                                    <w:rPr>
                                      <w:sz w:val="10"/>
                                      <w:szCs w:val="10"/>
                                      <w:lang w:val="mn-MN"/>
                                    </w:rPr>
                                    <w:t>ЧЗХ, МБ тодорхойлолт,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0" o:spid="_x0000_s1029" type="#_x0000_t202" style="position:absolute;left:0;text-align:left;margin-left:63.55pt;margin-top:14.7pt;width:122.5pt;height:14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" fillcolor="white [3201]" stroked="f" strokeweight=".5pt">
                      <v:textbox>
                        <w:txbxContent>
                          <w:p w14:paraId="033DDF21" w14:textId="3FBD905D" w:rsidR="00A27E61" w:rsidRPr="00630B23" w:rsidRDefault="00A27E61">
                            <w:pPr>
                              <w:rPr>
                                <w:sz w:val="10"/>
                                <w:szCs w:val="10"/>
                                <w:lang w:val="mn-MN"/>
                              </w:rPr>
                            </w:pPr>
                            <w:r>
                              <w:rPr>
                                <w:sz w:val="10"/>
                                <w:szCs w:val="10"/>
                                <w:lang w:val="mn-MN"/>
                              </w:rPr>
                              <w:t>ЧЗХ, МБ тодорхойлолт,</w:t>
                            </w:r>
                          </w:p>
                        </w:txbxContent>
                      </v:textbox>
                    </v:shape>
                  </w:pict>
                </mc:Fallback>
              </mc:AlternateContent>
            </w:r>
            <w:r>
              <w:rPr>
                <w:noProof/>
              </w:rPr>
              <mc:AlternateContent>
                <mc:Choice Requires="wps">
                  <w:drawing>
                    <wp:anchor distT="0" distB="0" distL="114300" distR="114300" simplePos="0" relativeHeight="251791872" behindDoc="0" locked="0" layoutInCell="1" allowOverlap="1" wp14:anchorId="3D7ADECA" wp14:editId="6A5FB9D3">
                      <wp:simplePos x="0" y="0"/>
                      <wp:positionH relativeFrom="column">
                        <wp:posOffset>775335</wp:posOffset>
                      </wp:positionH>
                      <wp:positionV relativeFrom="paragraph">
                        <wp:posOffset>90170</wp:posOffset>
                      </wp:positionV>
                      <wp:extent cx="1397000" cy="177800"/>
                      <wp:effectExtent l="0" t="0" r="0" b="0"/>
                      <wp:wrapNone/>
                      <wp:docPr id="359" name="Text Box 359"/>
                      <wp:cNvGraphicFramePr/>
                      <a:graphic xmlns:a="http://schemas.openxmlformats.org/drawingml/2006/main">
                        <a:graphicData uri="http://schemas.microsoft.com/office/word/2010/wordprocessingShape">
                          <wps:wsp>
                            <wps:cNvSpPr txBox="1"/>
                            <wps:spPr>
                              <a:xfrm>
                                <a:off x="0" y="0"/>
                                <a:ext cx="1397000" cy="177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1E72C81" w14:textId="241945A8" w:rsidR="00A27E61" w:rsidRPr="00630B23" w:rsidRDefault="00A27E61">
                                  <w:pPr>
                                    <w:rPr>
                                      <w:sz w:val="10"/>
                                      <w:szCs w:val="10"/>
                                      <w:lang w:val="mn-MN"/>
                                    </w:rPr>
                                  </w:pPr>
                                  <w:r>
                                    <w:rPr>
                                      <w:sz w:val="10"/>
                                      <w:szCs w:val="10"/>
                                      <w:lang w:val="mn-MN"/>
                                    </w:rPr>
                                    <w:t>Хагацаа хэтэрсэн өр, өөрчлөлт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59" o:spid="_x0000_s1030" type="#_x0000_t202" style="position:absolute;left:0;text-align:left;margin-left:61.05pt;margin-top:7.1pt;width:110pt;height:14pt;z-index:251791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" fillcolor="white [3201]" stroked="f" strokeweight=".5pt">
                      <v:textbox>
                        <w:txbxContent>
                          <w:p w14:paraId="21E72C81" w14:textId="241945A8" w:rsidR="00A27E61" w:rsidRPr="00630B23" w:rsidRDefault="00A27E61">
                            <w:pPr>
                              <w:rPr>
                                <w:sz w:val="10"/>
                                <w:szCs w:val="10"/>
                                <w:lang w:val="mn-MN"/>
                              </w:rPr>
                            </w:pPr>
                            <w:r>
                              <w:rPr>
                                <w:sz w:val="10"/>
                                <w:szCs w:val="10"/>
                                <w:lang w:val="mn-MN"/>
                              </w:rPr>
                              <w:t>Хагацаа хэтэрсэн өр, өөрчлөлт</w:t>
                            </w:r>
                          </w:p>
                        </w:txbxContent>
                      </v:textbox>
                    </v:shape>
                  </w:pict>
                </mc:Fallback>
              </mc:AlternateContent>
            </w:r>
            <w:r w:rsidR="008003C7">
              <w:rPr>
                <w:noProof/>
              </w:rPr>
              <w:drawing>
                <wp:inline distT="0" distB="0" distL="0" distR="0" wp14:anchorId="3ED3519B" wp14:editId="75C13522">
                  <wp:extent cx="2832100" cy="1593850"/>
                  <wp:effectExtent l="0" t="0" r="6350" b="6350"/>
                  <wp:docPr id="322" name="Chart 3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tc>
      </w:tr>
      <w:tr w:rsidR="008003C7" w14:paraId="7318DEF8" w14:textId="77777777" w:rsidTr="008003C7">
        <w:trPr>
          <w:trHeight w:val="89"/>
        </w:trPr>
        <w:tc>
          <w:tcPr>
            <w:tcW w:w="3818" w:type="dxa"/>
            <w:hideMark/>
          </w:tcPr>
          <w:p w14:paraId="108957AB" w14:textId="7C43706B" w:rsidR="008003C7" w:rsidRDefault="00C97F2D">
            <w:pPr>
              <w:pStyle w:val="NoSpacing"/>
              <w:jc w:val="both"/>
              <w:rPr>
                <w:sz w:val="14"/>
                <w:szCs w:val="18"/>
              </w:rPr>
            </w:pPr>
            <w:r>
              <w:rPr>
                <w:i/>
                <w:sz w:val="14"/>
                <w:szCs w:val="18"/>
                <w:lang w:val="mn-MN"/>
              </w:rPr>
              <w:t>Эх үүсвэр</w:t>
            </w:r>
            <w:r>
              <w:rPr>
                <w:i/>
                <w:sz w:val="14"/>
                <w:szCs w:val="18"/>
              </w:rPr>
              <w:t>:</w:t>
            </w:r>
            <w:r>
              <w:rPr>
                <w:i/>
                <w:sz w:val="14"/>
                <w:szCs w:val="18"/>
                <w:lang w:val="mn-MN"/>
              </w:rPr>
              <w:t xml:space="preserve"> </w:t>
            </w:r>
            <w:r>
              <w:rPr>
                <w:sz w:val="14"/>
                <w:szCs w:val="18"/>
                <w:lang w:val="mn-MN"/>
              </w:rPr>
              <w:t>МБ, ДБ-мэргэжилтнүүдийн тооцоо</w:t>
            </w:r>
          </w:p>
        </w:tc>
        <w:tc>
          <w:tcPr>
            <w:tcW w:w="979" w:type="dxa"/>
          </w:tcPr>
          <w:p w14:paraId="7FF4F20A" w14:textId="77777777" w:rsidR="008003C7" w:rsidRDefault="008003C7">
            <w:pPr>
              <w:pStyle w:val="NoSpacing"/>
              <w:jc w:val="both"/>
              <w:rPr>
                <w:i/>
                <w:sz w:val="2"/>
                <w:szCs w:val="18"/>
              </w:rPr>
            </w:pPr>
          </w:p>
        </w:tc>
        <w:tc>
          <w:tcPr>
            <w:tcW w:w="4779" w:type="dxa"/>
            <w:gridSpan w:val="2"/>
          </w:tcPr>
          <w:p w14:paraId="72F66F4D" w14:textId="77777777" w:rsidR="008003C7" w:rsidRDefault="008003C7">
            <w:pPr>
              <w:pStyle w:val="NoSpacing"/>
              <w:jc w:val="both"/>
              <w:rPr>
                <w:sz w:val="14"/>
              </w:rPr>
            </w:pPr>
          </w:p>
        </w:tc>
      </w:tr>
    </w:tbl>
    <w:p w14:paraId="114B3DC4" w14:textId="77777777" w:rsidR="00C97F2D" w:rsidRDefault="00C97F2D" w:rsidP="008003C7">
      <w:pPr>
        <w:jc w:val="both"/>
        <w:rPr>
          <w:rFonts w:ascii="Arial" w:hAnsi="Arial" w:cs="Arial"/>
          <w:b/>
          <w:bCs/>
          <w:sz w:val="20"/>
          <w:szCs w:val="24"/>
          <w:lang w:val="mn-MN"/>
        </w:rPr>
      </w:pPr>
    </w:p>
    <w:p w14:paraId="1C2ED5FE" w14:textId="77777777" w:rsidR="008003C7" w:rsidRDefault="008003C7" w:rsidP="008003C7">
      <w:pPr>
        <w:jc w:val="both"/>
        <w:rPr>
          <w:rFonts w:ascii="Arial" w:hAnsi="Arial" w:cs="Arial"/>
          <w:bCs/>
          <w:sz w:val="20"/>
          <w:szCs w:val="24"/>
          <w:lang w:val="mn-MN"/>
        </w:rPr>
      </w:pPr>
      <w:r>
        <w:rPr>
          <w:rFonts w:ascii="Arial" w:hAnsi="Arial" w:cs="Arial"/>
          <w:b/>
          <w:bCs/>
          <w:sz w:val="20"/>
          <w:szCs w:val="24"/>
          <w:lang w:val="mn-MN"/>
        </w:rPr>
        <w:t xml:space="preserve">Монгол банк болон Сангийн яам нь Хадгаламж банкны муудаж байгаа нөхцөл байдалд хурдан арга хэмжээ авч хэрэгжүүлний үр дүнд банкны тогтолцооны тогтвортой байдлыг амжилттай хадгалж үлдсэн. </w:t>
      </w:r>
      <w:r>
        <w:rPr>
          <w:rFonts w:ascii="Arial" w:hAnsi="Arial" w:cs="Arial"/>
          <w:bCs/>
          <w:sz w:val="20"/>
          <w:szCs w:val="24"/>
          <w:lang w:val="mn-MN"/>
        </w:rPr>
        <w:t>Хадгаламж банк саяхан дампуурсан нь ил тод, хариуцлагатай байдлыг чухалчилан, зээлийн чанарыг илүү нарийн хянах шаардлагатайг харуулж байна. Үүнээс гадна, Хадгаламжийн банк дампуурсны дараа Төрийн банкийг дахин хөрөнгөжүүлэх өртөг нь засгийн газарт төсвийн нэмэлт дарамт болох талтай</w:t>
      </w:r>
      <w:r>
        <w:rPr>
          <w:rFonts w:ascii="Arial" w:hAnsi="Arial" w:cs="Arial"/>
          <w:bCs/>
          <w:sz w:val="20"/>
          <w:szCs w:val="24"/>
        </w:rPr>
        <w:t>. (</w:t>
      </w:r>
      <w:r>
        <w:rPr>
          <w:rFonts w:ascii="Arial" w:hAnsi="Arial" w:cs="Arial"/>
          <w:bCs/>
          <w:sz w:val="20"/>
          <w:szCs w:val="24"/>
          <w:lang w:val="mn-MN"/>
        </w:rPr>
        <w:t>Хайрцаг</w:t>
      </w:r>
      <w:r>
        <w:rPr>
          <w:rFonts w:ascii="Arial" w:hAnsi="Arial" w:cs="Arial"/>
          <w:bCs/>
          <w:sz w:val="20"/>
          <w:szCs w:val="24"/>
        </w:rPr>
        <w:t xml:space="preserve"> 4)</w:t>
      </w:r>
    </w:p>
    <w:tbl>
      <w:tblPr>
        <w:tblW w:w="0" w:type="auto"/>
        <w:tblLook w:val="04A0" w:firstRow="1" w:lastRow="0" w:firstColumn="1" w:lastColumn="0" w:noHBand="0" w:noVBand="1"/>
      </w:tblPr>
      <w:tblGrid>
        <w:gridCol w:w="9576"/>
      </w:tblGrid>
      <w:tr w:rsidR="008003C7" w14:paraId="61A6FBAE" w14:textId="77777777" w:rsidTr="008003C7">
        <w:tc>
          <w:tcPr>
            <w:tcW w:w="9576" w:type="dxa"/>
            <w:tcBorders>
              <w:top w:val="single" w:sz="4" w:space="0" w:color="auto"/>
              <w:left w:val="single" w:sz="4" w:space="0" w:color="auto"/>
              <w:bottom w:val="single" w:sz="4" w:space="0" w:color="auto"/>
              <w:right w:val="single" w:sz="4" w:space="0" w:color="auto"/>
            </w:tcBorders>
          </w:tcPr>
          <w:p w14:paraId="1D64E663" w14:textId="77777777" w:rsidR="008003C7" w:rsidRDefault="008003C7">
            <w:pPr>
              <w:rPr>
                <w:rFonts w:ascii="Arial" w:hAnsi="Arial" w:cs="Arial"/>
              </w:rPr>
            </w:pPr>
          </w:p>
          <w:p w14:paraId="42E730FE" w14:textId="77777777" w:rsidR="008003C7" w:rsidRDefault="008003C7">
            <w:pPr>
              <w:pStyle w:val="Caption"/>
              <w:keepNext/>
              <w:rPr>
                <w:rFonts w:ascii="Arial" w:hAnsi="Arial" w:cs="Arial"/>
                <w:lang w:val="mn-MN"/>
              </w:rPr>
            </w:pPr>
            <w:bookmarkStart w:id="63" w:name="_Toc371339043"/>
            <w:r>
              <w:rPr>
                <w:rFonts w:ascii="Arial" w:hAnsi="Arial" w:cs="Arial"/>
                <w:lang w:val="mn-MN"/>
              </w:rPr>
              <w:t xml:space="preserve">Хайрцаг </w:t>
            </w:r>
            <w:r>
              <w:fldChar w:fldCharType="begin"/>
            </w:r>
            <w:r>
              <w:rPr>
                <w:rFonts w:ascii="Arial" w:hAnsi="Arial" w:cs="Arial"/>
              </w:rPr>
              <w:instrText xml:space="preserve"> SEQ Box \* ARABIC </w:instrText>
            </w:r>
            <w:r>
              <w:fldChar w:fldCharType="separate"/>
            </w:r>
            <w:r>
              <w:rPr>
                <w:rFonts w:ascii="Arial" w:hAnsi="Arial" w:cs="Arial"/>
                <w:noProof/>
              </w:rPr>
              <w:t>4</w:t>
            </w:r>
            <w:r>
              <w:fldChar w:fldCharType="end"/>
            </w:r>
            <w:r>
              <w:rPr>
                <w:rFonts w:ascii="Arial" w:hAnsi="Arial" w:cs="Arial"/>
              </w:rPr>
              <w:t>. Хадгаламжийн банкны саяхны дампуурал</w:t>
            </w:r>
            <w:bookmarkEnd w:id="63"/>
          </w:p>
          <w:p w14:paraId="3A4F4FA0" w14:textId="77777777" w:rsidR="008003C7" w:rsidRDefault="008003C7">
            <w:pPr>
              <w:jc w:val="both"/>
              <w:rPr>
                <w:rFonts w:ascii="Arial" w:hAnsi="Arial" w:cs="Arial"/>
                <w:sz w:val="18"/>
              </w:rPr>
            </w:pPr>
            <w:r>
              <w:rPr>
                <w:rFonts w:ascii="Arial" w:hAnsi="Arial" w:cs="Arial"/>
                <w:sz w:val="18"/>
                <w:lang w:val="mn-MN"/>
              </w:rPr>
              <w:t>Монгол банк нь 2013 оны 7 дугаар сард Хадгаламжийн банк төлбөрийн чадваргүй болох үед өөрийн оролцоог гаргасан. Хувийн өмчит Хадгаламжийн банк нь нийт банкны хөрөнгийн 8 хувийг эзэлдэг байсан</w:t>
            </w:r>
            <w:r>
              <w:rPr>
                <w:rFonts w:ascii="Arial" w:hAnsi="Arial" w:cs="Arial"/>
                <w:sz w:val="18"/>
              </w:rPr>
              <w:t xml:space="preserve"> (</w:t>
            </w:r>
            <w:r>
              <w:rPr>
                <w:rFonts w:ascii="Arial" w:hAnsi="Arial" w:cs="Arial"/>
                <w:sz w:val="18"/>
                <w:lang w:val="mn-MN"/>
              </w:rPr>
              <w:t>тухайн улсад томоороо тавд харин таван системын чанартай банкны хамгийн жижиг нь</w:t>
            </w:r>
            <w:r>
              <w:rPr>
                <w:rFonts w:ascii="Arial" w:hAnsi="Arial" w:cs="Arial"/>
                <w:sz w:val="18"/>
              </w:rPr>
              <w:t>).</w:t>
            </w:r>
            <w:r>
              <w:rPr>
                <w:rFonts w:ascii="Arial" w:hAnsi="Arial" w:cs="Arial"/>
                <w:sz w:val="18"/>
                <w:lang w:val="mn-MN"/>
              </w:rPr>
              <w:t xml:space="preserve"> Банк нь сул корпораци, холбоотой компаниудад олгосон зээл нь төлөгдөх чадваргүй болсны үр дүнгээс дампуурсан харагдаж байна. Холбоотой талын зээл нь хөрөнгөөс 2 дахинаас илүү хэмжээгээр давж гарсан</w:t>
            </w:r>
            <w:r>
              <w:rPr>
                <w:rFonts w:ascii="Arial" w:hAnsi="Arial" w:cs="Arial"/>
                <w:sz w:val="18"/>
              </w:rPr>
              <w:t xml:space="preserve"> (</w:t>
            </w:r>
            <w:r>
              <w:rPr>
                <w:rFonts w:ascii="Arial" w:hAnsi="Arial" w:cs="Arial"/>
                <w:sz w:val="18"/>
                <w:lang w:val="mn-MN"/>
              </w:rPr>
              <w:t>хамааралтай талуудад өгөх зээлийн хөрөнгийн хязгаарлалт нь 20 хувь, банкны хамааралтай талуудад өгөх зээлийн хязгаарлалт нь 5 хувь</w:t>
            </w:r>
            <w:r>
              <w:rPr>
                <w:rFonts w:ascii="Arial" w:hAnsi="Arial" w:cs="Arial"/>
                <w:sz w:val="18"/>
              </w:rPr>
              <w:t>).</w:t>
            </w:r>
            <w:r>
              <w:rPr>
                <w:rFonts w:ascii="Arial" w:hAnsi="Arial" w:cs="Arial"/>
                <w:sz w:val="18"/>
                <w:lang w:val="mn-MN"/>
              </w:rPr>
              <w:t xml:space="preserve"> Хадгаламж банк нь сүүлийн хоёр жилийн хугацаанд МБ</w:t>
            </w:r>
            <w:r>
              <w:rPr>
                <w:rFonts w:ascii="Arial" w:hAnsi="Arial" w:cs="Arial"/>
                <w:sz w:val="18"/>
              </w:rPr>
              <w:t>-</w:t>
            </w:r>
            <w:r>
              <w:rPr>
                <w:rFonts w:ascii="Arial" w:hAnsi="Arial" w:cs="Arial"/>
                <w:sz w:val="18"/>
                <w:lang w:val="mn-MN"/>
              </w:rPr>
              <w:t>ны хяналт, шалгалтын тусгай хөтөлбөрийн хүрээнд үйл ажиллагаагаа явуулж байсан боловч дотоод</w:t>
            </w:r>
            <w:r>
              <w:rPr>
                <w:rFonts w:ascii="Arial" w:hAnsi="Arial" w:cs="Arial"/>
                <w:sz w:val="18"/>
              </w:rPr>
              <w:t>/</w:t>
            </w:r>
            <w:r>
              <w:rPr>
                <w:rFonts w:ascii="Arial" w:hAnsi="Arial" w:cs="Arial"/>
                <w:sz w:val="18"/>
                <w:lang w:val="mn-MN"/>
              </w:rPr>
              <w:t xml:space="preserve">асуудлыг багасгаж чадаагүй бөгөөд түүний хөрөнгийн хүрэлцээтэй байдлыг сэргээж чадаагүй юм. </w:t>
            </w:r>
          </w:p>
          <w:p w14:paraId="0FAE6E51" w14:textId="77777777" w:rsidR="008003C7" w:rsidRDefault="008003C7">
            <w:pPr>
              <w:jc w:val="both"/>
              <w:rPr>
                <w:rFonts w:ascii="Arial" w:hAnsi="Arial" w:cs="Arial"/>
                <w:sz w:val="18"/>
              </w:rPr>
            </w:pPr>
          </w:p>
          <w:p w14:paraId="31CACDF4" w14:textId="77777777" w:rsidR="008003C7" w:rsidRDefault="008003C7">
            <w:pPr>
              <w:jc w:val="both"/>
              <w:rPr>
                <w:rFonts w:ascii="Arial" w:hAnsi="Arial" w:cs="Arial"/>
                <w:sz w:val="18"/>
              </w:rPr>
            </w:pPr>
            <w:r>
              <w:rPr>
                <w:rFonts w:ascii="Arial" w:hAnsi="Arial" w:cs="Arial"/>
                <w:sz w:val="18"/>
                <w:lang w:val="mn-MN"/>
              </w:rPr>
              <w:t xml:space="preserve">Хадгаламж банк нь хүлээн авагчид очсон. Холбоотой талуудын чанаргүй зээл болох 160 тэрбум төгрөг, бусад асуудалтай холбоотой 20 тэрбум төгрөгөөс бусад </w:t>
            </w:r>
            <w:r>
              <w:rPr>
                <w:rFonts w:ascii="Arial" w:hAnsi="Arial" w:cs="Arial"/>
                <w:sz w:val="18"/>
              </w:rPr>
              <w:t>(</w:t>
            </w:r>
            <w:r>
              <w:rPr>
                <w:rFonts w:ascii="Arial" w:hAnsi="Arial" w:cs="Arial"/>
                <w:sz w:val="18"/>
                <w:lang w:val="mn-MN"/>
              </w:rPr>
              <w:t>хүлээн авагчид үлдсэн</w:t>
            </w:r>
            <w:r>
              <w:rPr>
                <w:rFonts w:ascii="Arial" w:hAnsi="Arial" w:cs="Arial"/>
                <w:sz w:val="18"/>
              </w:rPr>
              <w:t xml:space="preserve">), </w:t>
            </w:r>
            <w:r>
              <w:rPr>
                <w:rFonts w:ascii="Arial" w:hAnsi="Arial" w:cs="Arial"/>
                <w:sz w:val="18"/>
                <w:lang w:val="mn-MN"/>
              </w:rPr>
              <w:t xml:space="preserve">Хадгаламж банкны бүх хөрөнгө, өр төлбөр нь ажиллагсад, </w:t>
            </w:r>
            <w:r>
              <w:rPr>
                <w:rFonts w:ascii="Arial" w:hAnsi="Arial" w:cs="Arial"/>
                <w:sz w:val="18"/>
              </w:rPr>
              <w:t>IT</w:t>
            </w:r>
            <w:r>
              <w:rPr>
                <w:rFonts w:ascii="Arial" w:hAnsi="Arial" w:cs="Arial"/>
                <w:sz w:val="18"/>
                <w:lang w:val="mn-MN"/>
              </w:rPr>
              <w:t xml:space="preserve"> систем, бусад биет бус хөрөнгүүдийн хамт Төрийн банкинд шилжсэн бөгөөд худалдан авалт болон үйл ажиллагааны ажил гүйлгээг МБ болон СЯ хамтран зохион байгуулсан. </w:t>
            </w:r>
          </w:p>
          <w:p w14:paraId="1288C3B8" w14:textId="77777777" w:rsidR="008003C7" w:rsidRDefault="008003C7">
            <w:pPr>
              <w:jc w:val="both"/>
              <w:rPr>
                <w:rFonts w:ascii="Arial" w:hAnsi="Arial" w:cs="Arial"/>
                <w:sz w:val="18"/>
              </w:rPr>
            </w:pPr>
            <w:r>
              <w:rPr>
                <w:rFonts w:ascii="Arial" w:hAnsi="Arial" w:cs="Arial"/>
                <w:sz w:val="18"/>
                <w:lang w:val="mn-MN"/>
              </w:rPr>
              <w:t>Удирдлагуудын зоригтой шийдэл нь тогтолцоонд бүхэлд нь итгэл алдах гэнэтийн шокоос хамгаалж чадсан. Банкны тогтолцоонд байгаа хадгаламжууд нь ажил гүйлгээний дараах үе шатандаа үлдсэн. Гэвч түүний зардлыг Хадгаламж банкны хөрөнгө, өр төлбөрийг өвлөн авсан Төрийн банкны зарлагаар хийгдэж, Монгол улсын Хадгаламжийн Даатгалын Корпораци эсвэл түүний эзэмшигч болох засгийн газрын оролцоогүйгээр хийгдсэн. Төрийн банкны хөрөнгийн хүрэлцээ 18</w:t>
            </w:r>
            <w:r>
              <w:rPr>
                <w:rFonts w:ascii="Arial" w:hAnsi="Arial" w:cs="Arial"/>
                <w:sz w:val="18"/>
              </w:rPr>
              <w:t>%</w:t>
            </w:r>
            <w:r>
              <w:rPr>
                <w:rFonts w:ascii="Arial" w:hAnsi="Arial" w:cs="Arial"/>
                <w:sz w:val="18"/>
                <w:lang w:val="mn-MN"/>
              </w:rPr>
              <w:t xml:space="preserve"> хүрэхэд 205 тэрбум төгрөг хэрэгтэй гэж тооцоолсон. Удирдлагууд одоогоор Төрийн банкыг дахин хөрөнгөжүлэх хувилбаруудыг бий болгосон</w:t>
            </w:r>
            <w:r>
              <w:rPr>
                <w:rFonts w:ascii="Arial" w:hAnsi="Arial" w:cs="Arial"/>
                <w:sz w:val="18"/>
              </w:rPr>
              <w:t xml:space="preserve"> (</w:t>
            </w:r>
            <w:r>
              <w:rPr>
                <w:rFonts w:ascii="Arial" w:hAnsi="Arial" w:cs="Arial"/>
                <w:sz w:val="18"/>
                <w:lang w:val="mn-MN"/>
              </w:rPr>
              <w:t>Хүснэгт</w:t>
            </w:r>
            <w:r>
              <w:rPr>
                <w:rFonts w:ascii="Arial" w:hAnsi="Arial" w:cs="Arial"/>
                <w:sz w:val="18"/>
              </w:rPr>
              <w:t xml:space="preserve"> 2).</w:t>
            </w:r>
          </w:p>
          <w:p w14:paraId="74824F73" w14:textId="77777777" w:rsidR="008003C7" w:rsidRPr="00630B23" w:rsidRDefault="008003C7">
            <w:pPr>
              <w:pStyle w:val="Caption"/>
              <w:keepNext/>
              <w:rPr>
                <w:rFonts w:ascii="Arial" w:hAnsi="Arial" w:cs="Arial"/>
              </w:rPr>
            </w:pPr>
            <w:bookmarkStart w:id="64" w:name="_Toc371338972"/>
            <w:r w:rsidRPr="00630B23">
              <w:rPr>
                <w:rFonts w:ascii="Arial" w:hAnsi="Arial" w:cs="Arial"/>
                <w:lang w:val="mn-MN"/>
              </w:rPr>
              <w:t xml:space="preserve">Хүснэгт </w:t>
            </w:r>
            <w:r w:rsidRPr="00630B23">
              <w:rPr>
                <w:rFonts w:ascii="Arial" w:hAnsi="Arial" w:cs="Arial"/>
              </w:rPr>
              <w:fldChar w:fldCharType="begin"/>
            </w:r>
            <w:r w:rsidRPr="00630B23">
              <w:rPr>
                <w:rFonts w:ascii="Arial" w:hAnsi="Arial" w:cs="Arial"/>
              </w:rPr>
              <w:instrText xml:space="preserve"> SEQ Table \* ARABIC </w:instrText>
            </w:r>
            <w:r w:rsidRPr="00630B23">
              <w:rPr>
                <w:rFonts w:ascii="Arial" w:hAnsi="Arial" w:cs="Arial"/>
              </w:rPr>
              <w:fldChar w:fldCharType="separate"/>
            </w:r>
            <w:r w:rsidRPr="00630B23">
              <w:rPr>
                <w:rFonts w:ascii="Arial" w:hAnsi="Arial" w:cs="Arial"/>
                <w:noProof/>
              </w:rPr>
              <w:t>2</w:t>
            </w:r>
            <w:r w:rsidRPr="00630B23">
              <w:rPr>
                <w:rFonts w:ascii="Arial" w:hAnsi="Arial" w:cs="Arial"/>
              </w:rPr>
              <w:fldChar w:fldCharType="end"/>
            </w:r>
            <w:r w:rsidRPr="00630B23">
              <w:rPr>
                <w:rFonts w:ascii="Arial" w:hAnsi="Arial" w:cs="Arial"/>
              </w:rPr>
              <w:t xml:space="preserve">. </w:t>
            </w:r>
            <w:r w:rsidRPr="00630B23">
              <w:rPr>
                <w:rFonts w:ascii="Arial" w:hAnsi="Arial" w:cs="Arial"/>
                <w:lang w:val="mn-MN"/>
              </w:rPr>
              <w:t>Төрийн банкны баланс</w:t>
            </w:r>
            <w:r w:rsidRPr="00630B23">
              <w:rPr>
                <w:rFonts w:ascii="Arial" w:hAnsi="Arial" w:cs="Arial"/>
              </w:rPr>
              <w:t xml:space="preserve">: </w:t>
            </w:r>
            <w:r w:rsidRPr="00630B23">
              <w:rPr>
                <w:rFonts w:ascii="Arial" w:hAnsi="Arial" w:cs="Arial"/>
                <w:lang w:val="mn-MN"/>
              </w:rPr>
              <w:t>Хадгаламжийн банкны үйл ажиллагааг шилжүүлэхээс өмнө болон дараа нь</w:t>
            </w:r>
            <w:bookmarkEnd w:id="64"/>
          </w:p>
          <w:tbl>
            <w:tblPr>
              <w:tblW w:w="0" w:type="auto"/>
              <w:tblLook w:val="04A0" w:firstRow="1" w:lastRow="0" w:firstColumn="1" w:lastColumn="0" w:noHBand="0" w:noVBand="1"/>
            </w:tblPr>
            <w:tblGrid>
              <w:gridCol w:w="1975"/>
              <w:gridCol w:w="1710"/>
              <w:gridCol w:w="3258"/>
              <w:gridCol w:w="2273"/>
            </w:tblGrid>
            <w:tr w:rsidR="008003C7" w14:paraId="47FFB820" w14:textId="77777777">
              <w:trPr>
                <w:trHeight w:val="386"/>
              </w:trPr>
              <w:tc>
                <w:tcPr>
                  <w:tcW w:w="1975" w:type="dxa"/>
                  <w:tcBorders>
                    <w:top w:val="single" w:sz="4" w:space="0" w:color="auto"/>
                    <w:left w:val="single" w:sz="4" w:space="0" w:color="auto"/>
                    <w:bottom w:val="single" w:sz="4" w:space="0" w:color="auto"/>
                    <w:right w:val="single" w:sz="4" w:space="0" w:color="auto"/>
                  </w:tcBorders>
                  <w:vAlign w:val="center"/>
                </w:tcPr>
                <w:p w14:paraId="462EF38D" w14:textId="77777777" w:rsidR="008003C7" w:rsidRDefault="008003C7" w:rsidP="00630B23">
                  <w:pPr>
                    <w:spacing w:after="0" w:line="240" w:lineRule="auto"/>
                    <w:jc w:val="both"/>
                    <w:rPr>
                      <w:rFonts w:ascii="Arial" w:hAnsi="Arial" w:cs="Arial"/>
                      <w:sz w:val="18"/>
                    </w:rPr>
                  </w:pPr>
                </w:p>
              </w:tc>
              <w:tc>
                <w:tcPr>
                  <w:tcW w:w="1710" w:type="dxa"/>
                  <w:tcBorders>
                    <w:top w:val="single" w:sz="4" w:space="0" w:color="auto"/>
                    <w:left w:val="single" w:sz="4" w:space="0" w:color="auto"/>
                    <w:bottom w:val="single" w:sz="4" w:space="0" w:color="auto"/>
                    <w:right w:val="single" w:sz="4" w:space="0" w:color="auto"/>
                  </w:tcBorders>
                  <w:vAlign w:val="center"/>
                  <w:hideMark/>
                </w:tcPr>
                <w:p w14:paraId="12423CF8" w14:textId="77777777" w:rsidR="008003C7" w:rsidRPr="00630B23" w:rsidRDefault="008003C7" w:rsidP="00630B23">
                  <w:pPr>
                    <w:spacing w:after="0" w:line="240" w:lineRule="auto"/>
                    <w:jc w:val="both"/>
                    <w:rPr>
                      <w:rFonts w:ascii="Arial" w:hAnsi="Arial" w:cs="Arial"/>
                      <w:sz w:val="18"/>
                    </w:rPr>
                  </w:pPr>
                  <w:r w:rsidRPr="00630B23">
                    <w:rPr>
                      <w:rFonts w:ascii="Arial" w:hAnsi="Arial" w:cs="Arial"/>
                      <w:sz w:val="18"/>
                    </w:rPr>
                    <w:t>Гүйлгээнээс өмнөх Төрийн банк</w:t>
                  </w:r>
                </w:p>
              </w:tc>
              <w:tc>
                <w:tcPr>
                  <w:tcW w:w="3258" w:type="dxa"/>
                  <w:tcBorders>
                    <w:top w:val="single" w:sz="4" w:space="0" w:color="auto"/>
                    <w:left w:val="single" w:sz="4" w:space="0" w:color="auto"/>
                    <w:bottom w:val="single" w:sz="4" w:space="0" w:color="auto"/>
                    <w:right w:val="single" w:sz="4" w:space="0" w:color="auto"/>
                  </w:tcBorders>
                  <w:vAlign w:val="center"/>
                  <w:hideMark/>
                </w:tcPr>
                <w:p w14:paraId="1229BA48" w14:textId="77777777" w:rsidR="008003C7" w:rsidRDefault="008003C7">
                  <w:pPr>
                    <w:jc w:val="center"/>
                    <w:rPr>
                      <w:rFonts w:ascii="Arial" w:hAnsi="Arial" w:cs="Arial"/>
                      <w:sz w:val="18"/>
                    </w:rPr>
                  </w:pPr>
                  <w:r w:rsidRPr="00630B23">
                    <w:rPr>
                      <w:rFonts w:ascii="Arial" w:hAnsi="Arial" w:cs="Arial"/>
                      <w:sz w:val="18"/>
                    </w:rPr>
                    <w:t xml:space="preserve">Гүйлгээнд байсан Хадгаламжийн банк </w:t>
                  </w:r>
                </w:p>
              </w:tc>
              <w:tc>
                <w:tcPr>
                  <w:tcW w:w="2273" w:type="dxa"/>
                  <w:tcBorders>
                    <w:top w:val="single" w:sz="4" w:space="0" w:color="auto"/>
                    <w:left w:val="single" w:sz="4" w:space="0" w:color="auto"/>
                    <w:bottom w:val="single" w:sz="4" w:space="0" w:color="auto"/>
                    <w:right w:val="single" w:sz="4" w:space="0" w:color="auto"/>
                  </w:tcBorders>
                  <w:vAlign w:val="center"/>
                  <w:hideMark/>
                </w:tcPr>
                <w:p w14:paraId="65DC1ADF" w14:textId="77777777" w:rsidR="008003C7" w:rsidRDefault="008003C7">
                  <w:pPr>
                    <w:jc w:val="center"/>
                    <w:rPr>
                      <w:rFonts w:ascii="Arial" w:hAnsi="Arial" w:cs="Arial"/>
                      <w:sz w:val="18"/>
                    </w:rPr>
                  </w:pPr>
                  <w:r w:rsidRPr="00630B23">
                    <w:rPr>
                      <w:rFonts w:ascii="Arial" w:hAnsi="Arial" w:cs="Arial"/>
                      <w:sz w:val="18"/>
                    </w:rPr>
                    <w:t>Гүйлгээний дараах Төрийн банк</w:t>
                  </w:r>
                </w:p>
              </w:tc>
            </w:tr>
            <w:tr w:rsidR="008003C7" w14:paraId="4056C63C" w14:textId="77777777">
              <w:trPr>
                <w:trHeight w:val="314"/>
              </w:trPr>
              <w:tc>
                <w:tcPr>
                  <w:tcW w:w="1975" w:type="dxa"/>
                  <w:tcBorders>
                    <w:top w:val="single" w:sz="4" w:space="0" w:color="auto"/>
                    <w:left w:val="single" w:sz="4" w:space="0" w:color="auto"/>
                    <w:bottom w:val="single" w:sz="4" w:space="0" w:color="auto"/>
                    <w:right w:val="single" w:sz="4" w:space="0" w:color="auto"/>
                  </w:tcBorders>
                  <w:vAlign w:val="center"/>
                  <w:hideMark/>
                </w:tcPr>
                <w:p w14:paraId="384778AB" w14:textId="77777777" w:rsidR="008003C7" w:rsidRDefault="008003C7" w:rsidP="00630B23">
                  <w:pPr>
                    <w:spacing w:after="0" w:line="240" w:lineRule="auto"/>
                    <w:jc w:val="both"/>
                    <w:rPr>
                      <w:rFonts w:ascii="Arial" w:hAnsi="Arial" w:cs="Arial"/>
                      <w:sz w:val="18"/>
                    </w:rPr>
                  </w:pPr>
                  <w:r w:rsidRPr="00630B23">
                    <w:rPr>
                      <w:rFonts w:ascii="Arial" w:hAnsi="Arial" w:cs="Arial"/>
                      <w:sz w:val="18"/>
                    </w:rPr>
                    <w:t>Хөрөнгө</w:t>
                  </w:r>
                  <w:r>
                    <w:rPr>
                      <w:rFonts w:ascii="Arial" w:hAnsi="Arial" w:cs="Arial"/>
                      <w:sz w:val="18"/>
                    </w:rPr>
                    <w:t xml:space="preserve"> ( </w:t>
                  </w:r>
                  <w:r w:rsidRPr="00630B23">
                    <w:rPr>
                      <w:rFonts w:ascii="Arial" w:hAnsi="Arial" w:cs="Arial"/>
                      <w:sz w:val="18"/>
                    </w:rPr>
                    <w:t>тэрбум төгрөг</w:t>
                  </w:r>
                  <w:r>
                    <w:rPr>
                      <w:rFonts w:ascii="Arial" w:hAnsi="Arial" w:cs="Arial"/>
                      <w:sz w:val="18"/>
                    </w:rPr>
                    <w:t>*)</w:t>
                  </w:r>
                </w:p>
              </w:tc>
              <w:tc>
                <w:tcPr>
                  <w:tcW w:w="1710" w:type="dxa"/>
                  <w:tcBorders>
                    <w:top w:val="single" w:sz="4" w:space="0" w:color="auto"/>
                    <w:left w:val="single" w:sz="4" w:space="0" w:color="auto"/>
                    <w:bottom w:val="single" w:sz="4" w:space="0" w:color="auto"/>
                    <w:right w:val="single" w:sz="4" w:space="0" w:color="auto"/>
                  </w:tcBorders>
                  <w:vAlign w:val="center"/>
                  <w:hideMark/>
                </w:tcPr>
                <w:p w14:paraId="28ED182E" w14:textId="77777777" w:rsidR="008003C7" w:rsidRDefault="008003C7" w:rsidP="00630B23">
                  <w:pPr>
                    <w:spacing w:after="0" w:line="240" w:lineRule="auto"/>
                    <w:jc w:val="center"/>
                    <w:rPr>
                      <w:rFonts w:ascii="Arial" w:hAnsi="Arial" w:cs="Arial"/>
                      <w:sz w:val="18"/>
                    </w:rPr>
                  </w:pPr>
                  <w:r>
                    <w:rPr>
                      <w:rFonts w:ascii="Arial" w:hAnsi="Arial" w:cs="Arial"/>
                      <w:sz w:val="18"/>
                    </w:rPr>
                    <w:t>330</w:t>
                  </w:r>
                </w:p>
              </w:tc>
              <w:tc>
                <w:tcPr>
                  <w:tcW w:w="3258" w:type="dxa"/>
                  <w:tcBorders>
                    <w:top w:val="single" w:sz="4" w:space="0" w:color="auto"/>
                    <w:left w:val="single" w:sz="4" w:space="0" w:color="auto"/>
                    <w:bottom w:val="single" w:sz="4" w:space="0" w:color="auto"/>
                    <w:right w:val="single" w:sz="4" w:space="0" w:color="auto"/>
                  </w:tcBorders>
                  <w:vAlign w:val="center"/>
                  <w:hideMark/>
                </w:tcPr>
                <w:p w14:paraId="2AC5714E" w14:textId="77777777" w:rsidR="008003C7" w:rsidRDefault="008003C7" w:rsidP="00630B23">
                  <w:pPr>
                    <w:spacing w:after="0" w:line="240" w:lineRule="auto"/>
                    <w:jc w:val="center"/>
                    <w:rPr>
                      <w:rFonts w:ascii="Arial" w:hAnsi="Arial" w:cs="Arial"/>
                      <w:sz w:val="18"/>
                    </w:rPr>
                  </w:pPr>
                  <w:r>
                    <w:rPr>
                      <w:rFonts w:ascii="Arial" w:hAnsi="Arial" w:cs="Arial"/>
                      <w:sz w:val="18"/>
                    </w:rPr>
                    <w:t>~1,070</w:t>
                  </w:r>
                </w:p>
              </w:tc>
              <w:tc>
                <w:tcPr>
                  <w:tcW w:w="2273" w:type="dxa"/>
                  <w:tcBorders>
                    <w:top w:val="single" w:sz="4" w:space="0" w:color="auto"/>
                    <w:left w:val="single" w:sz="4" w:space="0" w:color="auto"/>
                    <w:bottom w:val="single" w:sz="4" w:space="0" w:color="auto"/>
                    <w:right w:val="single" w:sz="4" w:space="0" w:color="auto"/>
                  </w:tcBorders>
                  <w:vAlign w:val="center"/>
                  <w:hideMark/>
                </w:tcPr>
                <w:p w14:paraId="739899F2" w14:textId="77777777" w:rsidR="008003C7" w:rsidRDefault="008003C7" w:rsidP="00630B23">
                  <w:pPr>
                    <w:spacing w:after="0" w:line="240" w:lineRule="auto"/>
                    <w:jc w:val="center"/>
                    <w:rPr>
                      <w:rFonts w:ascii="Arial" w:hAnsi="Arial" w:cs="Arial"/>
                      <w:sz w:val="18"/>
                    </w:rPr>
                  </w:pPr>
                  <w:r>
                    <w:rPr>
                      <w:rFonts w:ascii="Arial" w:hAnsi="Arial" w:cs="Arial"/>
                      <w:sz w:val="18"/>
                    </w:rPr>
                    <w:t>~1,400</w:t>
                  </w:r>
                </w:p>
              </w:tc>
            </w:tr>
            <w:tr w:rsidR="008003C7" w14:paraId="2792D8AC" w14:textId="77777777">
              <w:trPr>
                <w:trHeight w:val="350"/>
              </w:trPr>
              <w:tc>
                <w:tcPr>
                  <w:tcW w:w="1975" w:type="dxa"/>
                  <w:tcBorders>
                    <w:top w:val="single" w:sz="4" w:space="0" w:color="auto"/>
                    <w:left w:val="single" w:sz="4" w:space="0" w:color="auto"/>
                    <w:bottom w:val="single" w:sz="4" w:space="0" w:color="auto"/>
                    <w:right w:val="single" w:sz="4" w:space="0" w:color="auto"/>
                  </w:tcBorders>
                  <w:vAlign w:val="center"/>
                  <w:hideMark/>
                </w:tcPr>
                <w:p w14:paraId="5BFFC63C" w14:textId="77777777" w:rsidR="008003C7" w:rsidRDefault="008003C7" w:rsidP="00630B23">
                  <w:pPr>
                    <w:spacing w:after="0" w:line="240" w:lineRule="auto"/>
                    <w:jc w:val="both"/>
                    <w:rPr>
                      <w:rFonts w:ascii="Arial" w:hAnsi="Arial" w:cs="Arial"/>
                      <w:sz w:val="18"/>
                    </w:rPr>
                  </w:pPr>
                  <w:r w:rsidRPr="00630B23">
                    <w:rPr>
                      <w:rFonts w:ascii="Arial" w:hAnsi="Arial" w:cs="Arial"/>
                      <w:sz w:val="18"/>
                    </w:rPr>
                    <w:t>Хөрөнгө</w:t>
                  </w:r>
                  <w:r>
                    <w:rPr>
                      <w:rFonts w:ascii="Arial" w:hAnsi="Arial" w:cs="Arial"/>
                      <w:sz w:val="18"/>
                    </w:rPr>
                    <w:t xml:space="preserve"> ( </w:t>
                  </w:r>
                  <w:r w:rsidRPr="00630B23">
                    <w:rPr>
                      <w:rFonts w:ascii="Arial" w:hAnsi="Arial" w:cs="Arial"/>
                      <w:sz w:val="18"/>
                    </w:rPr>
                    <w:t>сая ам.доллар</w:t>
                  </w:r>
                  <w:r>
                    <w:rPr>
                      <w:rFonts w:ascii="Arial" w:hAnsi="Arial" w:cs="Arial"/>
                      <w:sz w:val="18"/>
                    </w:rPr>
                    <w:t>)</w:t>
                  </w:r>
                </w:p>
              </w:tc>
              <w:tc>
                <w:tcPr>
                  <w:tcW w:w="1710" w:type="dxa"/>
                  <w:tcBorders>
                    <w:top w:val="single" w:sz="4" w:space="0" w:color="auto"/>
                    <w:left w:val="single" w:sz="4" w:space="0" w:color="auto"/>
                    <w:bottom w:val="single" w:sz="4" w:space="0" w:color="auto"/>
                    <w:right w:val="single" w:sz="4" w:space="0" w:color="auto"/>
                  </w:tcBorders>
                  <w:vAlign w:val="center"/>
                  <w:hideMark/>
                </w:tcPr>
                <w:p w14:paraId="7E64CED9" w14:textId="77777777" w:rsidR="008003C7" w:rsidRDefault="008003C7" w:rsidP="00630B23">
                  <w:pPr>
                    <w:spacing w:after="0" w:line="240" w:lineRule="auto"/>
                    <w:jc w:val="center"/>
                    <w:rPr>
                      <w:rFonts w:ascii="Arial" w:hAnsi="Arial" w:cs="Arial"/>
                      <w:sz w:val="18"/>
                    </w:rPr>
                  </w:pPr>
                  <w:r>
                    <w:rPr>
                      <w:rFonts w:ascii="Arial" w:hAnsi="Arial" w:cs="Arial"/>
                      <w:sz w:val="18"/>
                    </w:rPr>
                    <w:t>~200</w:t>
                  </w:r>
                </w:p>
              </w:tc>
              <w:tc>
                <w:tcPr>
                  <w:tcW w:w="3258" w:type="dxa"/>
                  <w:tcBorders>
                    <w:top w:val="single" w:sz="4" w:space="0" w:color="auto"/>
                    <w:left w:val="single" w:sz="4" w:space="0" w:color="auto"/>
                    <w:bottom w:val="single" w:sz="4" w:space="0" w:color="auto"/>
                    <w:right w:val="single" w:sz="4" w:space="0" w:color="auto"/>
                  </w:tcBorders>
                  <w:vAlign w:val="center"/>
                  <w:hideMark/>
                </w:tcPr>
                <w:p w14:paraId="7C605FFA" w14:textId="77777777" w:rsidR="008003C7" w:rsidRDefault="008003C7" w:rsidP="00630B23">
                  <w:pPr>
                    <w:spacing w:after="0" w:line="240" w:lineRule="auto"/>
                    <w:jc w:val="center"/>
                    <w:rPr>
                      <w:rFonts w:ascii="Arial" w:hAnsi="Arial" w:cs="Arial"/>
                      <w:sz w:val="18"/>
                    </w:rPr>
                  </w:pPr>
                  <w:r>
                    <w:rPr>
                      <w:rFonts w:ascii="Arial" w:hAnsi="Arial" w:cs="Arial"/>
                      <w:sz w:val="18"/>
                    </w:rPr>
                    <w:t>~640</w:t>
                  </w:r>
                </w:p>
              </w:tc>
              <w:tc>
                <w:tcPr>
                  <w:tcW w:w="2273" w:type="dxa"/>
                  <w:tcBorders>
                    <w:top w:val="single" w:sz="4" w:space="0" w:color="auto"/>
                    <w:left w:val="single" w:sz="4" w:space="0" w:color="auto"/>
                    <w:bottom w:val="single" w:sz="4" w:space="0" w:color="auto"/>
                    <w:right w:val="single" w:sz="4" w:space="0" w:color="auto"/>
                  </w:tcBorders>
                  <w:vAlign w:val="center"/>
                  <w:hideMark/>
                </w:tcPr>
                <w:p w14:paraId="184EF17C" w14:textId="77777777" w:rsidR="008003C7" w:rsidRDefault="008003C7" w:rsidP="00630B23">
                  <w:pPr>
                    <w:spacing w:after="0" w:line="240" w:lineRule="auto"/>
                    <w:jc w:val="center"/>
                    <w:rPr>
                      <w:rFonts w:ascii="Arial" w:hAnsi="Arial" w:cs="Arial"/>
                      <w:sz w:val="18"/>
                    </w:rPr>
                  </w:pPr>
                  <w:r>
                    <w:rPr>
                      <w:rFonts w:ascii="Arial" w:hAnsi="Arial" w:cs="Arial"/>
                      <w:sz w:val="18"/>
                    </w:rPr>
                    <w:t>~840</w:t>
                  </w:r>
                </w:p>
              </w:tc>
            </w:tr>
            <w:tr w:rsidR="008003C7" w14:paraId="5CF50421" w14:textId="77777777">
              <w:trPr>
                <w:trHeight w:val="341"/>
              </w:trPr>
              <w:tc>
                <w:tcPr>
                  <w:tcW w:w="1975" w:type="dxa"/>
                  <w:tcBorders>
                    <w:top w:val="single" w:sz="4" w:space="0" w:color="auto"/>
                    <w:left w:val="single" w:sz="4" w:space="0" w:color="auto"/>
                    <w:bottom w:val="single" w:sz="4" w:space="0" w:color="auto"/>
                    <w:right w:val="single" w:sz="4" w:space="0" w:color="auto"/>
                  </w:tcBorders>
                  <w:vAlign w:val="center"/>
                  <w:hideMark/>
                </w:tcPr>
                <w:p w14:paraId="478F01EB" w14:textId="77777777" w:rsidR="008003C7" w:rsidRPr="00630B23" w:rsidRDefault="008003C7" w:rsidP="00630B23">
                  <w:pPr>
                    <w:spacing w:after="0" w:line="240" w:lineRule="auto"/>
                    <w:jc w:val="both"/>
                    <w:rPr>
                      <w:rFonts w:ascii="Arial" w:hAnsi="Arial" w:cs="Arial"/>
                      <w:sz w:val="18"/>
                    </w:rPr>
                  </w:pPr>
                  <w:r w:rsidRPr="00630B23">
                    <w:rPr>
                      <w:rFonts w:ascii="Arial" w:hAnsi="Arial" w:cs="Arial"/>
                      <w:sz w:val="18"/>
                    </w:rPr>
                    <w:t>Ажиллагсадын тоо</w:t>
                  </w:r>
                </w:p>
              </w:tc>
              <w:tc>
                <w:tcPr>
                  <w:tcW w:w="1710" w:type="dxa"/>
                  <w:tcBorders>
                    <w:top w:val="single" w:sz="4" w:space="0" w:color="auto"/>
                    <w:left w:val="single" w:sz="4" w:space="0" w:color="auto"/>
                    <w:bottom w:val="single" w:sz="4" w:space="0" w:color="auto"/>
                    <w:right w:val="single" w:sz="4" w:space="0" w:color="auto"/>
                  </w:tcBorders>
                  <w:vAlign w:val="center"/>
                  <w:hideMark/>
                </w:tcPr>
                <w:p w14:paraId="5449807E" w14:textId="77777777" w:rsidR="008003C7" w:rsidRDefault="008003C7" w:rsidP="00630B23">
                  <w:pPr>
                    <w:spacing w:after="0" w:line="240" w:lineRule="auto"/>
                    <w:jc w:val="center"/>
                    <w:rPr>
                      <w:rFonts w:ascii="Arial" w:hAnsi="Arial" w:cs="Arial"/>
                      <w:sz w:val="18"/>
                    </w:rPr>
                  </w:pPr>
                  <w:r>
                    <w:rPr>
                      <w:rFonts w:ascii="Arial" w:hAnsi="Arial" w:cs="Arial"/>
                      <w:sz w:val="18"/>
                    </w:rPr>
                    <w:t>~400</w:t>
                  </w:r>
                </w:p>
              </w:tc>
              <w:tc>
                <w:tcPr>
                  <w:tcW w:w="3258" w:type="dxa"/>
                  <w:tcBorders>
                    <w:top w:val="single" w:sz="4" w:space="0" w:color="auto"/>
                    <w:left w:val="single" w:sz="4" w:space="0" w:color="auto"/>
                    <w:bottom w:val="single" w:sz="4" w:space="0" w:color="auto"/>
                    <w:right w:val="single" w:sz="4" w:space="0" w:color="auto"/>
                  </w:tcBorders>
                  <w:vAlign w:val="center"/>
                  <w:hideMark/>
                </w:tcPr>
                <w:p w14:paraId="22D33FBC" w14:textId="77777777" w:rsidR="008003C7" w:rsidRDefault="008003C7" w:rsidP="00630B23">
                  <w:pPr>
                    <w:spacing w:after="0" w:line="240" w:lineRule="auto"/>
                    <w:jc w:val="center"/>
                    <w:rPr>
                      <w:rFonts w:ascii="Arial" w:hAnsi="Arial" w:cs="Arial"/>
                      <w:sz w:val="18"/>
                    </w:rPr>
                  </w:pPr>
                  <w:r>
                    <w:rPr>
                      <w:rFonts w:ascii="Arial" w:hAnsi="Arial" w:cs="Arial"/>
                      <w:sz w:val="18"/>
                    </w:rPr>
                    <w:t>~3,300</w:t>
                  </w:r>
                </w:p>
              </w:tc>
              <w:tc>
                <w:tcPr>
                  <w:tcW w:w="2273" w:type="dxa"/>
                  <w:tcBorders>
                    <w:top w:val="single" w:sz="4" w:space="0" w:color="auto"/>
                    <w:left w:val="single" w:sz="4" w:space="0" w:color="auto"/>
                    <w:bottom w:val="single" w:sz="4" w:space="0" w:color="auto"/>
                    <w:right w:val="single" w:sz="4" w:space="0" w:color="auto"/>
                  </w:tcBorders>
                  <w:vAlign w:val="center"/>
                  <w:hideMark/>
                </w:tcPr>
                <w:p w14:paraId="1D40E099" w14:textId="77777777" w:rsidR="008003C7" w:rsidRDefault="008003C7" w:rsidP="00630B23">
                  <w:pPr>
                    <w:spacing w:after="0" w:line="240" w:lineRule="auto"/>
                    <w:jc w:val="center"/>
                    <w:rPr>
                      <w:rFonts w:ascii="Arial" w:hAnsi="Arial" w:cs="Arial"/>
                      <w:sz w:val="18"/>
                    </w:rPr>
                  </w:pPr>
                  <w:r>
                    <w:rPr>
                      <w:rFonts w:ascii="Arial" w:hAnsi="Arial" w:cs="Arial"/>
                      <w:sz w:val="18"/>
                    </w:rPr>
                    <w:t>~3,700</w:t>
                  </w:r>
                </w:p>
              </w:tc>
            </w:tr>
            <w:tr w:rsidR="008003C7" w14:paraId="788A8AEC" w14:textId="77777777">
              <w:trPr>
                <w:trHeight w:val="359"/>
              </w:trPr>
              <w:tc>
                <w:tcPr>
                  <w:tcW w:w="1975" w:type="dxa"/>
                  <w:tcBorders>
                    <w:top w:val="single" w:sz="4" w:space="0" w:color="auto"/>
                    <w:left w:val="single" w:sz="4" w:space="0" w:color="auto"/>
                    <w:bottom w:val="single" w:sz="4" w:space="0" w:color="auto"/>
                    <w:right w:val="single" w:sz="4" w:space="0" w:color="auto"/>
                  </w:tcBorders>
                  <w:vAlign w:val="center"/>
                  <w:hideMark/>
                </w:tcPr>
                <w:p w14:paraId="3EAC48D2" w14:textId="77777777" w:rsidR="008003C7" w:rsidRPr="00630B23" w:rsidRDefault="008003C7" w:rsidP="00630B23">
                  <w:pPr>
                    <w:spacing w:after="0" w:line="240" w:lineRule="auto"/>
                    <w:jc w:val="both"/>
                    <w:rPr>
                      <w:rFonts w:ascii="Arial" w:hAnsi="Arial" w:cs="Arial"/>
                      <w:sz w:val="18"/>
                    </w:rPr>
                  </w:pPr>
                  <w:r w:rsidRPr="00630B23">
                    <w:rPr>
                      <w:rFonts w:ascii="Arial" w:hAnsi="Arial" w:cs="Arial"/>
                      <w:sz w:val="18"/>
                    </w:rPr>
                    <w:t>Салбаруудын тоо</w:t>
                  </w:r>
                </w:p>
              </w:tc>
              <w:tc>
                <w:tcPr>
                  <w:tcW w:w="1710" w:type="dxa"/>
                  <w:tcBorders>
                    <w:top w:val="single" w:sz="4" w:space="0" w:color="auto"/>
                    <w:left w:val="single" w:sz="4" w:space="0" w:color="auto"/>
                    <w:bottom w:val="single" w:sz="4" w:space="0" w:color="auto"/>
                    <w:right w:val="single" w:sz="4" w:space="0" w:color="auto"/>
                  </w:tcBorders>
                  <w:vAlign w:val="center"/>
                  <w:hideMark/>
                </w:tcPr>
                <w:p w14:paraId="72726A2A" w14:textId="77777777" w:rsidR="008003C7" w:rsidRDefault="008003C7" w:rsidP="00630B23">
                  <w:pPr>
                    <w:spacing w:after="0" w:line="240" w:lineRule="auto"/>
                    <w:jc w:val="center"/>
                    <w:rPr>
                      <w:rFonts w:ascii="Arial" w:hAnsi="Arial" w:cs="Arial"/>
                      <w:sz w:val="18"/>
                    </w:rPr>
                  </w:pPr>
                  <w:r>
                    <w:rPr>
                      <w:rFonts w:ascii="Arial" w:hAnsi="Arial" w:cs="Arial"/>
                      <w:sz w:val="18"/>
                    </w:rPr>
                    <w:t>30</w:t>
                  </w:r>
                </w:p>
              </w:tc>
              <w:tc>
                <w:tcPr>
                  <w:tcW w:w="3258" w:type="dxa"/>
                  <w:tcBorders>
                    <w:top w:val="single" w:sz="4" w:space="0" w:color="auto"/>
                    <w:left w:val="single" w:sz="4" w:space="0" w:color="auto"/>
                    <w:bottom w:val="single" w:sz="4" w:space="0" w:color="auto"/>
                    <w:right w:val="single" w:sz="4" w:space="0" w:color="auto"/>
                  </w:tcBorders>
                  <w:vAlign w:val="center"/>
                  <w:hideMark/>
                </w:tcPr>
                <w:p w14:paraId="2A5FD135" w14:textId="77777777" w:rsidR="008003C7" w:rsidRDefault="008003C7" w:rsidP="00630B23">
                  <w:pPr>
                    <w:spacing w:after="0" w:line="240" w:lineRule="auto"/>
                    <w:jc w:val="center"/>
                    <w:rPr>
                      <w:rFonts w:ascii="Arial" w:hAnsi="Arial" w:cs="Arial"/>
                      <w:sz w:val="18"/>
                    </w:rPr>
                  </w:pPr>
                  <w:r>
                    <w:rPr>
                      <w:rFonts w:ascii="Arial" w:hAnsi="Arial" w:cs="Arial"/>
                      <w:sz w:val="18"/>
                    </w:rPr>
                    <w:t>510</w:t>
                  </w:r>
                </w:p>
              </w:tc>
              <w:tc>
                <w:tcPr>
                  <w:tcW w:w="2273" w:type="dxa"/>
                  <w:tcBorders>
                    <w:top w:val="single" w:sz="4" w:space="0" w:color="auto"/>
                    <w:left w:val="single" w:sz="4" w:space="0" w:color="auto"/>
                    <w:bottom w:val="single" w:sz="4" w:space="0" w:color="auto"/>
                    <w:right w:val="single" w:sz="4" w:space="0" w:color="auto"/>
                  </w:tcBorders>
                  <w:vAlign w:val="center"/>
                  <w:hideMark/>
                </w:tcPr>
                <w:p w14:paraId="38E9B326" w14:textId="77777777" w:rsidR="008003C7" w:rsidRDefault="008003C7" w:rsidP="00630B23">
                  <w:pPr>
                    <w:spacing w:after="0" w:line="240" w:lineRule="auto"/>
                    <w:jc w:val="center"/>
                    <w:rPr>
                      <w:rFonts w:ascii="Arial" w:hAnsi="Arial" w:cs="Arial"/>
                      <w:sz w:val="18"/>
                    </w:rPr>
                  </w:pPr>
                  <w:r>
                    <w:rPr>
                      <w:rFonts w:ascii="Arial" w:hAnsi="Arial" w:cs="Arial"/>
                      <w:sz w:val="18"/>
                    </w:rPr>
                    <w:t>540</w:t>
                  </w:r>
                </w:p>
              </w:tc>
            </w:tr>
            <w:tr w:rsidR="008003C7" w14:paraId="1AEAB27E" w14:textId="77777777">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760082EE" w14:textId="77777777" w:rsidR="008003C7" w:rsidRPr="00630B23" w:rsidRDefault="008003C7" w:rsidP="00630B23">
                  <w:pPr>
                    <w:spacing w:after="0" w:line="240" w:lineRule="auto"/>
                    <w:jc w:val="both"/>
                    <w:rPr>
                      <w:rFonts w:ascii="Arial" w:hAnsi="Arial" w:cs="Arial"/>
                      <w:sz w:val="18"/>
                    </w:rPr>
                  </w:pPr>
                  <w:r w:rsidRPr="00630B23">
                    <w:rPr>
                      <w:rFonts w:ascii="Arial" w:hAnsi="Arial" w:cs="Arial"/>
                      <w:sz w:val="18"/>
                    </w:rPr>
                    <w:t>ХХБК</w:t>
                  </w:r>
                </w:p>
              </w:tc>
              <w:tc>
                <w:tcPr>
                  <w:tcW w:w="1710" w:type="dxa"/>
                  <w:tcBorders>
                    <w:top w:val="single" w:sz="4" w:space="0" w:color="auto"/>
                    <w:left w:val="single" w:sz="4" w:space="0" w:color="auto"/>
                    <w:bottom w:val="single" w:sz="4" w:space="0" w:color="auto"/>
                    <w:right w:val="single" w:sz="4" w:space="0" w:color="auto"/>
                  </w:tcBorders>
                  <w:vAlign w:val="center"/>
                  <w:hideMark/>
                </w:tcPr>
                <w:p w14:paraId="0CABE6C4" w14:textId="77777777" w:rsidR="008003C7" w:rsidRDefault="008003C7" w:rsidP="00630B23">
                  <w:pPr>
                    <w:spacing w:after="0" w:line="240" w:lineRule="auto"/>
                    <w:jc w:val="center"/>
                    <w:rPr>
                      <w:rFonts w:ascii="Arial" w:hAnsi="Arial" w:cs="Arial"/>
                      <w:sz w:val="18"/>
                    </w:rPr>
                  </w:pPr>
                  <w:r>
                    <w:rPr>
                      <w:rFonts w:ascii="Arial" w:hAnsi="Arial" w:cs="Arial"/>
                      <w:sz w:val="18"/>
                    </w:rPr>
                    <w:t>18%</w:t>
                  </w:r>
                </w:p>
              </w:tc>
              <w:tc>
                <w:tcPr>
                  <w:tcW w:w="3258" w:type="dxa"/>
                  <w:tcBorders>
                    <w:top w:val="single" w:sz="4" w:space="0" w:color="auto"/>
                    <w:left w:val="single" w:sz="4" w:space="0" w:color="auto"/>
                    <w:bottom w:val="single" w:sz="4" w:space="0" w:color="auto"/>
                    <w:right w:val="single" w:sz="4" w:space="0" w:color="auto"/>
                  </w:tcBorders>
                  <w:vAlign w:val="center"/>
                  <w:hideMark/>
                </w:tcPr>
                <w:p w14:paraId="39C09BE2" w14:textId="77777777" w:rsidR="008003C7" w:rsidRPr="00630B23" w:rsidRDefault="008003C7" w:rsidP="00630B23">
                  <w:pPr>
                    <w:spacing w:after="0" w:line="240" w:lineRule="auto"/>
                    <w:jc w:val="center"/>
                    <w:rPr>
                      <w:rFonts w:ascii="Arial" w:hAnsi="Arial" w:cs="Arial"/>
                      <w:sz w:val="18"/>
                    </w:rPr>
                  </w:pPr>
                  <w:r w:rsidRPr="00630B23">
                    <w:rPr>
                      <w:rFonts w:ascii="Arial" w:hAnsi="Arial" w:cs="Arial"/>
                      <w:sz w:val="18"/>
                    </w:rPr>
                    <w:t xml:space="preserve">Сөрөг хөрөнгө, хөрөнгө өр төлбөрийн зөрүү нь </w:t>
                  </w:r>
                  <w:r>
                    <w:rPr>
                      <w:rFonts w:ascii="Arial" w:hAnsi="Arial" w:cs="Arial"/>
                      <w:sz w:val="18"/>
                    </w:rPr>
                    <w:t>120</w:t>
                  </w:r>
                  <w:r w:rsidRPr="00630B23">
                    <w:rPr>
                      <w:rFonts w:ascii="Arial" w:hAnsi="Arial" w:cs="Arial"/>
                      <w:sz w:val="18"/>
                    </w:rPr>
                    <w:t>тэрбум төгрөг</w:t>
                  </w:r>
                </w:p>
              </w:tc>
              <w:tc>
                <w:tcPr>
                  <w:tcW w:w="2273" w:type="dxa"/>
                  <w:tcBorders>
                    <w:top w:val="single" w:sz="4" w:space="0" w:color="auto"/>
                    <w:left w:val="single" w:sz="4" w:space="0" w:color="auto"/>
                    <w:bottom w:val="single" w:sz="4" w:space="0" w:color="auto"/>
                    <w:right w:val="single" w:sz="4" w:space="0" w:color="auto"/>
                  </w:tcBorders>
                  <w:vAlign w:val="center"/>
                  <w:hideMark/>
                </w:tcPr>
                <w:p w14:paraId="2D290D29" w14:textId="77777777" w:rsidR="008003C7" w:rsidRPr="00630B23" w:rsidRDefault="008003C7" w:rsidP="00630B23">
                  <w:pPr>
                    <w:spacing w:after="0" w:line="240" w:lineRule="auto"/>
                    <w:jc w:val="center"/>
                    <w:rPr>
                      <w:rFonts w:ascii="Arial" w:hAnsi="Arial" w:cs="Arial"/>
                      <w:sz w:val="18"/>
                    </w:rPr>
                  </w:pPr>
                  <w:r w:rsidRPr="00630B23">
                    <w:rPr>
                      <w:rFonts w:ascii="Arial" w:hAnsi="Arial" w:cs="Arial"/>
                      <w:sz w:val="18"/>
                    </w:rPr>
                    <w:t>Шаардлагатай хамгийн бага түвшин 14</w:t>
                  </w:r>
                  <w:r>
                    <w:rPr>
                      <w:rFonts w:ascii="Arial" w:hAnsi="Arial" w:cs="Arial"/>
                      <w:sz w:val="18"/>
                    </w:rPr>
                    <w:t>%</w:t>
                  </w:r>
                  <w:r w:rsidRPr="00630B23">
                    <w:rPr>
                      <w:rFonts w:ascii="Arial" w:hAnsi="Arial" w:cs="Arial"/>
                      <w:sz w:val="18"/>
                    </w:rPr>
                    <w:t xml:space="preserve"> доогуур</w:t>
                  </w:r>
                </w:p>
              </w:tc>
            </w:tr>
          </w:tbl>
          <w:p w14:paraId="5BC7A723" w14:textId="77777777" w:rsidR="008003C7" w:rsidRDefault="008003C7">
            <w:pPr>
              <w:ind w:left="720"/>
              <w:jc w:val="both"/>
              <w:rPr>
                <w:rFonts w:ascii="Arial" w:hAnsi="Arial" w:cs="Arial"/>
                <w:sz w:val="16"/>
                <w:lang w:val="mn-MN"/>
              </w:rPr>
            </w:pPr>
            <w:r>
              <w:rPr>
                <w:rFonts w:ascii="Arial" w:hAnsi="Arial" w:cs="Arial"/>
                <w:sz w:val="16"/>
                <w:lang w:val="mn-MN"/>
              </w:rPr>
              <w:t>Эх үүсвэр</w:t>
            </w:r>
            <w:r>
              <w:rPr>
                <w:rFonts w:ascii="Arial" w:hAnsi="Arial" w:cs="Arial"/>
                <w:sz w:val="16"/>
              </w:rPr>
              <w:t xml:space="preserve">: </w:t>
            </w:r>
            <w:r>
              <w:rPr>
                <w:rFonts w:ascii="Arial" w:hAnsi="Arial" w:cs="Arial"/>
                <w:sz w:val="16"/>
                <w:lang w:val="mn-MN"/>
              </w:rPr>
              <w:t>ДБ мэргэжилтнүүдийн тооцо</w:t>
            </w:r>
          </w:p>
          <w:p w14:paraId="1563C415" w14:textId="77777777" w:rsidR="008003C7" w:rsidRDefault="008003C7">
            <w:pPr>
              <w:ind w:left="720"/>
              <w:jc w:val="both"/>
              <w:rPr>
                <w:rFonts w:ascii="Arial" w:hAnsi="Arial" w:cs="Arial"/>
                <w:sz w:val="16"/>
              </w:rPr>
            </w:pPr>
            <w:r>
              <w:rPr>
                <w:rFonts w:ascii="Arial" w:hAnsi="Arial" w:cs="Arial"/>
                <w:sz w:val="16"/>
              </w:rPr>
              <w:t>*1</w:t>
            </w:r>
            <w:r>
              <w:rPr>
                <w:rFonts w:ascii="Arial" w:hAnsi="Arial" w:cs="Arial"/>
                <w:sz w:val="16"/>
                <w:lang w:val="mn-MN"/>
              </w:rPr>
              <w:t xml:space="preserve"> ам.доллар</w:t>
            </w:r>
            <w:r>
              <w:rPr>
                <w:rFonts w:ascii="Arial" w:hAnsi="Arial" w:cs="Arial"/>
                <w:sz w:val="16"/>
              </w:rPr>
              <w:t xml:space="preserve"> = 1,675</w:t>
            </w:r>
            <w:r>
              <w:rPr>
                <w:rFonts w:ascii="Arial" w:hAnsi="Arial" w:cs="Arial"/>
                <w:sz w:val="16"/>
                <w:lang w:val="mn-MN"/>
              </w:rPr>
              <w:t xml:space="preserve"> төгрөг</w:t>
            </w:r>
            <w:r>
              <w:rPr>
                <w:rFonts w:ascii="Arial" w:hAnsi="Arial" w:cs="Arial"/>
                <w:sz w:val="16"/>
              </w:rPr>
              <w:t xml:space="preserve"> (2013</w:t>
            </w:r>
            <w:r>
              <w:rPr>
                <w:rFonts w:ascii="Arial" w:hAnsi="Arial" w:cs="Arial"/>
                <w:sz w:val="16"/>
                <w:lang w:val="mn-MN"/>
              </w:rPr>
              <w:t xml:space="preserve"> оны 9 сарын 17</w:t>
            </w:r>
            <w:r>
              <w:rPr>
                <w:rFonts w:ascii="Arial" w:hAnsi="Arial" w:cs="Arial"/>
                <w:sz w:val="16"/>
              </w:rPr>
              <w:t>)</w:t>
            </w:r>
          </w:p>
          <w:p w14:paraId="7967D299" w14:textId="77777777" w:rsidR="008003C7" w:rsidRDefault="008003C7">
            <w:pPr>
              <w:jc w:val="both"/>
              <w:rPr>
                <w:rFonts w:ascii="Arial" w:hAnsi="Arial" w:cs="Arial"/>
                <w:sz w:val="18"/>
              </w:rPr>
            </w:pPr>
            <w:r>
              <w:rPr>
                <w:rFonts w:ascii="Arial" w:hAnsi="Arial" w:cs="Arial"/>
                <w:sz w:val="18"/>
                <w:lang w:val="mn-MN"/>
              </w:rPr>
              <w:t xml:space="preserve">Хадгаламж банкны дампуурал нь банкны хүчтэй хяналт шалгалт хэрэгтэй байгааг илэрхийлж байна. Уг банк нь Монгол улсын бусад банкуудтай адилаар сүүлийн жилүүдэд ихээхэн хэмжээний зээлийн өсөлттэй байсан. Банкны салбарын өсөлтийн хурдац нь оновчтой баталгааны арга хэрэгсэл, корпорацийн засаглал, дотоод хяналт зэрэгт асуудал авчирдаг. Үүнээс гадна салбарын дадаагүй байдал, цөөн тооны корпорацийн зээлдүүлэгчдэд зээлдүүлж байгаа нь уул уурхайн хамаарал, энэхүү өсөлтөд засгийн газрын зарлагын өсөлт зэрэгтэй холбогдож банкны тогтолцоонд эмзэг байдлыг нэмэгдүүлж байна. Мөн сүүлийн үеийн валютын сулралт, мөн нийт зээлийн ойролцоогоор 30 хувь нь 2013 оны 6 сарын байдлаар гадаад валютаар хийгдэж байгаа зэрэг нь зээлийн эрсдлийг өндөр болгож байна. Банкны зохицуулагчийн хувьд Монгол банкнаас ирэх саруудад системийн болон банк болгоноор хөрөнгийн хүрэлцээтэй байдал, макро санхүүгийн тогтвортой байдлыг хадгалах чиглэлээр үргэлжилсэн хяналт шалгалт шаардлагатай байна. </w:t>
            </w:r>
          </w:p>
          <w:p w14:paraId="719AFB48" w14:textId="77777777" w:rsidR="008003C7" w:rsidRDefault="008003C7">
            <w:pPr>
              <w:jc w:val="both"/>
              <w:rPr>
                <w:rFonts w:ascii="Arial" w:hAnsi="Arial" w:cs="Arial"/>
                <w:sz w:val="18"/>
                <w:lang w:val="mn-MN"/>
              </w:rPr>
            </w:pPr>
            <w:r>
              <w:rPr>
                <w:rFonts w:ascii="Arial" w:hAnsi="Arial" w:cs="Arial"/>
                <w:sz w:val="18"/>
                <w:lang w:val="mn-MN"/>
              </w:rPr>
              <w:t>Эх үүсвэр</w:t>
            </w:r>
            <w:r>
              <w:rPr>
                <w:rFonts w:ascii="Arial" w:hAnsi="Arial" w:cs="Arial"/>
                <w:sz w:val="18"/>
              </w:rPr>
              <w:t xml:space="preserve">: </w:t>
            </w:r>
            <w:r>
              <w:rPr>
                <w:rFonts w:ascii="Arial" w:hAnsi="Arial" w:cs="Arial"/>
                <w:sz w:val="18"/>
                <w:lang w:val="mn-MN"/>
              </w:rPr>
              <w:t>ДБ мэргэжилтнүүд</w:t>
            </w:r>
          </w:p>
        </w:tc>
      </w:tr>
    </w:tbl>
    <w:p w14:paraId="5E122C15" w14:textId="77777777" w:rsidR="008003C7" w:rsidRDefault="008003C7" w:rsidP="008003C7">
      <w:pPr>
        <w:rPr>
          <w:rFonts w:ascii="Times New Roman" w:hAnsi="Times New Roman" w:cs="Times New Roman"/>
          <w:sz w:val="4"/>
          <w:szCs w:val="20"/>
          <w:lang w:eastAsia="ko-KR"/>
        </w:rPr>
      </w:pPr>
      <w:r>
        <w:rPr>
          <w:rFonts w:ascii="Times New Roman" w:hAnsi="Times New Roman" w:cs="Times New Roman"/>
          <w:sz w:val="12"/>
          <w:szCs w:val="20"/>
          <w:lang w:eastAsia="ko-KR"/>
        </w:rPr>
        <w:lastRenderedPageBreak/>
        <w:br w:type="page"/>
      </w:r>
    </w:p>
    <w:tbl>
      <w:tblPr>
        <w:tblW w:w="9576" w:type="dxa"/>
        <w:tblLook w:val="04A0" w:firstRow="1" w:lastRow="0" w:firstColumn="1" w:lastColumn="0" w:noHBand="0" w:noVBand="1"/>
      </w:tblPr>
      <w:tblGrid>
        <w:gridCol w:w="9576"/>
      </w:tblGrid>
      <w:tr w:rsidR="008003C7" w14:paraId="4A746C57" w14:textId="77777777" w:rsidTr="008003C7">
        <w:tc>
          <w:tcPr>
            <w:tcW w:w="9576" w:type="dxa"/>
            <w:tcBorders>
              <w:top w:val="single" w:sz="4" w:space="0" w:color="auto"/>
              <w:left w:val="single" w:sz="4" w:space="0" w:color="auto"/>
              <w:bottom w:val="single" w:sz="4" w:space="0" w:color="auto"/>
              <w:right w:val="single" w:sz="4" w:space="0" w:color="auto"/>
            </w:tcBorders>
          </w:tcPr>
          <w:p w14:paraId="7A3214B7" w14:textId="77777777" w:rsidR="008003C7" w:rsidRPr="00630B23" w:rsidRDefault="008003C7">
            <w:pPr>
              <w:pStyle w:val="Caption"/>
              <w:keepNext/>
              <w:rPr>
                <w:rFonts w:ascii="Arial" w:hAnsi="Arial" w:cs="Arial"/>
                <w:sz w:val="2"/>
              </w:rPr>
            </w:pPr>
          </w:p>
          <w:p w14:paraId="6E51B0AE" w14:textId="77777777" w:rsidR="008003C7" w:rsidRDefault="008003C7">
            <w:pPr>
              <w:pStyle w:val="Caption"/>
              <w:keepNext/>
              <w:rPr>
                <w:rFonts w:ascii="Arial" w:hAnsi="Arial" w:cs="Arial"/>
                <w:lang w:val="mn-MN"/>
              </w:rPr>
            </w:pPr>
            <w:bookmarkStart w:id="65" w:name="_Toc371339044"/>
            <w:r>
              <w:rPr>
                <w:rFonts w:ascii="Arial" w:hAnsi="Arial" w:cs="Arial"/>
                <w:lang w:val="mn-MN"/>
              </w:rPr>
              <w:t xml:space="preserve">Хайрцаг </w:t>
            </w:r>
            <w:r>
              <w:fldChar w:fldCharType="begin"/>
            </w:r>
            <w:r>
              <w:rPr>
                <w:rFonts w:ascii="Arial" w:hAnsi="Arial" w:cs="Arial"/>
              </w:rPr>
              <w:instrText xml:space="preserve"> SEQ Box \* ARABIC </w:instrText>
            </w:r>
            <w:r>
              <w:fldChar w:fldCharType="separate"/>
            </w:r>
            <w:r>
              <w:rPr>
                <w:rFonts w:ascii="Arial" w:hAnsi="Arial" w:cs="Arial"/>
                <w:noProof/>
              </w:rPr>
              <w:t>5</w:t>
            </w:r>
            <w:r>
              <w:fldChar w:fldCharType="end"/>
            </w:r>
            <w:r>
              <w:rPr>
                <w:rFonts w:ascii="Arial" w:hAnsi="Arial" w:cs="Arial"/>
              </w:rPr>
              <w:t xml:space="preserve">. </w:t>
            </w:r>
            <w:r>
              <w:rPr>
                <w:rFonts w:ascii="Arial" w:hAnsi="Arial" w:cs="Arial"/>
                <w:lang w:val="mn-MN"/>
              </w:rPr>
              <w:t>Үнийг тогтворжуулах хөтөлбөр</w:t>
            </w:r>
            <w:bookmarkEnd w:id="65"/>
          </w:p>
          <w:p w14:paraId="4EF3FB52" w14:textId="77777777" w:rsidR="008003C7" w:rsidRDefault="008003C7">
            <w:pPr>
              <w:jc w:val="both"/>
              <w:rPr>
                <w:rFonts w:ascii="Arial" w:hAnsi="Arial" w:cs="Arial"/>
                <w:sz w:val="18"/>
              </w:rPr>
            </w:pPr>
            <w:r>
              <w:rPr>
                <w:rFonts w:ascii="Arial" w:hAnsi="Arial" w:cs="Arial"/>
                <w:sz w:val="18"/>
                <w:lang w:val="mn-MN"/>
              </w:rPr>
              <w:t xml:space="preserve">Үнийг тогтворжуулах хөтөлбөр нь 2012 оны 10 сараас засгийн газар болон төв банкны хооронд “гол нэрийн бараа бүтээгдэхүүний үнүүдийг тогтвортой байлгах дунд хугацааны хөтөлбөрийг хамтран хэрэгжүүлэх” Харилцан ойлголцлын санамж бичиг зурснаар хэрэгжиж эхэлсэн. Уг хөтөлбөр нь </w:t>
            </w:r>
            <w:r>
              <w:rPr>
                <w:rFonts w:ascii="Arial" w:hAnsi="Arial" w:cs="Arial"/>
                <w:sz w:val="18"/>
              </w:rPr>
              <w:t>(</w:t>
            </w:r>
            <w:r>
              <w:rPr>
                <w:rFonts w:ascii="Arial" w:hAnsi="Arial" w:cs="Arial"/>
                <w:sz w:val="18"/>
                <w:lang w:val="mn-MN"/>
              </w:rPr>
              <w:t>ҮТХ</w:t>
            </w:r>
            <w:r>
              <w:rPr>
                <w:rFonts w:ascii="Arial" w:hAnsi="Arial" w:cs="Arial"/>
                <w:sz w:val="18"/>
              </w:rPr>
              <w:t>)</w:t>
            </w:r>
            <w:r>
              <w:rPr>
                <w:rFonts w:ascii="Arial" w:hAnsi="Arial" w:cs="Arial"/>
                <w:sz w:val="18"/>
                <w:lang w:val="mn-MN"/>
              </w:rPr>
              <w:t xml:space="preserve"> дөрвөн дэд хөтөлбөрөөс бүрдсэн</w:t>
            </w:r>
            <w:r>
              <w:rPr>
                <w:rFonts w:ascii="Arial" w:hAnsi="Arial" w:cs="Arial"/>
                <w:sz w:val="18"/>
              </w:rPr>
              <w:t xml:space="preserve">:  i) </w:t>
            </w:r>
            <w:r>
              <w:rPr>
                <w:rFonts w:ascii="Arial" w:hAnsi="Arial" w:cs="Arial"/>
                <w:sz w:val="18"/>
                <w:lang w:val="mn-MN"/>
              </w:rPr>
              <w:t>хүнсний гол нэрийн бүтээгдэхүүний үнийн тогтвортой байдал</w:t>
            </w:r>
            <w:r>
              <w:rPr>
                <w:rFonts w:ascii="Arial" w:hAnsi="Arial" w:cs="Arial"/>
                <w:sz w:val="18"/>
              </w:rPr>
              <w:t xml:space="preserve">; ii) </w:t>
            </w:r>
            <w:r>
              <w:rPr>
                <w:rFonts w:ascii="Arial" w:hAnsi="Arial" w:cs="Arial"/>
                <w:sz w:val="18"/>
                <w:lang w:val="mn-MN"/>
              </w:rPr>
              <w:t>шатахууны жижиглэнгийн үнийн тогтвортой байдал</w:t>
            </w:r>
            <w:r>
              <w:rPr>
                <w:rFonts w:ascii="Arial" w:hAnsi="Arial" w:cs="Arial"/>
                <w:sz w:val="18"/>
              </w:rPr>
              <w:t xml:space="preserve">; iii) </w:t>
            </w:r>
            <w:r>
              <w:rPr>
                <w:rFonts w:ascii="Arial" w:hAnsi="Arial" w:cs="Arial"/>
                <w:sz w:val="18"/>
                <w:lang w:val="mn-MN"/>
              </w:rPr>
              <w:t>импортын хэрэглээний бараануудын өртөгийг бууруулах</w:t>
            </w:r>
            <w:r>
              <w:rPr>
                <w:rFonts w:ascii="Arial" w:hAnsi="Arial" w:cs="Arial"/>
                <w:sz w:val="18"/>
              </w:rPr>
              <w:t xml:space="preserve">; </w:t>
            </w:r>
            <w:r>
              <w:rPr>
                <w:rFonts w:ascii="Arial" w:hAnsi="Arial" w:cs="Arial"/>
                <w:sz w:val="18"/>
                <w:lang w:val="mn-MN"/>
              </w:rPr>
              <w:t>мөн</w:t>
            </w:r>
            <w:r>
              <w:rPr>
                <w:rFonts w:ascii="Arial" w:hAnsi="Arial" w:cs="Arial"/>
                <w:sz w:val="18"/>
              </w:rPr>
              <w:t xml:space="preserve"> iv) </w:t>
            </w:r>
            <w:r>
              <w:rPr>
                <w:rFonts w:ascii="Arial" w:hAnsi="Arial" w:cs="Arial"/>
                <w:sz w:val="18"/>
                <w:lang w:val="mn-MN"/>
              </w:rPr>
              <w:t>барилгын салбарыг дэмжих, орон сууцны тогтвортой үнийн түвшинд хүрэх</w:t>
            </w:r>
            <w:r>
              <w:rPr>
                <w:rFonts w:ascii="Arial" w:hAnsi="Arial" w:cs="Arial"/>
                <w:sz w:val="18"/>
              </w:rPr>
              <w:t xml:space="preserve">. </w:t>
            </w:r>
          </w:p>
          <w:p w14:paraId="1254B0C8" w14:textId="77777777" w:rsidR="008003C7" w:rsidRDefault="008003C7">
            <w:pPr>
              <w:jc w:val="both"/>
              <w:rPr>
                <w:rFonts w:ascii="Arial" w:hAnsi="Arial" w:cs="Arial"/>
                <w:sz w:val="18"/>
              </w:rPr>
            </w:pPr>
            <w:r>
              <w:rPr>
                <w:rFonts w:ascii="Arial" w:hAnsi="Arial" w:cs="Arial"/>
                <w:sz w:val="18"/>
                <w:lang w:val="mn-MN"/>
              </w:rPr>
              <w:t xml:space="preserve">Уг хөтөлбөр нь улирлын чанартай, үнийн өсөлтийн хэлбэлзэлийг үүсгэгч гэж үздэг бараа бүтээгдэхүүний нийлүүлэлтийн дутагдалтай байдлыг шийдэх зорилготой. Гэвч ҮТХ нь инфляцийн уламжлалт бус арга бөгөөд энэ нь сонгосон нийлүүлэгчдэд хөнгөлөлттэй зээлийг олгон оронд нь тэд үнийг тогтвортой байлгахыг амалсан. Энэ утгаараа ҮТХ нь эдийн засагт мөнгө нийлүүлэх гол хэрэгсэл болсон бөгөөд энэ нь гол хэрэглээний үнүүдийг де факто үнийн хяналтаар тогтоон барьж байна. </w:t>
            </w:r>
          </w:p>
          <w:p w14:paraId="0C9C3E18" w14:textId="77777777" w:rsidR="008003C7" w:rsidRDefault="008003C7">
            <w:pPr>
              <w:jc w:val="both"/>
              <w:rPr>
                <w:rFonts w:ascii="Arial" w:hAnsi="Arial" w:cs="Arial"/>
                <w:sz w:val="18"/>
              </w:rPr>
            </w:pPr>
            <w:r>
              <w:rPr>
                <w:rFonts w:ascii="Arial" w:hAnsi="Arial" w:cs="Arial"/>
                <w:sz w:val="18"/>
                <w:lang w:val="mn-MN"/>
              </w:rPr>
              <w:t>Өнгөрсөн 11 сараас  9 сар хүртэл ҮТХ</w:t>
            </w:r>
            <w:r>
              <w:rPr>
                <w:rFonts w:ascii="Arial" w:hAnsi="Arial" w:cs="Arial"/>
                <w:sz w:val="18"/>
              </w:rPr>
              <w:t>-</w:t>
            </w:r>
            <w:r>
              <w:rPr>
                <w:rFonts w:ascii="Arial" w:hAnsi="Arial" w:cs="Arial"/>
                <w:sz w:val="18"/>
                <w:lang w:val="mn-MN"/>
              </w:rPr>
              <w:t>ийн бодит гаргасан мөнгө нь 642 тэрбум төгрөгт хүрсэн</w:t>
            </w:r>
            <w:r>
              <w:rPr>
                <w:rFonts w:ascii="Arial" w:hAnsi="Arial" w:cs="Arial"/>
                <w:sz w:val="18"/>
              </w:rPr>
              <w:t xml:space="preserve"> (</w:t>
            </w:r>
            <w:r>
              <w:rPr>
                <w:rFonts w:ascii="Arial" w:hAnsi="Arial" w:cs="Arial"/>
                <w:sz w:val="18"/>
                <w:lang w:val="mn-MN"/>
              </w:rPr>
              <w:t>орон сууцны зээлийн хөтөлбөрийг оруулахгүйгээр</w:t>
            </w:r>
            <w:r>
              <w:rPr>
                <w:rFonts w:ascii="Arial" w:hAnsi="Arial" w:cs="Arial"/>
                <w:sz w:val="18"/>
              </w:rPr>
              <w:t>).</w:t>
            </w:r>
            <w:r>
              <w:rPr>
                <w:rFonts w:ascii="Arial" w:hAnsi="Arial" w:cs="Arial"/>
                <w:sz w:val="18"/>
                <w:lang w:val="mn-MN"/>
              </w:rPr>
              <w:t xml:space="preserve"> Барилгын салбар нь барилгын материалын үйлдвэрлэл болон импортод зориулж 292 тэрбум төгрөгийг авсан, дараагаар нь газрын тосны компаниуд</w:t>
            </w:r>
            <w:r>
              <w:rPr>
                <w:rFonts w:ascii="Arial" w:hAnsi="Arial" w:cs="Arial"/>
                <w:sz w:val="18"/>
              </w:rPr>
              <w:t xml:space="preserve"> (192 </w:t>
            </w:r>
            <w:r>
              <w:rPr>
                <w:rFonts w:ascii="Arial" w:hAnsi="Arial" w:cs="Arial"/>
                <w:sz w:val="18"/>
                <w:lang w:val="mn-MN"/>
              </w:rPr>
              <w:t>тэрбум төгрөг</w:t>
            </w:r>
            <w:r>
              <w:rPr>
                <w:rFonts w:ascii="Arial" w:hAnsi="Arial" w:cs="Arial"/>
                <w:sz w:val="18"/>
              </w:rPr>
              <w:t xml:space="preserve">), </w:t>
            </w:r>
            <w:r>
              <w:rPr>
                <w:rFonts w:ascii="Arial" w:hAnsi="Arial" w:cs="Arial"/>
                <w:sz w:val="18"/>
                <w:lang w:val="mn-MN"/>
              </w:rPr>
              <w:t>махны компаниуд</w:t>
            </w:r>
            <w:r>
              <w:rPr>
                <w:rFonts w:ascii="Arial" w:hAnsi="Arial" w:cs="Arial"/>
                <w:sz w:val="18"/>
              </w:rPr>
              <w:t xml:space="preserve"> (87 </w:t>
            </w:r>
            <w:r>
              <w:rPr>
                <w:rFonts w:ascii="Arial" w:hAnsi="Arial" w:cs="Arial"/>
                <w:sz w:val="18"/>
                <w:lang w:val="mn-MN"/>
              </w:rPr>
              <w:t>тэрбум төгрөг</w:t>
            </w:r>
            <w:r>
              <w:rPr>
                <w:rFonts w:ascii="Arial" w:hAnsi="Arial" w:cs="Arial"/>
                <w:sz w:val="18"/>
              </w:rPr>
              <w:t xml:space="preserve">) </w:t>
            </w:r>
            <w:r>
              <w:rPr>
                <w:rFonts w:ascii="Arial" w:hAnsi="Arial" w:cs="Arial"/>
                <w:sz w:val="18"/>
                <w:lang w:val="mn-MN"/>
              </w:rPr>
              <w:t>мөн гурил үйлдвэрлэгчид</w:t>
            </w:r>
            <w:r>
              <w:rPr>
                <w:rFonts w:ascii="Arial" w:hAnsi="Arial" w:cs="Arial"/>
                <w:sz w:val="18"/>
              </w:rPr>
              <w:t xml:space="preserve"> (49 </w:t>
            </w:r>
            <w:r>
              <w:rPr>
                <w:rFonts w:ascii="Arial" w:hAnsi="Arial" w:cs="Arial"/>
                <w:sz w:val="18"/>
                <w:lang w:val="mn-MN"/>
              </w:rPr>
              <w:t>тэрбум төгрөг</w:t>
            </w:r>
            <w:r>
              <w:rPr>
                <w:rFonts w:ascii="Arial" w:hAnsi="Arial" w:cs="Arial"/>
                <w:sz w:val="18"/>
              </w:rPr>
              <w:t>).</w:t>
            </w:r>
          </w:p>
          <w:p w14:paraId="5D5E9DF9" w14:textId="77777777" w:rsidR="008003C7" w:rsidRDefault="008003C7" w:rsidP="008003C7">
            <w:pPr>
              <w:pStyle w:val="ListParagraph"/>
              <w:numPr>
                <w:ilvl w:val="0"/>
                <w:numId w:val="27"/>
              </w:numPr>
              <w:jc w:val="both"/>
              <w:rPr>
                <w:rFonts w:ascii="Arial" w:hAnsi="Arial" w:cs="Arial"/>
                <w:sz w:val="18"/>
                <w:szCs w:val="18"/>
              </w:rPr>
            </w:pPr>
            <w:r>
              <w:rPr>
                <w:rFonts w:ascii="Arial" w:hAnsi="Arial" w:cs="Arial"/>
                <w:sz w:val="18"/>
                <w:szCs w:val="18"/>
                <w:lang w:val="mn-MN"/>
              </w:rPr>
              <w:t>ҮТХ</w:t>
            </w:r>
            <w:r>
              <w:rPr>
                <w:rFonts w:ascii="Arial" w:hAnsi="Arial" w:cs="Arial"/>
                <w:sz w:val="18"/>
                <w:szCs w:val="18"/>
              </w:rPr>
              <w:t>-</w:t>
            </w:r>
            <w:r>
              <w:rPr>
                <w:rFonts w:ascii="Arial" w:hAnsi="Arial" w:cs="Arial"/>
                <w:sz w:val="18"/>
                <w:szCs w:val="18"/>
                <w:lang w:val="mn-MN"/>
              </w:rPr>
              <w:t>ийн хүрээнд газрын тосны үнийн тогтворжуулалт нь бензины үнийг импортлогдсон жижиглэнгийн газрын тосны бүтээгдэхүүний санхүүжилтийн өртөгийг бууруулах замаар тогтвортой байхад чиглэсэн. 9 сарын байдлаар, 192 тэрбум төгрөгийг 15 удаагийн олголтоор 11 газрын тосны компаниудад 3.8 хувийн хүүтэйгээр олгосон байна. 82.5 сая ам.долларын форвард хэлэлцээрийг 2</w:t>
            </w:r>
            <w:r>
              <w:rPr>
                <w:rFonts w:ascii="Arial" w:hAnsi="Arial" w:cs="Arial"/>
                <w:sz w:val="18"/>
                <w:szCs w:val="18"/>
              </w:rPr>
              <w:t>-</w:t>
            </w:r>
            <w:r>
              <w:rPr>
                <w:rFonts w:ascii="Arial" w:hAnsi="Arial" w:cs="Arial"/>
                <w:sz w:val="18"/>
                <w:szCs w:val="18"/>
                <w:lang w:val="mn-MN"/>
              </w:rPr>
              <w:t xml:space="preserve">6 сарын хугацаанд төв банктай тохиролцсон оролцогч банкуудаар дамжуулан хийгдсэн бөгөөд 11 компаниуд тааламжтай нөхцөлийг авсан. Үүний үр дүнд дотоодын газрын тос импортлогчид бага өртөгтэй, ханшний эрсдэл багатайгаар өөрсдийн газрын тосны бүтээгдэхүүнүүдийг санхүүжүүлж чадсан. Энэхүү дэд хөтөлбөр нь урт хугацаанд үнийг тогтвортой барих зорилготой бус харин санхүүгийн дэмжлэг авч байгаагийн хувьд компаниудыг жижиглэнгийн үнийн өсөлтийн тохируулгаа хойшуулахыг л шаардаж байлаа билээ. </w:t>
            </w:r>
          </w:p>
          <w:p w14:paraId="0671AAC2" w14:textId="77777777" w:rsidR="00C97F2D" w:rsidRPr="00630B23" w:rsidRDefault="00C97F2D" w:rsidP="00630B23">
            <w:pPr>
              <w:pStyle w:val="ListParagraph"/>
              <w:jc w:val="both"/>
              <w:rPr>
                <w:rFonts w:ascii="Arial" w:hAnsi="Arial" w:cs="Arial"/>
                <w:sz w:val="18"/>
              </w:rPr>
            </w:pPr>
          </w:p>
          <w:p w14:paraId="3D326017" w14:textId="77777777" w:rsidR="008003C7" w:rsidRDefault="008003C7" w:rsidP="008003C7">
            <w:pPr>
              <w:pStyle w:val="ListParagraph"/>
              <w:numPr>
                <w:ilvl w:val="0"/>
                <w:numId w:val="27"/>
              </w:numPr>
              <w:jc w:val="both"/>
              <w:rPr>
                <w:rFonts w:ascii="Arial" w:hAnsi="Arial" w:cs="Arial"/>
                <w:sz w:val="18"/>
              </w:rPr>
            </w:pPr>
            <w:r>
              <w:rPr>
                <w:rFonts w:ascii="Arial" w:hAnsi="Arial" w:cs="Arial"/>
                <w:sz w:val="18"/>
                <w:lang w:val="mn-MN"/>
              </w:rPr>
              <w:t>Махны болон гурилын дэд хөтөлбөр</w:t>
            </w:r>
            <w:r>
              <w:rPr>
                <w:rFonts w:ascii="Arial" w:hAnsi="Arial" w:cs="Arial"/>
                <w:sz w:val="18"/>
              </w:rPr>
              <w:t xml:space="preserve"> – </w:t>
            </w:r>
            <w:r>
              <w:rPr>
                <w:rFonts w:ascii="Arial" w:hAnsi="Arial" w:cs="Arial"/>
                <w:sz w:val="18"/>
                <w:lang w:val="mn-MN"/>
              </w:rPr>
              <w:t>эдгээр нь нийт ХҮИ</w:t>
            </w:r>
            <w:r>
              <w:rPr>
                <w:rFonts w:ascii="Arial" w:hAnsi="Arial" w:cs="Arial"/>
                <w:sz w:val="18"/>
              </w:rPr>
              <w:t>-</w:t>
            </w:r>
            <w:r>
              <w:rPr>
                <w:rFonts w:ascii="Arial" w:hAnsi="Arial" w:cs="Arial"/>
                <w:sz w:val="18"/>
                <w:lang w:val="mn-MN"/>
              </w:rPr>
              <w:t>ийн 20 хувийг бүрдүүлдэг харин хүнсний ХҮИ</w:t>
            </w:r>
            <w:r>
              <w:rPr>
                <w:rFonts w:ascii="Arial" w:hAnsi="Arial" w:cs="Arial"/>
                <w:sz w:val="18"/>
              </w:rPr>
              <w:t>-</w:t>
            </w:r>
            <w:r>
              <w:rPr>
                <w:rFonts w:ascii="Arial" w:hAnsi="Arial" w:cs="Arial"/>
                <w:sz w:val="18"/>
                <w:lang w:val="mn-MN"/>
              </w:rPr>
              <w:t>ийн 60 гаран хувийг бүрдүүлдэг</w:t>
            </w:r>
            <w:r>
              <w:rPr>
                <w:rFonts w:ascii="Arial" w:hAnsi="Arial" w:cs="Arial"/>
                <w:sz w:val="18"/>
              </w:rPr>
              <w:t xml:space="preserve"> –</w:t>
            </w:r>
            <w:r>
              <w:rPr>
                <w:rFonts w:ascii="Arial" w:hAnsi="Arial" w:cs="Arial"/>
                <w:sz w:val="18"/>
                <w:lang w:val="mn-MN"/>
              </w:rPr>
              <w:t xml:space="preserve"> бөгөөд зорилго нь махны болон гурилын нөөцийг нэмэгдүүлэх. Энэхүү хөтөлбөрийн хүрээнд, нэг жилийн хугацаатай 3.8 хувийн хүүтэй 122 тэрбум төгрөгийг гурван махны компаниуд</w:t>
            </w:r>
            <w:r>
              <w:rPr>
                <w:rFonts w:ascii="Arial" w:hAnsi="Arial" w:cs="Arial"/>
                <w:sz w:val="18"/>
              </w:rPr>
              <w:t xml:space="preserve"> (87 </w:t>
            </w:r>
            <w:r>
              <w:rPr>
                <w:rFonts w:ascii="Arial" w:hAnsi="Arial" w:cs="Arial"/>
                <w:sz w:val="18"/>
                <w:lang w:val="mn-MN"/>
              </w:rPr>
              <w:t>тэрбум төгрөг</w:t>
            </w:r>
            <w:r>
              <w:rPr>
                <w:rFonts w:ascii="Arial" w:hAnsi="Arial" w:cs="Arial"/>
                <w:sz w:val="18"/>
              </w:rPr>
              <w:t xml:space="preserve">) </w:t>
            </w:r>
            <w:r>
              <w:rPr>
                <w:rFonts w:ascii="Arial" w:hAnsi="Arial" w:cs="Arial"/>
                <w:sz w:val="18"/>
                <w:lang w:val="mn-MN"/>
              </w:rPr>
              <w:t xml:space="preserve">мөн </w:t>
            </w:r>
            <w:r>
              <w:rPr>
                <w:rFonts w:ascii="Arial" w:hAnsi="Arial" w:cs="Arial"/>
                <w:sz w:val="18"/>
              </w:rPr>
              <w:t xml:space="preserve">24 </w:t>
            </w:r>
            <w:r>
              <w:rPr>
                <w:rFonts w:ascii="Arial" w:hAnsi="Arial" w:cs="Arial"/>
                <w:sz w:val="18"/>
                <w:lang w:val="mn-MN"/>
              </w:rPr>
              <w:t>гурилын компаниудад</w:t>
            </w:r>
            <w:r>
              <w:rPr>
                <w:rFonts w:ascii="Arial" w:hAnsi="Arial" w:cs="Arial"/>
                <w:sz w:val="18"/>
              </w:rPr>
              <w:t xml:space="preserve"> (49 </w:t>
            </w:r>
            <w:r>
              <w:rPr>
                <w:rFonts w:ascii="Arial" w:hAnsi="Arial" w:cs="Arial"/>
                <w:sz w:val="18"/>
                <w:lang w:val="mn-MN"/>
              </w:rPr>
              <w:t>тэрбум төгрөгийг</w:t>
            </w:r>
            <w:r>
              <w:rPr>
                <w:rFonts w:ascii="Arial" w:hAnsi="Arial" w:cs="Arial"/>
                <w:sz w:val="18"/>
              </w:rPr>
              <w:t xml:space="preserve">) </w:t>
            </w:r>
            <w:r>
              <w:rPr>
                <w:rFonts w:ascii="Arial" w:hAnsi="Arial" w:cs="Arial"/>
                <w:sz w:val="18"/>
                <w:lang w:val="mn-MN"/>
              </w:rPr>
              <w:t>9 сарын байдлаар олгосон</w:t>
            </w:r>
            <w:r>
              <w:rPr>
                <w:rFonts w:ascii="Arial" w:hAnsi="Arial" w:cs="Arial"/>
                <w:sz w:val="18"/>
              </w:rPr>
              <w:t>.</w:t>
            </w:r>
            <w:r>
              <w:rPr>
                <w:rFonts w:ascii="Arial" w:hAnsi="Arial" w:cs="Arial"/>
                <w:sz w:val="18"/>
                <w:lang w:val="mn-MN"/>
              </w:rPr>
              <w:t xml:space="preserve"> Үүний үр дүнд </w:t>
            </w:r>
            <w:r>
              <w:rPr>
                <w:rFonts w:ascii="Arial" w:hAnsi="Arial" w:cs="Arial"/>
                <w:sz w:val="18"/>
              </w:rPr>
              <w:t>11,446</w:t>
            </w:r>
            <w:r>
              <w:rPr>
                <w:rFonts w:ascii="Arial" w:hAnsi="Arial" w:cs="Arial"/>
                <w:sz w:val="18"/>
                <w:lang w:val="mn-MN"/>
              </w:rPr>
              <w:t xml:space="preserve"> тон махны нөөцийг гэрээ бүхий махны үйлдвэрлэгчид бэлтгэсэн. Гурилын үнийг тогтворжуулах хөтөлбөрийн хүрээнд, гурилын нөөцийг бүрдүүлэх, гурилын нөөцийг арилжаалах болон хяналт тавих зорилготойгоор хэд хэдэн арга хэмжээг 24 гурилын компаниудаар дамжуулан хөнгөлөлттэй зээлээр авч хэрэгжүүлсэн. 9 сарын байдлаар, махны компаниуд өөрсдийн зээлийг бүрэн барагдуулсан бол гурилын үйлдвэрлэгчид 4.1 тэрбум төгрөгийг арилжааны банкуудаар дамжуулан төв банкинд төлнө. </w:t>
            </w:r>
          </w:p>
          <w:p w14:paraId="509D1BB6" w14:textId="77777777" w:rsidR="008003C7" w:rsidRDefault="008003C7">
            <w:pPr>
              <w:pStyle w:val="ListParagraph"/>
              <w:rPr>
                <w:rFonts w:ascii="Arial" w:hAnsi="Arial" w:cs="Arial"/>
                <w:sz w:val="18"/>
                <w:szCs w:val="18"/>
              </w:rPr>
            </w:pPr>
          </w:p>
          <w:p w14:paraId="59A82A2F" w14:textId="223079DC" w:rsidR="008003C7" w:rsidRPr="00C97F2D" w:rsidRDefault="008003C7" w:rsidP="00630B23">
            <w:pPr>
              <w:pStyle w:val="ListParagraph"/>
              <w:numPr>
                <w:ilvl w:val="0"/>
                <w:numId w:val="27"/>
              </w:numPr>
              <w:jc w:val="both"/>
              <w:rPr>
                <w:rFonts w:ascii="Arial" w:hAnsi="Arial" w:cs="Arial"/>
                <w:sz w:val="18"/>
                <w:szCs w:val="18"/>
              </w:rPr>
            </w:pPr>
            <w:r w:rsidRPr="00C97F2D">
              <w:rPr>
                <w:rFonts w:ascii="Arial" w:hAnsi="Arial" w:cs="Arial"/>
                <w:sz w:val="18"/>
                <w:szCs w:val="18"/>
                <w:lang w:val="mn-MN"/>
              </w:rPr>
              <w:t>ҮТХ</w:t>
            </w:r>
            <w:r w:rsidRPr="00C97F2D">
              <w:rPr>
                <w:rFonts w:ascii="Arial" w:hAnsi="Arial" w:cs="Arial"/>
                <w:sz w:val="18"/>
                <w:szCs w:val="18"/>
              </w:rPr>
              <w:t>-</w:t>
            </w:r>
            <w:r w:rsidRPr="00C97F2D">
              <w:rPr>
                <w:rFonts w:ascii="Arial" w:hAnsi="Arial" w:cs="Arial"/>
                <w:sz w:val="18"/>
                <w:szCs w:val="18"/>
                <w:lang w:val="mn-MN"/>
              </w:rPr>
              <w:t xml:space="preserve">ийн дэд хөтөлбөр, </w:t>
            </w:r>
            <w:r w:rsidRPr="00C97F2D">
              <w:rPr>
                <w:rFonts w:ascii="Arial" w:hAnsi="Arial" w:cs="Arial"/>
                <w:sz w:val="18"/>
                <w:szCs w:val="18"/>
              </w:rPr>
              <w:t>“</w:t>
            </w:r>
            <w:r w:rsidRPr="00C97F2D">
              <w:rPr>
                <w:rFonts w:ascii="Arial" w:hAnsi="Arial" w:cs="Arial"/>
                <w:sz w:val="18"/>
                <w:szCs w:val="18"/>
                <w:lang w:val="mn-MN"/>
              </w:rPr>
              <w:t>барилгын голлох материалуудын үнийг тогтворжуулах</w:t>
            </w:r>
            <w:r w:rsidRPr="00C97F2D">
              <w:rPr>
                <w:rFonts w:ascii="Arial" w:hAnsi="Arial" w:cs="Arial"/>
                <w:sz w:val="18"/>
                <w:szCs w:val="18"/>
              </w:rPr>
              <w:t>”,</w:t>
            </w:r>
            <w:r w:rsidRPr="00C97F2D">
              <w:rPr>
                <w:rFonts w:ascii="Arial" w:hAnsi="Arial" w:cs="Arial"/>
                <w:sz w:val="18"/>
                <w:szCs w:val="18"/>
                <w:lang w:val="mn-MN"/>
              </w:rPr>
              <w:t xml:space="preserve"> хөтөлбөрөөр </w:t>
            </w:r>
            <w:r w:rsidRPr="00C97F2D">
              <w:rPr>
                <w:rFonts w:ascii="Arial" w:hAnsi="Arial" w:cs="Arial"/>
                <w:sz w:val="18"/>
                <w:szCs w:val="18"/>
              </w:rPr>
              <w:t>292.1</w:t>
            </w:r>
            <w:r w:rsidRPr="00C97F2D">
              <w:rPr>
                <w:rFonts w:ascii="Arial" w:hAnsi="Arial" w:cs="Arial"/>
                <w:sz w:val="18"/>
                <w:szCs w:val="18"/>
                <w:lang w:val="mn-MN"/>
              </w:rPr>
              <w:t xml:space="preserve"> тэрбум төгрөгийг гаргасан бөгөөд үүнээс 166.7 тэрбум төгрөгийг барилгын материал үйлдвэрлэдэг 68 компаниудад олгосон бол 55 компанид барилгын импортлодог материалын </w:t>
            </w:r>
            <w:r w:rsidRPr="00C97F2D">
              <w:rPr>
                <w:rFonts w:ascii="Arial" w:hAnsi="Arial" w:cs="Arial"/>
                <w:sz w:val="18"/>
                <w:szCs w:val="18"/>
              </w:rPr>
              <w:t>(</w:t>
            </w:r>
            <w:r w:rsidRPr="00C97F2D">
              <w:rPr>
                <w:rFonts w:ascii="Arial" w:hAnsi="Arial" w:cs="Arial"/>
                <w:sz w:val="18"/>
                <w:szCs w:val="18"/>
                <w:lang w:val="mn-MN"/>
              </w:rPr>
              <w:t>цемент</w:t>
            </w:r>
            <w:r w:rsidRPr="00C97F2D">
              <w:rPr>
                <w:rFonts w:ascii="Arial" w:hAnsi="Arial" w:cs="Arial"/>
                <w:sz w:val="18"/>
                <w:szCs w:val="18"/>
              </w:rPr>
              <w:t xml:space="preserve">, </w:t>
            </w:r>
            <w:r w:rsidRPr="00C97F2D">
              <w:rPr>
                <w:rFonts w:ascii="Arial" w:hAnsi="Arial" w:cs="Arial"/>
                <w:sz w:val="18"/>
                <w:szCs w:val="18"/>
                <w:lang w:val="mn-MN"/>
              </w:rPr>
              <w:t>арматур</w:t>
            </w:r>
            <w:r w:rsidRPr="00C97F2D">
              <w:rPr>
                <w:rFonts w:ascii="Arial" w:hAnsi="Arial" w:cs="Arial"/>
                <w:sz w:val="18"/>
                <w:szCs w:val="18"/>
              </w:rPr>
              <w:t>)</w:t>
            </w:r>
            <w:r w:rsidRPr="00C97F2D">
              <w:rPr>
                <w:rFonts w:ascii="Arial" w:hAnsi="Arial" w:cs="Arial"/>
                <w:sz w:val="18"/>
                <w:szCs w:val="18"/>
                <w:lang w:val="mn-MN"/>
              </w:rPr>
              <w:t xml:space="preserve"> үнийн улирлын хэлбэлзлийг бууруулахаар 125.4 тэрбум төгрөгийг олгосон. ҮТХ хүрээнд санхүүгийн дэмжлэг авч байгаа аж ахуйн нэгжүүд нь үнүүдийг тогтвортой барьсан</w:t>
            </w:r>
            <w:r w:rsidRPr="00C97F2D">
              <w:rPr>
                <w:rFonts w:ascii="Arial" w:hAnsi="Arial" w:cs="Arial"/>
                <w:sz w:val="18"/>
                <w:szCs w:val="18"/>
              </w:rPr>
              <w:t xml:space="preserve">: </w:t>
            </w:r>
            <w:r w:rsidRPr="00C97F2D">
              <w:rPr>
                <w:rFonts w:ascii="Arial" w:hAnsi="Arial" w:cs="Arial"/>
                <w:sz w:val="18"/>
                <w:szCs w:val="18"/>
                <w:lang w:val="mn-MN"/>
              </w:rPr>
              <w:t xml:space="preserve">цементийн үнэ </w:t>
            </w:r>
            <w:r w:rsidRPr="00C97F2D">
              <w:rPr>
                <w:rFonts w:ascii="Arial" w:hAnsi="Arial" w:cs="Arial"/>
                <w:sz w:val="18"/>
                <w:szCs w:val="18"/>
              </w:rPr>
              <w:t>132-138</w:t>
            </w:r>
            <w:r w:rsidRPr="00C97F2D">
              <w:rPr>
                <w:rFonts w:ascii="Arial" w:hAnsi="Arial" w:cs="Arial"/>
                <w:sz w:val="18"/>
                <w:szCs w:val="18"/>
                <w:lang w:val="mn-MN"/>
              </w:rPr>
              <w:t xml:space="preserve"> мянган төгрөг, арматурын үнэ нь 2013 оны 2 болон 3 дугаар улирлын хооронд </w:t>
            </w:r>
            <w:r w:rsidRPr="00C97F2D">
              <w:rPr>
                <w:rFonts w:ascii="Arial" w:hAnsi="Arial" w:cs="Arial"/>
                <w:sz w:val="18"/>
                <w:szCs w:val="18"/>
              </w:rPr>
              <w:t xml:space="preserve">1,100-1,130 </w:t>
            </w:r>
            <w:r w:rsidRPr="00C97F2D">
              <w:rPr>
                <w:rFonts w:ascii="Arial" w:hAnsi="Arial" w:cs="Arial"/>
                <w:sz w:val="18"/>
                <w:szCs w:val="18"/>
                <w:lang w:val="mn-MN"/>
              </w:rPr>
              <w:t>мянган төгрөг байлаа</w:t>
            </w:r>
            <w:r w:rsidRPr="00C97F2D">
              <w:rPr>
                <w:rFonts w:ascii="Arial" w:hAnsi="Arial" w:cs="Arial"/>
                <w:sz w:val="18"/>
                <w:szCs w:val="18"/>
              </w:rPr>
              <w:t xml:space="preserve">. </w:t>
            </w:r>
            <w:r w:rsidRPr="00C97F2D">
              <w:rPr>
                <w:rFonts w:ascii="Arial" w:hAnsi="Arial" w:cs="Arial"/>
                <w:sz w:val="18"/>
                <w:szCs w:val="18"/>
                <w:lang w:val="mn-MN"/>
              </w:rPr>
              <w:t xml:space="preserve"> Гэвч ҮТХ гэрээний нөхцөлүүдийг биелүүлэхэд үйлдвэрлэл нэмэгдэж байгаа бөгөөд валютын ханш суларч байгаа нь импортын өртөг нэмэгдэж, биелэхэд улам төвөгтэй болж байна. 8 дугаар сард цементын үнэ </w:t>
            </w:r>
            <w:r w:rsidRPr="00C97F2D">
              <w:rPr>
                <w:rFonts w:ascii="Arial" w:hAnsi="Arial" w:cs="Arial"/>
                <w:sz w:val="18"/>
                <w:szCs w:val="18"/>
              </w:rPr>
              <w:t>140-145</w:t>
            </w:r>
            <w:r w:rsidRPr="00C97F2D">
              <w:rPr>
                <w:rFonts w:ascii="Arial" w:hAnsi="Arial" w:cs="Arial"/>
                <w:sz w:val="18"/>
                <w:szCs w:val="18"/>
                <w:lang w:val="mn-MN"/>
              </w:rPr>
              <w:t xml:space="preserve"> мянган төгрөг хүрсэн бол арматурын үнэ </w:t>
            </w:r>
            <w:r w:rsidRPr="00C97F2D">
              <w:rPr>
                <w:rFonts w:ascii="Arial" w:hAnsi="Arial" w:cs="Arial"/>
                <w:sz w:val="18"/>
                <w:szCs w:val="18"/>
              </w:rPr>
              <w:t>1,150-1,170</w:t>
            </w:r>
            <w:r w:rsidRPr="00C97F2D">
              <w:rPr>
                <w:rFonts w:ascii="Arial" w:hAnsi="Arial" w:cs="Arial"/>
                <w:sz w:val="18"/>
                <w:szCs w:val="18"/>
                <w:lang w:val="mn-MN"/>
              </w:rPr>
              <w:t xml:space="preserve"> мянган төгрөгт хүрсэн</w:t>
            </w:r>
            <w:r w:rsidRPr="00C97F2D">
              <w:rPr>
                <w:rFonts w:ascii="Arial" w:hAnsi="Arial" w:cs="Arial"/>
                <w:sz w:val="18"/>
                <w:szCs w:val="18"/>
              </w:rPr>
              <w:t xml:space="preserve">. </w:t>
            </w:r>
          </w:p>
          <w:p w14:paraId="23673BF8" w14:textId="77777777" w:rsidR="008003C7" w:rsidRDefault="008003C7">
            <w:pPr>
              <w:jc w:val="both"/>
              <w:rPr>
                <w:rFonts w:ascii="Arial" w:hAnsi="Arial" w:cs="Arial"/>
                <w:sz w:val="18"/>
                <w:szCs w:val="18"/>
              </w:rPr>
            </w:pPr>
            <w:r>
              <w:rPr>
                <w:rFonts w:ascii="Arial" w:hAnsi="Arial" w:cs="Arial"/>
                <w:sz w:val="18"/>
                <w:szCs w:val="18"/>
                <w:lang w:val="mn-MN"/>
              </w:rPr>
              <w:t>Эх үүсвэр</w:t>
            </w:r>
            <w:r>
              <w:rPr>
                <w:rFonts w:ascii="Arial" w:hAnsi="Arial" w:cs="Arial"/>
                <w:sz w:val="18"/>
                <w:szCs w:val="18"/>
              </w:rPr>
              <w:t xml:space="preserve">: </w:t>
            </w:r>
            <w:r>
              <w:rPr>
                <w:rFonts w:ascii="Arial" w:hAnsi="Arial" w:cs="Arial"/>
                <w:sz w:val="18"/>
                <w:szCs w:val="18"/>
                <w:lang w:val="mn-MN"/>
              </w:rPr>
              <w:t>ДБ мэргэжилтнүүд</w:t>
            </w:r>
          </w:p>
        </w:tc>
      </w:tr>
      <w:tr w:rsidR="008003C7" w14:paraId="4616CA23" w14:textId="77777777" w:rsidTr="008003C7">
        <w:tc>
          <w:tcPr>
            <w:tcW w:w="9576" w:type="dxa"/>
            <w:tcBorders>
              <w:top w:val="single" w:sz="4" w:space="0" w:color="auto"/>
              <w:left w:val="single" w:sz="4" w:space="0" w:color="auto"/>
              <w:bottom w:val="single" w:sz="4" w:space="0" w:color="auto"/>
              <w:right w:val="single" w:sz="4" w:space="0" w:color="auto"/>
            </w:tcBorders>
            <w:hideMark/>
          </w:tcPr>
          <w:p w14:paraId="6F6D17E0" w14:textId="77777777" w:rsidR="008003C7" w:rsidRDefault="008003C7">
            <w:pPr>
              <w:pStyle w:val="Caption"/>
              <w:keepNext/>
              <w:rPr>
                <w:rFonts w:ascii="Arial" w:hAnsi="Arial" w:cs="Arial"/>
              </w:rPr>
            </w:pPr>
            <w:bookmarkStart w:id="66" w:name="_Toc371339045"/>
            <w:r>
              <w:rPr>
                <w:rFonts w:ascii="Arial" w:hAnsi="Arial" w:cs="Arial"/>
                <w:lang w:val="mn-MN"/>
              </w:rPr>
              <w:lastRenderedPageBreak/>
              <w:t xml:space="preserve">Хайрцаг </w:t>
            </w:r>
            <w:r>
              <w:rPr>
                <w:rFonts w:ascii="Arial" w:hAnsi="Arial" w:cs="Arial"/>
              </w:rPr>
              <w:fldChar w:fldCharType="begin"/>
            </w:r>
            <w:r>
              <w:rPr>
                <w:rFonts w:ascii="Arial" w:hAnsi="Arial" w:cs="Arial"/>
              </w:rPr>
              <w:instrText xml:space="preserve"> SEQ Box \* ARABIC </w:instrText>
            </w:r>
            <w:r>
              <w:rPr>
                <w:rFonts w:ascii="Arial" w:hAnsi="Arial" w:cs="Arial"/>
              </w:rPr>
              <w:fldChar w:fldCharType="separate"/>
            </w:r>
            <w:r>
              <w:rPr>
                <w:rFonts w:ascii="Arial" w:hAnsi="Arial" w:cs="Arial"/>
                <w:noProof/>
              </w:rPr>
              <w:t>6</w:t>
            </w:r>
            <w:r>
              <w:rPr>
                <w:rFonts w:ascii="Arial" w:hAnsi="Arial" w:cs="Arial"/>
              </w:rPr>
              <w:fldChar w:fldCharType="end"/>
            </w:r>
            <w:r>
              <w:rPr>
                <w:rFonts w:ascii="Arial" w:hAnsi="Arial" w:cs="Arial"/>
              </w:rPr>
              <w:t xml:space="preserve">. </w:t>
            </w:r>
            <w:r>
              <w:rPr>
                <w:rFonts w:ascii="Arial" w:hAnsi="Arial" w:cs="Arial"/>
                <w:lang w:val="mn-MN"/>
              </w:rPr>
              <w:t>Барилгын болон Орон сууцны хөгжлийг дэмжих хөтөлбөр</w:t>
            </w:r>
            <w:bookmarkEnd w:id="66"/>
          </w:p>
          <w:p w14:paraId="4739D726" w14:textId="77777777" w:rsidR="008003C7" w:rsidRDefault="008003C7">
            <w:pPr>
              <w:spacing w:before="120" w:after="120"/>
              <w:jc w:val="both"/>
              <w:rPr>
                <w:rFonts w:ascii="Arial" w:hAnsi="Arial" w:cs="Arial"/>
                <w:sz w:val="18"/>
                <w:szCs w:val="20"/>
              </w:rPr>
            </w:pPr>
            <w:r>
              <w:rPr>
                <w:rFonts w:ascii="Arial" w:hAnsi="Arial" w:cs="Arial"/>
                <w:b/>
                <w:sz w:val="18"/>
                <w:szCs w:val="20"/>
                <w:lang w:val="mn-MN"/>
              </w:rPr>
              <w:t>Танилцуулга</w:t>
            </w:r>
            <w:r>
              <w:rPr>
                <w:rFonts w:ascii="Arial" w:hAnsi="Arial" w:cs="Arial"/>
                <w:b/>
                <w:sz w:val="18"/>
                <w:szCs w:val="20"/>
              </w:rPr>
              <w:t xml:space="preserve">. </w:t>
            </w:r>
            <w:r>
              <w:rPr>
                <w:rFonts w:ascii="Arial" w:hAnsi="Arial" w:cs="Arial"/>
                <w:sz w:val="18"/>
                <w:szCs w:val="20"/>
              </w:rPr>
              <w:t>2013</w:t>
            </w:r>
            <w:r>
              <w:rPr>
                <w:rFonts w:ascii="Arial" w:hAnsi="Arial" w:cs="Arial"/>
                <w:sz w:val="18"/>
                <w:szCs w:val="20"/>
                <w:lang w:val="mn-MN"/>
              </w:rPr>
              <w:t xml:space="preserve"> онд Засгийн газраас барилгын болон орон сууцны салбарыг дэмжих чиглэлээр олон тооны арга хэмжээг авч хэрэгжүүлсэн. Дэмжлэгийн арга хэмжээнүүдэд барилгын материалын үнүүдийг тогтворжуулах Үнийг тогтворжуулах хөтөлбөр болон барилгын компаниуд болон үл хөдлөх хөрөнгө компаниудад санхүүгийн дэмжлэг үзүүлсэн бөгөөд өрх гэр бүлд бага хүүтэй зээл олгосон. Үнийг тогтворжуулах Хөтөлбөрийн хүрээнд барилгын салбарт </w:t>
            </w:r>
            <w:r>
              <w:rPr>
                <w:rFonts w:ascii="Arial" w:hAnsi="Arial" w:cs="Arial"/>
                <w:sz w:val="18"/>
                <w:szCs w:val="20"/>
              </w:rPr>
              <w:t>292.1</w:t>
            </w:r>
            <w:r>
              <w:rPr>
                <w:rFonts w:ascii="Arial" w:hAnsi="Arial" w:cs="Arial"/>
                <w:sz w:val="18"/>
                <w:szCs w:val="20"/>
                <w:lang w:val="mn-MN"/>
              </w:rPr>
              <w:t xml:space="preserve"> тэрбум төгрөгийг олгосноос гадна</w:t>
            </w:r>
            <w:r>
              <w:rPr>
                <w:rFonts w:ascii="Arial" w:hAnsi="Arial" w:cs="Arial"/>
                <w:sz w:val="18"/>
                <w:szCs w:val="20"/>
              </w:rPr>
              <w:t xml:space="preserve"> (</w:t>
            </w:r>
            <w:r>
              <w:rPr>
                <w:rFonts w:ascii="Arial" w:hAnsi="Arial" w:cs="Arial"/>
                <w:sz w:val="18"/>
                <w:szCs w:val="20"/>
                <w:lang w:val="mn-MN"/>
              </w:rPr>
              <w:t>дэлгэрэнгүйг Хайрцаг 5</w:t>
            </w:r>
            <w:r>
              <w:rPr>
                <w:rFonts w:ascii="Arial" w:hAnsi="Arial" w:cs="Arial"/>
                <w:sz w:val="18"/>
                <w:szCs w:val="20"/>
              </w:rPr>
              <w:t>-</w:t>
            </w:r>
            <w:r>
              <w:rPr>
                <w:rFonts w:ascii="Arial" w:hAnsi="Arial" w:cs="Arial"/>
                <w:sz w:val="18"/>
                <w:szCs w:val="20"/>
                <w:lang w:val="mn-MN"/>
              </w:rPr>
              <w:t>аас харна уу</w:t>
            </w:r>
            <w:r>
              <w:rPr>
                <w:rFonts w:ascii="Arial" w:hAnsi="Arial" w:cs="Arial"/>
                <w:sz w:val="18"/>
                <w:szCs w:val="20"/>
              </w:rPr>
              <w:t>),</w:t>
            </w:r>
            <w:r>
              <w:rPr>
                <w:rFonts w:ascii="Arial" w:hAnsi="Arial" w:cs="Arial"/>
                <w:sz w:val="18"/>
                <w:szCs w:val="20"/>
                <w:lang w:val="mn-MN"/>
              </w:rPr>
              <w:t xml:space="preserve"> Засгийн газар болон Монголбанк нь 6 сарын сүүлчээр барилгын болон орон сууцны салбарт нэмэлт арга хэмжээг авсан. Эдгээр арга хэмжээнд </w:t>
            </w:r>
            <w:r>
              <w:rPr>
                <w:rFonts w:ascii="Arial" w:hAnsi="Arial" w:cs="Arial"/>
                <w:sz w:val="18"/>
                <w:szCs w:val="20"/>
              </w:rPr>
              <w:t xml:space="preserve">(i) </w:t>
            </w:r>
            <w:r>
              <w:rPr>
                <w:rFonts w:ascii="Arial" w:hAnsi="Arial" w:cs="Arial"/>
                <w:sz w:val="18"/>
                <w:szCs w:val="20"/>
                <w:lang w:val="mn-MN"/>
              </w:rPr>
              <w:t xml:space="preserve">орон сууцны татаастай зээллэгт зориулж арилжааны банкуудад </w:t>
            </w:r>
            <w:r>
              <w:rPr>
                <w:rFonts w:ascii="Arial" w:hAnsi="Arial" w:cs="Arial"/>
                <w:sz w:val="18"/>
                <w:szCs w:val="20"/>
              </w:rPr>
              <w:t xml:space="preserve">1,125 </w:t>
            </w:r>
            <w:r>
              <w:rPr>
                <w:rFonts w:ascii="Arial" w:hAnsi="Arial" w:cs="Arial"/>
                <w:sz w:val="18"/>
                <w:szCs w:val="20"/>
                <w:lang w:val="mn-MN"/>
              </w:rPr>
              <w:t>тэрбум төгрөг олгосон мөн</w:t>
            </w:r>
            <w:r>
              <w:rPr>
                <w:rFonts w:ascii="Arial" w:hAnsi="Arial" w:cs="Arial"/>
                <w:sz w:val="18"/>
                <w:szCs w:val="20"/>
              </w:rPr>
              <w:t xml:space="preserve"> (ii) </w:t>
            </w:r>
            <w:r>
              <w:rPr>
                <w:rFonts w:ascii="Arial" w:hAnsi="Arial" w:cs="Arial"/>
                <w:sz w:val="18"/>
                <w:szCs w:val="20"/>
                <w:lang w:val="mn-MN"/>
              </w:rPr>
              <w:t xml:space="preserve">орон сууцны барилгад арилжааны банкуудаар дамжуулан </w:t>
            </w:r>
            <w:r>
              <w:rPr>
                <w:rFonts w:ascii="Arial" w:hAnsi="Arial" w:cs="Arial"/>
                <w:sz w:val="18"/>
                <w:szCs w:val="20"/>
              </w:rPr>
              <w:t>430</w:t>
            </w:r>
            <w:r>
              <w:rPr>
                <w:rFonts w:ascii="Arial" w:hAnsi="Arial" w:cs="Arial"/>
                <w:sz w:val="18"/>
                <w:szCs w:val="20"/>
                <w:lang w:val="mn-MN"/>
              </w:rPr>
              <w:t xml:space="preserve"> тэрбум төгрөгийг 7 хувийн хүүтэй, 18 сарын хугацаатайгаар олгосон. </w:t>
            </w:r>
          </w:p>
          <w:p w14:paraId="10FFA081" w14:textId="77777777" w:rsidR="008003C7" w:rsidRDefault="008003C7">
            <w:pPr>
              <w:spacing w:before="120" w:after="120" w:line="264" w:lineRule="auto"/>
              <w:jc w:val="both"/>
              <w:rPr>
                <w:rFonts w:ascii="Arial" w:hAnsi="Arial" w:cs="Arial"/>
                <w:sz w:val="18"/>
                <w:szCs w:val="20"/>
              </w:rPr>
            </w:pPr>
            <w:r>
              <w:rPr>
                <w:rFonts w:ascii="Arial" w:hAnsi="Arial" w:cs="Arial"/>
                <w:sz w:val="18"/>
                <w:szCs w:val="20"/>
                <w:lang w:val="mn-MN"/>
              </w:rPr>
              <w:t xml:space="preserve">Эдгээр иж бүрэн арга хэмжээнүүдийн үр дүнд, барилгын салбартай холбоотой бодлогын зээлийн хэмжээ нь ойролцоогоор </w:t>
            </w:r>
            <w:r>
              <w:rPr>
                <w:rFonts w:ascii="Arial" w:hAnsi="Arial" w:cs="Arial"/>
                <w:sz w:val="18"/>
                <w:szCs w:val="20"/>
              </w:rPr>
              <w:t>1.8</w:t>
            </w:r>
            <w:r>
              <w:rPr>
                <w:rFonts w:ascii="Arial" w:hAnsi="Arial" w:cs="Arial"/>
                <w:sz w:val="18"/>
                <w:szCs w:val="20"/>
                <w:lang w:val="mn-MN"/>
              </w:rPr>
              <w:t xml:space="preserve"> их наядад хүрээд байгаа бөгөөд энэ нь янз бүрийн бодлогын зээлийн хөтөлбөрүүдийн нийт зээлийн </w:t>
            </w:r>
            <w:r>
              <w:rPr>
                <w:rFonts w:ascii="Arial" w:hAnsi="Arial" w:cs="Arial"/>
                <w:sz w:val="18"/>
                <w:szCs w:val="20"/>
              </w:rPr>
              <w:t xml:space="preserve">( 3.1 </w:t>
            </w:r>
            <w:r>
              <w:rPr>
                <w:rFonts w:ascii="Arial" w:hAnsi="Arial" w:cs="Arial"/>
                <w:sz w:val="18"/>
                <w:szCs w:val="20"/>
                <w:lang w:val="mn-MN"/>
              </w:rPr>
              <w:t>их наяд төгрөгийн</w:t>
            </w:r>
            <w:r>
              <w:rPr>
                <w:rFonts w:ascii="Arial" w:hAnsi="Arial" w:cs="Arial"/>
                <w:sz w:val="18"/>
                <w:szCs w:val="20"/>
              </w:rPr>
              <w:t>)</w:t>
            </w:r>
            <w:r>
              <w:rPr>
                <w:rFonts w:ascii="Arial" w:hAnsi="Arial" w:cs="Arial"/>
                <w:sz w:val="18"/>
                <w:szCs w:val="20"/>
                <w:lang w:val="mn-MN"/>
              </w:rPr>
              <w:t xml:space="preserve"> 60 гаран хувь болж байна. </w:t>
            </w:r>
          </w:p>
          <w:p w14:paraId="39BD2438" w14:textId="0B33E21E" w:rsidR="008003C7" w:rsidRDefault="008003C7">
            <w:pPr>
              <w:spacing w:before="120" w:after="120" w:line="264" w:lineRule="auto"/>
              <w:jc w:val="both"/>
              <w:rPr>
                <w:rFonts w:ascii="Arial" w:hAnsi="Arial" w:cs="Arial"/>
                <w:color w:val="000000"/>
                <w:sz w:val="18"/>
                <w:szCs w:val="20"/>
              </w:rPr>
            </w:pPr>
            <w:r>
              <w:rPr>
                <w:rFonts w:ascii="Arial" w:hAnsi="Arial" w:cs="Arial"/>
                <w:b/>
                <w:sz w:val="18"/>
                <w:szCs w:val="20"/>
                <w:lang w:val="mn-MN"/>
              </w:rPr>
              <w:t xml:space="preserve">Орон сууцны санхүүжилтийн хөтөлбөр. </w:t>
            </w:r>
            <w:r>
              <w:rPr>
                <w:rFonts w:ascii="Arial" w:hAnsi="Arial" w:cs="Arial"/>
                <w:sz w:val="18"/>
                <w:szCs w:val="20"/>
                <w:lang w:val="mn-MN"/>
              </w:rPr>
              <w:t xml:space="preserve">Орон сууцны санхүүжилтэнд зориулж Монголбанкнаас 4 хувийн хүүтэй </w:t>
            </w:r>
            <w:r>
              <w:rPr>
                <w:rFonts w:ascii="Arial" w:hAnsi="Arial" w:cs="Arial"/>
                <w:sz w:val="18"/>
                <w:szCs w:val="20"/>
              </w:rPr>
              <w:t>1,125</w:t>
            </w:r>
            <w:r>
              <w:rPr>
                <w:rFonts w:ascii="Arial" w:hAnsi="Arial" w:cs="Arial"/>
                <w:sz w:val="18"/>
                <w:szCs w:val="20"/>
                <w:lang w:val="mn-MN"/>
              </w:rPr>
              <w:t xml:space="preserve"> тэрбум төгрөгийг арилжааны банкуудад олгосон бөгөөд үүнийг инфляциас хамааруулан хувь хүмүүс, зээлдэгчид 20 жилийн хугацаатайгаар 7 болон 9 хувийн хооронд хэлбэлзэлтэйгээр олгогдсон. 2013 оны эхээр зах зээлд суурилсан хүү нь жилийн </w:t>
            </w:r>
            <w:r>
              <w:rPr>
                <w:rFonts w:ascii="Arial" w:hAnsi="Arial" w:cs="Arial"/>
                <w:sz w:val="18"/>
                <w:szCs w:val="20"/>
              </w:rPr>
              <w:t>27</w:t>
            </w:r>
            <w:r>
              <w:rPr>
                <w:rFonts w:ascii="Arial" w:hAnsi="Arial" w:cs="Arial"/>
                <w:sz w:val="18"/>
                <w:szCs w:val="20"/>
                <w:lang w:val="mn-MN"/>
              </w:rPr>
              <w:t xml:space="preserve"> хувьд хүрч байсан</w:t>
            </w:r>
            <w:r>
              <w:rPr>
                <w:rFonts w:ascii="Arial" w:hAnsi="Arial" w:cs="Arial"/>
                <w:sz w:val="18"/>
                <w:szCs w:val="20"/>
              </w:rPr>
              <w:t>.</w:t>
            </w:r>
            <w:r>
              <w:rPr>
                <w:rFonts w:ascii="Arial" w:hAnsi="Arial" w:cs="Arial"/>
                <w:sz w:val="18"/>
                <w:szCs w:val="20"/>
                <w:lang w:val="mn-MN"/>
              </w:rPr>
              <w:t xml:space="preserve"> Эдгээр татаас бүхий орон сууцны зээлийг Монголын Ипотекийн Корпораци</w:t>
            </w:r>
            <w:r w:rsidR="00C97F2D">
              <w:rPr>
                <w:rFonts w:ascii="Arial" w:hAnsi="Arial" w:cs="Arial"/>
                <w:sz w:val="18"/>
                <w:szCs w:val="20"/>
                <w:lang w:val="mn-MN"/>
              </w:rPr>
              <w:t xml:space="preserve"> үнэт цаасаар баталгаажуул</w:t>
            </w:r>
            <w:r>
              <w:rPr>
                <w:rFonts w:ascii="Arial" w:hAnsi="Arial" w:cs="Arial"/>
                <w:sz w:val="18"/>
                <w:szCs w:val="20"/>
                <w:lang w:val="mn-MN"/>
              </w:rPr>
              <w:t xml:space="preserve">ж багцлагдсны дараа МБ болон Нийгмийн Даатгалын Сан </w:t>
            </w:r>
            <w:r>
              <w:rPr>
                <w:rFonts w:ascii="Arial" w:hAnsi="Arial" w:cs="Arial"/>
                <w:sz w:val="18"/>
                <w:szCs w:val="20"/>
              </w:rPr>
              <w:t>(</w:t>
            </w:r>
            <w:r>
              <w:rPr>
                <w:rFonts w:ascii="Arial" w:hAnsi="Arial" w:cs="Arial"/>
                <w:sz w:val="18"/>
                <w:szCs w:val="20"/>
                <w:lang w:val="mn-MN"/>
              </w:rPr>
              <w:t>НДС</w:t>
            </w:r>
            <w:r>
              <w:rPr>
                <w:rFonts w:ascii="Arial" w:hAnsi="Arial" w:cs="Arial"/>
                <w:sz w:val="18"/>
                <w:szCs w:val="20"/>
              </w:rPr>
              <w:t>)</w:t>
            </w:r>
            <w:r>
              <w:rPr>
                <w:rFonts w:ascii="Arial" w:hAnsi="Arial" w:cs="Arial"/>
                <w:sz w:val="18"/>
                <w:szCs w:val="20"/>
                <w:lang w:val="mn-MN"/>
              </w:rPr>
              <w:t xml:space="preserve"> худалдана. Уг хөтөлбөр нь мөн одоогийн байгаа орон сууцны зээлийг татаас бүхий зээлийн хүүнд дахин санхүүжүүлэх арга хэмжээ багтаж байгаа нь багцын зээлийн удирдлагын арга хэмжээ гэж харагдаж байна. Үл хөдлөх хөрөнгө худалдан авах шалгуурт барьцаанд очих орон сууц нь </w:t>
            </w:r>
            <w:r>
              <w:rPr>
                <w:rFonts w:ascii="Arial" w:hAnsi="Arial" w:cs="Arial"/>
                <w:color w:val="000000"/>
                <w:sz w:val="18"/>
                <w:szCs w:val="20"/>
              </w:rPr>
              <w:t xml:space="preserve">80 </w:t>
            </w:r>
            <w:r>
              <w:rPr>
                <w:rFonts w:ascii="Arial" w:hAnsi="Arial" w:cs="Arial"/>
                <w:color w:val="000000"/>
                <w:sz w:val="18"/>
                <w:szCs w:val="20"/>
                <w:lang w:val="mn-MN"/>
              </w:rPr>
              <w:t>м</w:t>
            </w:r>
            <w:r>
              <w:rPr>
                <w:rFonts w:ascii="Arial" w:hAnsi="Arial" w:cs="Arial"/>
                <w:color w:val="000000"/>
                <w:sz w:val="18"/>
                <w:szCs w:val="20"/>
                <w:vertAlign w:val="superscript"/>
              </w:rPr>
              <w:t>2</w:t>
            </w:r>
            <w:r>
              <w:rPr>
                <w:rFonts w:ascii="Arial" w:hAnsi="Arial" w:cs="Arial"/>
                <w:color w:val="000000"/>
                <w:sz w:val="18"/>
                <w:szCs w:val="20"/>
                <w:lang w:val="mn-MN"/>
              </w:rPr>
              <w:t xml:space="preserve"> байх бөгөөд энэ нь одоогийн орон сууцны багцад дунджаар</w:t>
            </w:r>
            <w:r>
              <w:rPr>
                <w:rFonts w:ascii="Arial" w:hAnsi="Arial" w:cs="Arial"/>
                <w:color w:val="000000"/>
                <w:sz w:val="18"/>
                <w:szCs w:val="20"/>
              </w:rPr>
              <w:t xml:space="preserve"> 50 </w:t>
            </w:r>
            <w:r>
              <w:rPr>
                <w:rFonts w:ascii="Arial" w:hAnsi="Arial" w:cs="Arial"/>
                <w:color w:val="000000"/>
                <w:sz w:val="18"/>
                <w:szCs w:val="20"/>
                <w:lang w:val="mn-MN"/>
              </w:rPr>
              <w:t>м</w:t>
            </w:r>
            <w:r>
              <w:rPr>
                <w:rFonts w:ascii="Arial" w:hAnsi="Arial" w:cs="Arial"/>
                <w:color w:val="000000"/>
                <w:sz w:val="18"/>
                <w:szCs w:val="20"/>
                <w:vertAlign w:val="superscript"/>
              </w:rPr>
              <w:t>2</w:t>
            </w:r>
            <w:r>
              <w:rPr>
                <w:rFonts w:ascii="Arial" w:hAnsi="Arial" w:cs="Arial"/>
                <w:color w:val="000000"/>
                <w:sz w:val="18"/>
                <w:szCs w:val="20"/>
                <w:lang w:val="mn-MN"/>
              </w:rPr>
              <w:t xml:space="preserve"> гэж байгаагаас нэлээд өндөр байгаа юм. Зээлийг авах хүмүүс нь тогтмол ажилтай, 1 саяас дээш орлоготой байх шаардлагатай. </w:t>
            </w:r>
          </w:p>
          <w:p w14:paraId="28234A64" w14:textId="52743FE1" w:rsidR="008003C7" w:rsidRDefault="008003C7">
            <w:pPr>
              <w:spacing w:before="120" w:after="120" w:line="264" w:lineRule="auto"/>
              <w:jc w:val="both"/>
              <w:rPr>
                <w:rFonts w:ascii="Arial" w:hAnsi="Arial" w:cs="Arial"/>
                <w:sz w:val="18"/>
                <w:szCs w:val="20"/>
              </w:rPr>
            </w:pPr>
            <w:r>
              <w:rPr>
                <w:rFonts w:ascii="Arial" w:hAnsi="Arial" w:cs="Arial"/>
                <w:sz w:val="18"/>
                <w:szCs w:val="20"/>
                <w:lang w:val="mn-MN"/>
              </w:rPr>
              <w:t>Орон сууцны санхүүжилтийн хөтөлбөр</w:t>
            </w:r>
            <w:r w:rsidR="00C97F2D">
              <w:rPr>
                <w:rFonts w:ascii="Arial" w:hAnsi="Arial" w:cs="Arial"/>
                <w:sz w:val="18"/>
                <w:szCs w:val="20"/>
                <w:lang w:val="mn-MN"/>
              </w:rPr>
              <w:t>т</w:t>
            </w:r>
            <w:r>
              <w:rPr>
                <w:rFonts w:ascii="Arial" w:hAnsi="Arial" w:cs="Arial"/>
                <w:sz w:val="18"/>
                <w:szCs w:val="20"/>
                <w:lang w:val="mn-MN"/>
              </w:rPr>
              <w:t xml:space="preserve"> өмнө нь хэд хэдэн амжилтгүй оролдлого байсан боловч орон сууцны зах зээлийн хөгжилд чиглэсэн иж бүрэн хандлагыг боловсруулах зорилготой байлаа. Энэхүү хөтөлбөр нь олон тооны оролцогчтой төвөгтэй</w:t>
            </w:r>
            <w:r>
              <w:rPr>
                <w:rFonts w:ascii="Arial" w:hAnsi="Arial" w:cs="Arial"/>
                <w:sz w:val="18"/>
                <w:szCs w:val="20"/>
              </w:rPr>
              <w:t xml:space="preserve"> (</w:t>
            </w:r>
            <w:r>
              <w:rPr>
                <w:rFonts w:ascii="Arial" w:hAnsi="Arial" w:cs="Arial"/>
                <w:sz w:val="18"/>
                <w:szCs w:val="20"/>
                <w:lang w:val="mn-MN"/>
              </w:rPr>
              <w:t>МБ, олон тооны яамдууд, НДС, хөрөнгийн зах зээлийн зохицуулагч, МИК болон голлох зээлдэгчүүд</w:t>
            </w:r>
            <w:r>
              <w:rPr>
                <w:rFonts w:ascii="Arial" w:hAnsi="Arial" w:cs="Arial"/>
                <w:sz w:val="18"/>
                <w:szCs w:val="20"/>
              </w:rPr>
              <w:t xml:space="preserve">) and </w:t>
            </w:r>
            <w:r>
              <w:rPr>
                <w:rFonts w:ascii="Arial" w:hAnsi="Arial" w:cs="Arial"/>
                <w:sz w:val="18"/>
                <w:szCs w:val="20"/>
                <w:lang w:val="mn-MN"/>
              </w:rPr>
              <w:t>бөгөөд Монголын нөхцөлд шалгагдаагүй байна</w:t>
            </w:r>
            <w:r>
              <w:rPr>
                <w:rFonts w:ascii="Arial" w:hAnsi="Arial" w:cs="Arial"/>
                <w:sz w:val="18"/>
                <w:szCs w:val="20"/>
              </w:rPr>
              <w:t xml:space="preserve"> (</w:t>
            </w:r>
            <w:r>
              <w:rPr>
                <w:rFonts w:ascii="Arial" w:hAnsi="Arial" w:cs="Arial"/>
                <w:sz w:val="18"/>
                <w:szCs w:val="20"/>
                <w:lang w:val="mn-MN"/>
              </w:rPr>
              <w:t>орон сууцны борлуулалт нь бүрэн эрсдлийг шилжүүлэх, ОСХБаталгаажуулах, түүнийг гаргах, худалдаалах, НДС</w:t>
            </w:r>
            <w:r>
              <w:rPr>
                <w:rFonts w:ascii="Arial" w:hAnsi="Arial" w:cs="Arial"/>
                <w:sz w:val="18"/>
                <w:szCs w:val="20"/>
              </w:rPr>
              <w:t>-</w:t>
            </w:r>
            <w:r>
              <w:rPr>
                <w:rFonts w:ascii="Arial" w:hAnsi="Arial" w:cs="Arial"/>
                <w:sz w:val="18"/>
                <w:szCs w:val="20"/>
                <w:lang w:val="mn-MN"/>
              </w:rPr>
              <w:t>ийн хөрөнгө оруулалт гэх мэт</w:t>
            </w:r>
            <w:r>
              <w:rPr>
                <w:rFonts w:ascii="Arial" w:hAnsi="Arial" w:cs="Arial"/>
                <w:sz w:val="18"/>
                <w:szCs w:val="20"/>
              </w:rPr>
              <w:t>).</w:t>
            </w:r>
            <w:r>
              <w:rPr>
                <w:rFonts w:ascii="Arial" w:hAnsi="Arial" w:cs="Arial"/>
                <w:sz w:val="18"/>
                <w:szCs w:val="20"/>
                <w:lang w:val="mn-MN"/>
              </w:rPr>
              <w:t xml:space="preserve"> Энэ нь өнөөгийн байгаа багцын үлдэгдлээс 32 хувиар илүү байгаа бөгөөд тоо хэмжээний хувьд жирийн орон сууцны зээлийн 5</w:t>
            </w:r>
            <w:r>
              <w:rPr>
                <w:rFonts w:ascii="Arial" w:hAnsi="Arial" w:cs="Arial"/>
                <w:sz w:val="18"/>
                <w:szCs w:val="20"/>
              </w:rPr>
              <w:t>-</w:t>
            </w:r>
            <w:r>
              <w:rPr>
                <w:rFonts w:ascii="Arial" w:hAnsi="Arial" w:cs="Arial"/>
                <w:sz w:val="18"/>
                <w:szCs w:val="20"/>
                <w:lang w:val="mn-MN"/>
              </w:rPr>
              <w:t>6 жилийн хугацааны хөрөнгөтэй тэнцүү хэмжээтэй</w:t>
            </w:r>
            <w:r>
              <w:rPr>
                <w:rFonts w:ascii="Arial" w:hAnsi="Arial" w:cs="Arial"/>
                <w:sz w:val="18"/>
                <w:szCs w:val="20"/>
              </w:rPr>
              <w:t>.</w:t>
            </w:r>
            <w:r>
              <w:rPr>
                <w:rFonts w:ascii="Arial" w:hAnsi="Arial" w:cs="Arial"/>
                <w:sz w:val="18"/>
                <w:szCs w:val="20"/>
                <w:lang w:val="mn-MN"/>
              </w:rPr>
              <w:t xml:space="preserve"> Мөн энэ</w:t>
            </w:r>
            <w:r w:rsidR="00B104DB">
              <w:rPr>
                <w:rFonts w:ascii="Arial" w:hAnsi="Arial" w:cs="Arial"/>
                <w:sz w:val="18"/>
                <w:szCs w:val="20"/>
                <w:lang w:val="mn-MN"/>
              </w:rPr>
              <w:t>д</w:t>
            </w:r>
            <w:r>
              <w:rPr>
                <w:rFonts w:ascii="Arial" w:hAnsi="Arial" w:cs="Arial"/>
                <w:sz w:val="18"/>
                <w:szCs w:val="20"/>
                <w:lang w:val="mn-MN"/>
              </w:rPr>
              <w:t xml:space="preserve"> олон тооны хууль эрхзүйн зохицуулалт шаардлагатай ялангуяа хоёрдогч орон сууцны зах зээлийн үйл ажиллагаа болон МИК институцийн чадавхийн талд шаардлагатай. </w:t>
            </w:r>
          </w:p>
          <w:p w14:paraId="6CE9B432" w14:textId="17CA1ADD" w:rsidR="008003C7" w:rsidRDefault="008003C7">
            <w:pPr>
              <w:spacing w:before="120" w:after="120" w:line="264" w:lineRule="auto"/>
              <w:jc w:val="both"/>
              <w:rPr>
                <w:rFonts w:ascii="Arial" w:hAnsi="Arial" w:cs="Arial"/>
                <w:color w:val="000000"/>
                <w:sz w:val="18"/>
                <w:szCs w:val="20"/>
              </w:rPr>
            </w:pPr>
            <w:r>
              <w:rPr>
                <w:rFonts w:ascii="Arial" w:hAnsi="Arial" w:cs="Arial"/>
                <w:color w:val="000000"/>
                <w:sz w:val="18"/>
                <w:szCs w:val="20"/>
                <w:lang w:val="mn-MN"/>
              </w:rPr>
              <w:t>Уг хөтөлбөр</w:t>
            </w:r>
            <w:r w:rsidR="00B104DB">
              <w:rPr>
                <w:rFonts w:ascii="Arial" w:hAnsi="Arial" w:cs="Arial"/>
                <w:color w:val="000000"/>
                <w:sz w:val="18"/>
                <w:szCs w:val="20"/>
                <w:lang w:val="mn-MN"/>
              </w:rPr>
              <w:t>ийн</w:t>
            </w:r>
            <w:r>
              <w:rPr>
                <w:rFonts w:ascii="Arial" w:hAnsi="Arial" w:cs="Arial"/>
                <w:color w:val="000000"/>
                <w:sz w:val="18"/>
                <w:szCs w:val="20"/>
                <w:lang w:val="mn-MN"/>
              </w:rPr>
              <w:t xml:space="preserve"> хэрэгжилтийн явцад асуудлууд үүсгэхээс гадна зах зээлийг ихээхэн хэмжээгээр гажуудуулах чадалтай. Хэрвээ тодорхой зорилтыг бий болгохгүй, оновчтой шалгуургүйгээр их хэмжээгээр орон сууцны зээлийг татаасжуулж хүн амд хүргэх нь үл хөдлөх хөрөнгийн бодит үнийг хурдацтай их хэмжээгээр нэмэгдүүлэх талтай. Мөн зээлийг хүртэх шалгуургүйгээр олгох нь хүн ам илүү их татаас хүсэх үед хөтөлбөрийг хэрэгжүүлсний дараагаар татаасгүй орон сууцны зээл олгох бизнесийн боломж олдохгүй. Орон сууцны санхүүжилтийн </w:t>
            </w:r>
            <w:r>
              <w:rPr>
                <w:rFonts w:ascii="Arial" w:hAnsi="Arial" w:cs="Arial"/>
                <w:color w:val="000000"/>
                <w:sz w:val="18"/>
                <w:szCs w:val="20"/>
              </w:rPr>
              <w:t>¾ -</w:t>
            </w:r>
            <w:r>
              <w:rPr>
                <w:rFonts w:ascii="Arial" w:hAnsi="Arial" w:cs="Arial"/>
                <w:color w:val="000000"/>
                <w:sz w:val="18"/>
                <w:szCs w:val="20"/>
                <w:lang w:val="mn-MN"/>
              </w:rPr>
              <w:t xml:space="preserve"> нь одоогийн байгаа багцыг дахин санхүүжүүлэхэд очиж байгаа нь МБ нь орон сууцны зах зээлийн зээлийн эрсдлийг бууруулах, үл хөдлөх хөрөнгийн үний</w:t>
            </w:r>
            <w:r w:rsidR="00B104DB">
              <w:rPr>
                <w:rFonts w:ascii="Arial" w:hAnsi="Arial" w:cs="Arial"/>
                <w:color w:val="000000"/>
                <w:sz w:val="18"/>
                <w:szCs w:val="20"/>
                <w:lang w:val="mn-MN"/>
              </w:rPr>
              <w:t>г</w:t>
            </w:r>
            <w:r>
              <w:rPr>
                <w:rFonts w:ascii="Arial" w:hAnsi="Arial" w:cs="Arial"/>
                <w:color w:val="000000"/>
                <w:sz w:val="18"/>
                <w:szCs w:val="20"/>
                <w:lang w:val="mn-MN"/>
              </w:rPr>
              <w:t xml:space="preserve"> бууруулах зорилготой байсан гэж харагдаж байна. </w:t>
            </w:r>
          </w:p>
          <w:p w14:paraId="5CB2C225" w14:textId="77777777" w:rsidR="008003C7" w:rsidRDefault="008003C7">
            <w:pPr>
              <w:spacing w:before="120" w:after="120" w:line="264" w:lineRule="auto"/>
              <w:jc w:val="both"/>
              <w:rPr>
                <w:rFonts w:ascii="Arial" w:hAnsi="Arial" w:cs="Arial"/>
                <w:color w:val="000000"/>
                <w:sz w:val="18"/>
                <w:szCs w:val="20"/>
                <w:lang w:val="mn-MN"/>
              </w:rPr>
            </w:pPr>
            <w:r>
              <w:rPr>
                <w:rFonts w:ascii="Arial" w:hAnsi="Arial" w:cs="Arial"/>
                <w:color w:val="000000"/>
                <w:sz w:val="18"/>
                <w:szCs w:val="20"/>
                <w:lang w:val="mn-MN"/>
              </w:rPr>
              <w:t xml:space="preserve">6 болон 9 сарын дунд үеийн хооронд, одоогийн орон сууцны 448 тэрбум төгрөгийг дахин санхүүжүүлсэн </w:t>
            </w:r>
            <w:r>
              <w:rPr>
                <w:rFonts w:ascii="Arial" w:hAnsi="Arial" w:cs="Arial"/>
                <w:color w:val="000000"/>
                <w:sz w:val="18"/>
                <w:szCs w:val="20"/>
              </w:rPr>
              <w:t>(</w:t>
            </w:r>
            <w:r>
              <w:rPr>
                <w:rFonts w:ascii="Arial" w:hAnsi="Arial" w:cs="Arial"/>
                <w:color w:val="000000"/>
                <w:sz w:val="18"/>
                <w:szCs w:val="20"/>
                <w:lang w:val="mn-MN"/>
              </w:rPr>
              <w:t xml:space="preserve"> одоо байгаа багцын </w:t>
            </w:r>
            <w:r>
              <w:rPr>
                <w:rFonts w:ascii="Arial" w:hAnsi="Arial" w:cs="Arial"/>
                <w:color w:val="000000"/>
                <w:sz w:val="18"/>
                <w:szCs w:val="20"/>
              </w:rPr>
              <w:t>53</w:t>
            </w:r>
            <w:r>
              <w:rPr>
                <w:rFonts w:ascii="Arial" w:hAnsi="Arial" w:cs="Arial"/>
                <w:color w:val="000000"/>
                <w:sz w:val="18"/>
                <w:szCs w:val="20"/>
                <w:lang w:val="mn-MN"/>
              </w:rPr>
              <w:t xml:space="preserve"> хувь мөн хөтөлбөрийн </w:t>
            </w:r>
            <w:r>
              <w:rPr>
                <w:rFonts w:ascii="Arial" w:hAnsi="Arial" w:cs="Arial"/>
                <w:color w:val="000000"/>
                <w:sz w:val="18"/>
                <w:szCs w:val="20"/>
              </w:rPr>
              <w:t>40</w:t>
            </w:r>
            <w:r>
              <w:rPr>
                <w:rFonts w:ascii="Arial" w:hAnsi="Arial" w:cs="Arial"/>
                <w:color w:val="000000"/>
                <w:sz w:val="18"/>
                <w:szCs w:val="20"/>
                <w:lang w:val="mn-MN"/>
              </w:rPr>
              <w:t xml:space="preserve"> хувь</w:t>
            </w:r>
            <w:r>
              <w:rPr>
                <w:rFonts w:ascii="Arial" w:hAnsi="Arial" w:cs="Arial"/>
                <w:color w:val="000000"/>
                <w:sz w:val="18"/>
                <w:szCs w:val="20"/>
              </w:rPr>
              <w:t>)</w:t>
            </w:r>
            <w:r>
              <w:rPr>
                <w:rFonts w:ascii="Arial" w:hAnsi="Arial" w:cs="Arial"/>
                <w:color w:val="000000"/>
                <w:sz w:val="18"/>
                <w:szCs w:val="20"/>
                <w:lang w:val="mn-MN"/>
              </w:rPr>
              <w:t xml:space="preserve"> бол шинээр орон сууцны зээллэгт </w:t>
            </w:r>
            <w:r>
              <w:rPr>
                <w:rFonts w:ascii="Arial" w:hAnsi="Arial" w:cs="Arial"/>
                <w:color w:val="000000"/>
                <w:sz w:val="18"/>
                <w:szCs w:val="20"/>
              </w:rPr>
              <w:t xml:space="preserve">411 </w:t>
            </w:r>
            <w:r>
              <w:rPr>
                <w:rFonts w:ascii="Arial" w:hAnsi="Arial" w:cs="Arial"/>
                <w:color w:val="000000"/>
                <w:sz w:val="18"/>
                <w:szCs w:val="20"/>
                <w:lang w:val="mn-MN"/>
              </w:rPr>
              <w:t xml:space="preserve">тэрбум төгрөгийг гаргажээ </w:t>
            </w:r>
            <w:r>
              <w:rPr>
                <w:rFonts w:ascii="Arial" w:hAnsi="Arial" w:cs="Arial"/>
                <w:color w:val="000000"/>
                <w:sz w:val="18"/>
                <w:szCs w:val="20"/>
              </w:rPr>
              <w:t>(</w:t>
            </w:r>
            <w:r>
              <w:rPr>
                <w:rFonts w:ascii="Arial" w:hAnsi="Arial" w:cs="Arial"/>
                <w:color w:val="000000"/>
                <w:sz w:val="18"/>
                <w:szCs w:val="20"/>
                <w:lang w:val="mn-MN"/>
              </w:rPr>
              <w:t xml:space="preserve">Хөтөлбөрийн </w:t>
            </w:r>
            <w:r>
              <w:rPr>
                <w:rFonts w:ascii="Arial" w:hAnsi="Arial" w:cs="Arial"/>
                <w:color w:val="000000"/>
                <w:sz w:val="18"/>
                <w:szCs w:val="20"/>
              </w:rPr>
              <w:t>36</w:t>
            </w:r>
            <w:r>
              <w:rPr>
                <w:rFonts w:ascii="Arial" w:hAnsi="Arial" w:cs="Arial"/>
                <w:color w:val="000000"/>
                <w:sz w:val="18"/>
                <w:szCs w:val="20"/>
                <w:lang w:val="mn-MN"/>
              </w:rPr>
              <w:t xml:space="preserve"> хувь</w:t>
            </w:r>
            <w:r>
              <w:rPr>
                <w:rFonts w:ascii="Arial" w:hAnsi="Arial" w:cs="Arial"/>
                <w:color w:val="000000"/>
                <w:sz w:val="18"/>
                <w:szCs w:val="20"/>
              </w:rPr>
              <w:t>).</w:t>
            </w:r>
            <w:r>
              <w:rPr>
                <w:rFonts w:ascii="Arial" w:hAnsi="Arial" w:cs="Arial"/>
                <w:color w:val="000000"/>
                <w:sz w:val="18"/>
                <w:szCs w:val="20"/>
                <w:lang w:val="mn-MN"/>
              </w:rPr>
              <w:t xml:space="preserve"> Шинээр олгож байгаа татаас бүхий зээлийн хэмжээ нь нэлээд өндөр байна</w:t>
            </w:r>
            <w:r>
              <w:rPr>
                <w:rFonts w:ascii="Arial" w:hAnsi="Arial" w:cs="Arial"/>
                <w:color w:val="000000"/>
                <w:sz w:val="18"/>
                <w:szCs w:val="20"/>
              </w:rPr>
              <w:t xml:space="preserve"> – </w:t>
            </w:r>
            <w:r>
              <w:rPr>
                <w:rFonts w:ascii="Arial" w:hAnsi="Arial" w:cs="Arial"/>
                <w:color w:val="000000"/>
                <w:sz w:val="18"/>
                <w:szCs w:val="20"/>
                <w:lang w:val="mn-MN"/>
              </w:rPr>
              <w:t>зах зээлийн хүүгээр олгогдсон жилийн хэмжээнээс бараг хоёр дахин байлаа</w:t>
            </w:r>
            <w:r>
              <w:rPr>
                <w:rFonts w:ascii="Arial" w:hAnsi="Arial" w:cs="Arial"/>
                <w:color w:val="000000"/>
                <w:sz w:val="18"/>
                <w:szCs w:val="20"/>
              </w:rPr>
              <w:t xml:space="preserve"> – </w:t>
            </w:r>
            <w:r>
              <w:rPr>
                <w:rFonts w:ascii="Arial" w:hAnsi="Arial" w:cs="Arial"/>
                <w:color w:val="000000"/>
                <w:sz w:val="18"/>
                <w:szCs w:val="20"/>
                <w:lang w:val="mn-MN"/>
              </w:rPr>
              <w:t>мөн энэ нь үл хөдлөх хөрөнгийн бодит үнэ өсөх дарамтыг бий болгох талтай. Ерөнхийдөө хөтөлбөрийн</w:t>
            </w:r>
            <w:r>
              <w:rPr>
                <w:rFonts w:ascii="Arial" w:hAnsi="Arial" w:cs="Arial"/>
                <w:color w:val="000000"/>
                <w:sz w:val="18"/>
                <w:szCs w:val="20"/>
              </w:rPr>
              <w:t xml:space="preserve"> ¾ </w:t>
            </w:r>
            <w:r>
              <w:rPr>
                <w:rFonts w:ascii="Arial" w:hAnsi="Arial" w:cs="Arial"/>
                <w:color w:val="000000"/>
                <w:sz w:val="18"/>
                <w:szCs w:val="20"/>
                <w:lang w:val="mn-MN"/>
              </w:rPr>
              <w:t xml:space="preserve">нь ашиглагдсан бөгөөд мөн Монголын орон сууцны багцын </w:t>
            </w:r>
            <w:r>
              <w:rPr>
                <w:rFonts w:ascii="Arial" w:hAnsi="Arial" w:cs="Arial"/>
                <w:color w:val="000000"/>
                <w:sz w:val="18"/>
                <w:szCs w:val="20"/>
              </w:rPr>
              <w:t xml:space="preserve">½ </w:t>
            </w:r>
            <w:r>
              <w:rPr>
                <w:rFonts w:ascii="Arial" w:hAnsi="Arial" w:cs="Arial"/>
                <w:color w:val="000000"/>
                <w:sz w:val="18"/>
                <w:szCs w:val="20"/>
                <w:lang w:val="mn-MN"/>
              </w:rPr>
              <w:t xml:space="preserve">нь дахин санхүүжигдэж, мөн татаастай хүүгээр хэрэгжиж байна. </w:t>
            </w:r>
          </w:p>
          <w:p w14:paraId="50CEF981" w14:textId="4C9D7F2A" w:rsidR="008003C7" w:rsidRDefault="008003C7">
            <w:pPr>
              <w:spacing w:before="120" w:after="120" w:line="264" w:lineRule="auto"/>
              <w:jc w:val="both"/>
              <w:rPr>
                <w:rFonts w:ascii="Arial" w:hAnsi="Arial" w:cs="Arial"/>
                <w:color w:val="000000"/>
                <w:sz w:val="18"/>
                <w:szCs w:val="20"/>
              </w:rPr>
            </w:pPr>
            <w:r>
              <w:rPr>
                <w:rFonts w:ascii="Arial" w:hAnsi="Arial" w:cs="Arial"/>
                <w:color w:val="000000"/>
                <w:sz w:val="18"/>
                <w:szCs w:val="20"/>
                <w:lang w:val="mn-MN"/>
              </w:rPr>
              <w:t>Хөтөлбөрийн хөрөнгийн зах зээлийн бүрэлдэхүүн хэсэг нь ОСХБ төвөгтэй хэрэгсэлийг гаргахаар болж байгаа нь удахгүй хэрэгжих бөгөөд олон тооны эрхзүйн, зохицуулалтын болон институцийн хүчин чармайлт шаардагдана. Үүнээс гадна маш хурдан хугацаанд гаргаж байгаа нь М</w:t>
            </w:r>
            <w:r w:rsidR="00B104DB">
              <w:rPr>
                <w:rFonts w:ascii="Arial" w:hAnsi="Arial" w:cs="Arial"/>
                <w:color w:val="000000"/>
                <w:sz w:val="18"/>
                <w:szCs w:val="20"/>
                <w:lang w:val="mn-MN"/>
              </w:rPr>
              <w:t>Б</w:t>
            </w:r>
            <w:r>
              <w:rPr>
                <w:rFonts w:ascii="Arial" w:hAnsi="Arial" w:cs="Arial"/>
                <w:color w:val="000000"/>
                <w:sz w:val="18"/>
                <w:szCs w:val="20"/>
                <w:lang w:val="mn-MN"/>
              </w:rPr>
              <w:t xml:space="preserve"> болон Засгийн газарт орон сууцны зээллэгт татаа</w:t>
            </w:r>
            <w:r w:rsidR="00B104DB">
              <w:rPr>
                <w:rFonts w:ascii="Arial" w:hAnsi="Arial" w:cs="Arial"/>
                <w:color w:val="000000"/>
                <w:sz w:val="18"/>
                <w:szCs w:val="20"/>
                <w:lang w:val="mn-MN"/>
              </w:rPr>
              <w:t>сыг үргэлжлүүлэх нийгмийн дарам</w:t>
            </w:r>
            <w:r>
              <w:rPr>
                <w:rFonts w:ascii="Arial" w:hAnsi="Arial" w:cs="Arial"/>
                <w:color w:val="000000"/>
                <w:sz w:val="18"/>
                <w:szCs w:val="20"/>
                <w:lang w:val="mn-MN"/>
              </w:rPr>
              <w:t xml:space="preserve">т их байгааг харуулж байгаа бөгөөд энэ нь арилжааны банкуудын ашигт ажиллагаа болон зах зээлд суурилсан орон сууцны зээлийн бизнесийг үргэлжлүүлэх чадавхид сөргөөр нөлөөлөх талтай. Мөн МБ нь ирээдүйд орон сууцны үнийн өсөлтийг бууруулахын тулд </w:t>
            </w:r>
            <w:r>
              <w:rPr>
                <w:rFonts w:ascii="Arial" w:hAnsi="Arial" w:cs="Arial"/>
                <w:color w:val="000000"/>
                <w:sz w:val="18"/>
                <w:szCs w:val="20"/>
                <w:lang w:val="mn-MN"/>
              </w:rPr>
              <w:lastRenderedPageBreak/>
              <w:t>шинээр татаас бүхий зээлжилт</w:t>
            </w:r>
            <w:r w:rsidR="00B104DB">
              <w:rPr>
                <w:rFonts w:ascii="Arial" w:hAnsi="Arial" w:cs="Arial"/>
                <w:color w:val="000000"/>
                <w:sz w:val="18"/>
                <w:szCs w:val="20"/>
                <w:lang w:val="mn-MN"/>
              </w:rPr>
              <w:t xml:space="preserve"> олгохыг</w:t>
            </w:r>
            <w:r>
              <w:rPr>
                <w:rFonts w:ascii="Arial" w:hAnsi="Arial" w:cs="Arial"/>
                <w:color w:val="000000"/>
                <w:sz w:val="18"/>
                <w:szCs w:val="20"/>
                <w:lang w:val="mn-MN"/>
              </w:rPr>
              <w:t xml:space="preserve"> бууруулахыг зөвлөж байна. </w:t>
            </w:r>
          </w:p>
          <w:p w14:paraId="2F46B191" w14:textId="77777777" w:rsidR="008003C7" w:rsidRDefault="008003C7">
            <w:pPr>
              <w:rPr>
                <w:lang w:val="mn-MN"/>
              </w:rPr>
            </w:pPr>
            <w:r>
              <w:rPr>
                <w:rFonts w:ascii="Arial" w:hAnsi="Arial" w:cs="Arial"/>
                <w:color w:val="000000"/>
                <w:sz w:val="18"/>
                <w:szCs w:val="20"/>
                <w:lang w:val="mn-MN"/>
              </w:rPr>
              <w:t>Эх үүсвэр</w:t>
            </w:r>
            <w:r>
              <w:rPr>
                <w:rFonts w:ascii="Arial" w:hAnsi="Arial" w:cs="Arial"/>
                <w:color w:val="000000"/>
                <w:sz w:val="18"/>
                <w:szCs w:val="20"/>
              </w:rPr>
              <w:t xml:space="preserve">: </w:t>
            </w:r>
            <w:r>
              <w:rPr>
                <w:rFonts w:ascii="Arial" w:hAnsi="Arial" w:cs="Arial"/>
                <w:color w:val="000000"/>
                <w:sz w:val="18"/>
                <w:szCs w:val="20"/>
                <w:lang w:val="mn-MN"/>
              </w:rPr>
              <w:t>ДБ мэргэжилтнүүд</w:t>
            </w:r>
          </w:p>
        </w:tc>
      </w:tr>
    </w:tbl>
    <w:p w14:paraId="73557EF9" w14:textId="77777777" w:rsidR="008003C7" w:rsidRDefault="008003C7" w:rsidP="008003C7">
      <w:pPr>
        <w:rPr>
          <w:rFonts w:eastAsiaTheme="majorEastAsia" w:cstheme="minorHAnsi"/>
          <w:b/>
          <w:bCs/>
          <w:color w:val="002060"/>
          <w:sz w:val="24"/>
          <w:szCs w:val="26"/>
          <w:lang w:eastAsia="ko-KR"/>
        </w:rPr>
      </w:pPr>
      <w:r>
        <w:rPr>
          <w:rFonts w:cstheme="minorHAnsi"/>
          <w:color w:val="002060"/>
          <w:sz w:val="24"/>
          <w:lang w:eastAsia="ko-KR"/>
        </w:rPr>
        <w:lastRenderedPageBreak/>
        <w:br w:type="page"/>
      </w:r>
    </w:p>
    <w:p w14:paraId="31F503A1" w14:textId="77777777" w:rsidR="008003C7" w:rsidRDefault="008003C7" w:rsidP="008003C7">
      <w:pPr>
        <w:pStyle w:val="Heading2"/>
        <w:pBdr>
          <w:bottom w:val="single" w:sz="4" w:space="1" w:color="auto"/>
        </w:pBdr>
        <w:rPr>
          <w:rFonts w:asciiTheme="minorHAnsi" w:hAnsiTheme="minorHAnsi" w:cstheme="minorHAnsi"/>
          <w:color w:val="002060"/>
          <w:sz w:val="28"/>
          <w:lang w:val="mn-MN" w:eastAsia="ko-KR"/>
        </w:rPr>
      </w:pPr>
      <w:bookmarkStart w:id="67" w:name="_Toc371338281"/>
      <w:r>
        <w:rPr>
          <w:rFonts w:asciiTheme="minorHAnsi" w:hAnsiTheme="minorHAnsi" w:cstheme="minorHAnsi"/>
          <w:color w:val="002060"/>
          <w:sz w:val="28"/>
          <w:lang w:val="mn-MN" w:eastAsia="ko-KR"/>
        </w:rPr>
        <w:lastRenderedPageBreak/>
        <w:t>Гадаад салбар</w:t>
      </w:r>
      <w:bookmarkEnd w:id="67"/>
    </w:p>
    <w:p w14:paraId="1F9903FE" w14:textId="77777777" w:rsidR="008003C7" w:rsidRDefault="008003C7" w:rsidP="008003C7">
      <w:pPr>
        <w:autoSpaceDE w:val="0"/>
        <w:autoSpaceDN w:val="0"/>
        <w:adjustRightInd w:val="0"/>
        <w:spacing w:after="0"/>
        <w:jc w:val="both"/>
        <w:rPr>
          <w:rFonts w:cstheme="minorHAnsi"/>
          <w:b/>
          <w:sz w:val="20"/>
          <w:szCs w:val="20"/>
        </w:rPr>
      </w:pPr>
    </w:p>
    <w:tbl>
      <w:tblPr>
        <w:tblpPr w:leftFromText="180" w:rightFromText="180" w:vertAnchor="text" w:horzAnchor="margin" w:tblpXSpec="right" w:tblpY="1098"/>
        <w:tblOverlap w:val="never"/>
        <w:tblW w:w="0" w:type="auto"/>
        <w:tblLook w:val="04A0" w:firstRow="1" w:lastRow="0" w:firstColumn="1" w:lastColumn="0" w:noHBand="0" w:noVBand="1"/>
      </w:tblPr>
      <w:tblGrid>
        <w:gridCol w:w="4976"/>
      </w:tblGrid>
      <w:tr w:rsidR="008003C7" w14:paraId="0B848B4B" w14:textId="77777777" w:rsidTr="008003C7">
        <w:trPr>
          <w:trHeight w:val="236"/>
        </w:trPr>
        <w:tc>
          <w:tcPr>
            <w:tcW w:w="4976" w:type="dxa"/>
            <w:tcBorders>
              <w:top w:val="nil"/>
              <w:left w:val="nil"/>
              <w:bottom w:val="single" w:sz="4" w:space="0" w:color="984806" w:themeColor="accent6" w:themeShade="80"/>
              <w:right w:val="nil"/>
            </w:tcBorders>
            <w:hideMark/>
          </w:tcPr>
          <w:p w14:paraId="4C3AEC35" w14:textId="6A6AC1F9" w:rsidR="008003C7" w:rsidRPr="00630B23" w:rsidRDefault="00B104DB" w:rsidP="00630B23">
            <w:pPr>
              <w:pStyle w:val="Caption"/>
              <w:keepNext/>
              <w:spacing w:after="0"/>
              <w:rPr>
                <w:sz w:val="16"/>
                <w:szCs w:val="16"/>
                <w:lang w:val="mn-MN"/>
              </w:rPr>
            </w:pPr>
            <w:bookmarkStart w:id="68" w:name="_Toc371338649"/>
            <w:r>
              <w:rPr>
                <w:sz w:val="16"/>
                <w:szCs w:val="16"/>
                <w:lang w:val="mn-MN"/>
              </w:rPr>
              <w:t>Зураг</w:t>
            </w:r>
            <w:r w:rsidR="008003C7">
              <w:rPr>
                <w:sz w:val="16"/>
                <w:szCs w:val="16"/>
              </w:rPr>
              <w:t xml:space="preserve"> </w:t>
            </w:r>
            <w:r w:rsidR="008003C7">
              <w:fldChar w:fldCharType="begin"/>
            </w:r>
            <w:r w:rsidR="008003C7">
              <w:rPr>
                <w:sz w:val="16"/>
                <w:szCs w:val="16"/>
              </w:rPr>
              <w:instrText xml:space="preserve"> SEQ Figure \* ARABIC </w:instrText>
            </w:r>
            <w:r w:rsidR="008003C7">
              <w:fldChar w:fldCharType="separate"/>
            </w:r>
            <w:r w:rsidR="008003C7">
              <w:rPr>
                <w:noProof/>
                <w:sz w:val="16"/>
                <w:szCs w:val="16"/>
              </w:rPr>
              <w:t>42</w:t>
            </w:r>
            <w:r w:rsidR="008003C7">
              <w:fldChar w:fldCharType="end"/>
            </w:r>
            <w:r w:rsidR="008003C7">
              <w:rPr>
                <w:sz w:val="16"/>
                <w:szCs w:val="16"/>
              </w:rPr>
              <w:t xml:space="preserve">. </w:t>
            </w:r>
            <w:r>
              <w:rPr>
                <w:sz w:val="16"/>
                <w:szCs w:val="16"/>
                <w:lang w:val="mn-MN"/>
              </w:rPr>
              <w:t>Их хэмжээний гадаад худалдааны алдагдал үргэлжилсээр</w:t>
            </w:r>
            <w:bookmarkEnd w:id="68"/>
          </w:p>
        </w:tc>
      </w:tr>
      <w:tr w:rsidR="008003C7" w14:paraId="4AC82A80" w14:textId="77777777" w:rsidTr="008003C7">
        <w:trPr>
          <w:trHeight w:val="2837"/>
        </w:trPr>
        <w:tc>
          <w:tcPr>
            <w:tcW w:w="4976" w:type="dxa"/>
            <w:tcBorders>
              <w:top w:val="single" w:sz="4" w:space="0" w:color="984806" w:themeColor="accent6" w:themeShade="80"/>
              <w:left w:val="nil"/>
              <w:bottom w:val="nil"/>
              <w:right w:val="nil"/>
            </w:tcBorders>
            <w:hideMark/>
          </w:tcPr>
          <w:p w14:paraId="76E06E25" w14:textId="1A58F182" w:rsidR="008003C7" w:rsidRDefault="00B104DB">
            <w:pPr>
              <w:pStyle w:val="Caption"/>
              <w:rPr>
                <w:b w:val="0"/>
                <w:color w:val="auto"/>
                <w:sz w:val="16"/>
              </w:rPr>
            </w:pPr>
            <w:r>
              <w:rPr>
                <w:b w:val="0"/>
                <w:color w:val="auto"/>
                <w:sz w:val="16"/>
                <w:lang w:val="mn-MN"/>
              </w:rPr>
              <w:t>Нийт экспорт болон импорт</w:t>
            </w:r>
            <w:r w:rsidR="008003C7">
              <w:rPr>
                <w:b w:val="0"/>
                <w:color w:val="auto"/>
                <w:sz w:val="16"/>
              </w:rPr>
              <w:t xml:space="preserve"> (3 </w:t>
            </w:r>
            <w:r>
              <w:rPr>
                <w:b w:val="0"/>
                <w:color w:val="auto"/>
                <w:sz w:val="16"/>
                <w:lang w:val="mn-MN"/>
              </w:rPr>
              <w:t>сарын гулсмал дундаж, улирлын хэлбэлзлийг оруулсан</w:t>
            </w:r>
            <w:r w:rsidR="008003C7">
              <w:rPr>
                <w:b w:val="0"/>
                <w:color w:val="auto"/>
                <w:sz w:val="16"/>
              </w:rPr>
              <w:t xml:space="preserve">, </w:t>
            </w:r>
            <w:r>
              <w:rPr>
                <w:b w:val="0"/>
                <w:color w:val="auto"/>
                <w:sz w:val="16"/>
                <w:lang w:val="mn-MN"/>
              </w:rPr>
              <w:t>тэрбум ам.доллар</w:t>
            </w:r>
            <w:r w:rsidR="008003C7">
              <w:rPr>
                <w:b w:val="0"/>
                <w:color w:val="auto"/>
                <w:sz w:val="16"/>
              </w:rPr>
              <w:t>)</w:t>
            </w:r>
          </w:p>
          <w:p w14:paraId="1AEE8099" w14:textId="76655F98" w:rsidR="008003C7" w:rsidRDefault="008003C7">
            <w:r>
              <w:rPr>
                <w:noProof/>
              </w:rPr>
              <w:drawing>
                <wp:inline distT="0" distB="0" distL="0" distR="0" wp14:anchorId="4BEE8FE8" wp14:editId="0BDCEF7A">
                  <wp:extent cx="2984500" cy="1885950"/>
                  <wp:effectExtent l="0" t="0" r="6350" b="0"/>
                  <wp:docPr id="321" name="Chart 3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tc>
      </w:tr>
      <w:tr w:rsidR="008003C7" w14:paraId="0937B2E1" w14:textId="77777777" w:rsidTr="008003C7">
        <w:trPr>
          <w:trHeight w:val="68"/>
        </w:trPr>
        <w:tc>
          <w:tcPr>
            <w:tcW w:w="4976" w:type="dxa"/>
            <w:hideMark/>
          </w:tcPr>
          <w:p w14:paraId="7C133DD3" w14:textId="2F96382C" w:rsidR="008003C7" w:rsidRDefault="00B104DB">
            <w:pPr>
              <w:pStyle w:val="NoSpacing"/>
              <w:jc w:val="both"/>
              <w:rPr>
                <w:sz w:val="14"/>
                <w:szCs w:val="18"/>
              </w:rPr>
            </w:pPr>
            <w:r>
              <w:rPr>
                <w:i/>
                <w:sz w:val="14"/>
                <w:szCs w:val="18"/>
                <w:lang w:val="mn-MN"/>
              </w:rPr>
              <w:t>Эх үүсвэр</w:t>
            </w:r>
            <w:r>
              <w:rPr>
                <w:i/>
                <w:sz w:val="14"/>
                <w:szCs w:val="18"/>
              </w:rPr>
              <w:t>:</w:t>
            </w:r>
            <w:r>
              <w:rPr>
                <w:i/>
                <w:sz w:val="14"/>
                <w:szCs w:val="18"/>
                <w:lang w:val="mn-MN"/>
              </w:rPr>
              <w:t xml:space="preserve"> </w:t>
            </w:r>
            <w:r>
              <w:rPr>
                <w:sz w:val="14"/>
                <w:szCs w:val="18"/>
                <w:lang w:val="mn-MN"/>
              </w:rPr>
              <w:t>МБ, ДБ-мэргэжилтнүүдийн тооцоо</w:t>
            </w:r>
          </w:p>
        </w:tc>
      </w:tr>
    </w:tbl>
    <w:p w14:paraId="38D61284" w14:textId="6135BA47" w:rsidR="008003C7" w:rsidRDefault="008003C7" w:rsidP="008003C7">
      <w:pPr>
        <w:autoSpaceDE w:val="0"/>
        <w:autoSpaceDN w:val="0"/>
        <w:adjustRightInd w:val="0"/>
        <w:spacing w:after="0"/>
        <w:jc w:val="both"/>
        <w:rPr>
          <w:rFonts w:ascii="Arial" w:hAnsi="Arial" w:cs="Arial"/>
          <w:sz w:val="20"/>
          <w:szCs w:val="20"/>
        </w:rPr>
      </w:pPr>
      <w:r>
        <w:rPr>
          <w:rFonts w:ascii="Arial" w:hAnsi="Arial" w:cs="Arial"/>
          <w:b/>
          <w:sz w:val="20"/>
          <w:szCs w:val="20"/>
          <w:lang w:val="mn-MN"/>
        </w:rPr>
        <w:t xml:space="preserve">Дэлхийн уул уурхайн зах зээл сул байгаа, мөн дотоодын хүчтэй эрэлттэй байгаа үед худалдааны алдагдал 2012 онд хамгийн өндөр түвшиндээ </w:t>
      </w:r>
      <w:r>
        <w:rPr>
          <w:rFonts w:ascii="Arial" w:hAnsi="Arial" w:cs="Arial"/>
          <w:b/>
          <w:sz w:val="20"/>
          <w:szCs w:val="20"/>
        </w:rPr>
        <w:t xml:space="preserve">2.4 </w:t>
      </w:r>
      <w:r>
        <w:rPr>
          <w:rFonts w:ascii="Arial" w:hAnsi="Arial" w:cs="Arial"/>
          <w:b/>
          <w:sz w:val="20"/>
          <w:szCs w:val="20"/>
          <w:lang w:val="mn-MN"/>
        </w:rPr>
        <w:t xml:space="preserve">тэрбум ам.долларт </w:t>
      </w:r>
      <w:r>
        <w:rPr>
          <w:rFonts w:ascii="Arial" w:hAnsi="Arial" w:cs="Arial"/>
          <w:b/>
          <w:sz w:val="20"/>
          <w:szCs w:val="20"/>
        </w:rPr>
        <w:t>(</w:t>
      </w:r>
      <w:r>
        <w:rPr>
          <w:rFonts w:ascii="Arial" w:hAnsi="Arial" w:cs="Arial"/>
          <w:b/>
          <w:sz w:val="20"/>
          <w:szCs w:val="20"/>
          <w:lang w:val="mn-MN"/>
        </w:rPr>
        <w:t>ДНБ</w:t>
      </w:r>
      <w:r>
        <w:rPr>
          <w:rFonts w:ascii="Arial" w:hAnsi="Arial" w:cs="Arial"/>
          <w:b/>
          <w:sz w:val="20"/>
          <w:szCs w:val="20"/>
        </w:rPr>
        <w:t>-</w:t>
      </w:r>
      <w:r>
        <w:rPr>
          <w:rFonts w:ascii="Arial" w:hAnsi="Arial" w:cs="Arial"/>
          <w:b/>
          <w:sz w:val="20"/>
          <w:szCs w:val="20"/>
          <w:lang w:val="mn-MN"/>
        </w:rPr>
        <w:t xml:space="preserve">ий </w:t>
      </w:r>
      <w:r>
        <w:rPr>
          <w:rFonts w:ascii="Arial" w:hAnsi="Arial" w:cs="Arial"/>
          <w:b/>
          <w:sz w:val="20"/>
          <w:szCs w:val="20"/>
        </w:rPr>
        <w:t xml:space="preserve">23 </w:t>
      </w:r>
      <w:r>
        <w:rPr>
          <w:rFonts w:ascii="Arial" w:hAnsi="Arial" w:cs="Arial"/>
          <w:b/>
          <w:sz w:val="20"/>
          <w:szCs w:val="20"/>
          <w:lang w:val="mn-MN"/>
        </w:rPr>
        <w:t>хувь</w:t>
      </w:r>
      <w:r>
        <w:rPr>
          <w:rFonts w:ascii="Arial" w:hAnsi="Arial" w:cs="Arial"/>
          <w:b/>
          <w:sz w:val="20"/>
          <w:szCs w:val="20"/>
        </w:rPr>
        <w:t>)</w:t>
      </w:r>
      <w:r>
        <w:rPr>
          <w:rFonts w:ascii="Arial" w:hAnsi="Arial" w:cs="Arial"/>
          <w:b/>
          <w:sz w:val="20"/>
          <w:szCs w:val="20"/>
          <w:lang w:val="mn-MN"/>
        </w:rPr>
        <w:t xml:space="preserve"> хүрээд 2013 онд үргэлжилж байна. </w:t>
      </w:r>
      <w:r>
        <w:rPr>
          <w:rFonts w:ascii="Arial" w:hAnsi="Arial" w:cs="Arial"/>
          <w:sz w:val="20"/>
          <w:szCs w:val="20"/>
          <w:lang w:val="mn-MN"/>
        </w:rPr>
        <w:t xml:space="preserve">Гадаад худалдааны алдагдал нь эхний 9 сарын туршид 1.72 тэрбум ам.долларт хүрч, өмнөх жилийн хэмжээнээс 2.0 тэрбум ам.доллараас буурсан. </w:t>
      </w:r>
      <w:r>
        <w:rPr>
          <w:rFonts w:ascii="Arial" w:hAnsi="Arial" w:cs="Arial"/>
          <w:sz w:val="20"/>
          <w:szCs w:val="20"/>
        </w:rPr>
        <w:t>(</w:t>
      </w:r>
      <w:r>
        <w:rPr>
          <w:rFonts w:ascii="Arial" w:hAnsi="Arial" w:cs="Arial"/>
          <w:sz w:val="20"/>
          <w:szCs w:val="20"/>
          <w:lang w:val="mn-MN"/>
        </w:rPr>
        <w:t>Зураг</w:t>
      </w:r>
      <w:r>
        <w:rPr>
          <w:rFonts w:ascii="Arial" w:hAnsi="Arial" w:cs="Arial"/>
          <w:sz w:val="20"/>
          <w:szCs w:val="20"/>
        </w:rPr>
        <w:t xml:space="preserve"> 42) </w:t>
      </w:r>
      <w:r>
        <w:rPr>
          <w:rFonts w:ascii="Arial" w:hAnsi="Arial" w:cs="Arial"/>
          <w:sz w:val="20"/>
          <w:szCs w:val="20"/>
          <w:lang w:val="mn-MN"/>
        </w:rPr>
        <w:t>Дэлхийн уул уурхайн зах зээл сул байгаа</w:t>
      </w:r>
      <w:r w:rsidR="00B104DB">
        <w:rPr>
          <w:rFonts w:ascii="Arial" w:hAnsi="Arial" w:cs="Arial"/>
          <w:sz w:val="20"/>
          <w:szCs w:val="20"/>
          <w:lang w:val="mn-MN"/>
        </w:rPr>
        <w:t xml:space="preserve"> нь</w:t>
      </w:r>
      <w:r>
        <w:rPr>
          <w:rFonts w:ascii="Arial" w:hAnsi="Arial" w:cs="Arial"/>
          <w:sz w:val="20"/>
          <w:szCs w:val="20"/>
          <w:lang w:val="mn-MN"/>
        </w:rPr>
        <w:t xml:space="preserve"> уул уурхайн экспортыг сулруулж</w:t>
      </w:r>
      <w:r>
        <w:rPr>
          <w:rFonts w:ascii="Arial" w:hAnsi="Arial" w:cs="Arial"/>
          <w:sz w:val="20"/>
          <w:szCs w:val="20"/>
        </w:rPr>
        <w:t xml:space="preserve">, </w:t>
      </w:r>
      <w:r>
        <w:rPr>
          <w:rFonts w:ascii="Arial" w:hAnsi="Arial" w:cs="Arial"/>
          <w:sz w:val="20"/>
          <w:szCs w:val="20"/>
          <w:lang w:val="mn-MN"/>
        </w:rPr>
        <w:t>импортын эрэлт</w:t>
      </w:r>
      <w:r>
        <w:rPr>
          <w:rFonts w:ascii="Arial" w:hAnsi="Arial" w:cs="Arial"/>
          <w:sz w:val="20"/>
          <w:szCs w:val="20"/>
        </w:rPr>
        <w:t xml:space="preserve"> – </w:t>
      </w:r>
      <w:r>
        <w:rPr>
          <w:rFonts w:ascii="Arial" w:hAnsi="Arial" w:cs="Arial"/>
          <w:sz w:val="20"/>
          <w:szCs w:val="20"/>
          <w:lang w:val="mn-MN"/>
        </w:rPr>
        <w:t>их хэмжээний ГХШО</w:t>
      </w:r>
      <w:r>
        <w:rPr>
          <w:rFonts w:ascii="Arial" w:hAnsi="Arial" w:cs="Arial"/>
          <w:sz w:val="20"/>
          <w:szCs w:val="20"/>
        </w:rPr>
        <w:t>-</w:t>
      </w:r>
      <w:r>
        <w:rPr>
          <w:rFonts w:ascii="Arial" w:hAnsi="Arial" w:cs="Arial"/>
          <w:sz w:val="20"/>
          <w:szCs w:val="20"/>
          <w:lang w:val="mn-MN"/>
        </w:rPr>
        <w:t>ын урсгалын нөлөөгөөр 2011 онд хоёроос илүү дахин өссөн</w:t>
      </w:r>
      <w:r>
        <w:rPr>
          <w:rFonts w:ascii="Arial" w:hAnsi="Arial" w:cs="Arial"/>
          <w:sz w:val="20"/>
          <w:szCs w:val="20"/>
        </w:rPr>
        <w:t xml:space="preserve">– </w:t>
      </w:r>
      <w:r>
        <w:rPr>
          <w:rFonts w:ascii="Arial" w:hAnsi="Arial" w:cs="Arial"/>
          <w:sz w:val="20"/>
          <w:szCs w:val="20"/>
          <w:lang w:val="mn-MN"/>
        </w:rPr>
        <w:t xml:space="preserve">байна. Нийт импорт нь нийт экспортоос 1.6 дахин их байна. </w:t>
      </w:r>
    </w:p>
    <w:p w14:paraId="07913550" w14:textId="77777777" w:rsidR="008003C7" w:rsidRDefault="008003C7" w:rsidP="008003C7">
      <w:pPr>
        <w:autoSpaceDE w:val="0"/>
        <w:autoSpaceDN w:val="0"/>
        <w:adjustRightInd w:val="0"/>
        <w:spacing w:after="0"/>
        <w:jc w:val="both"/>
        <w:rPr>
          <w:rFonts w:ascii="Arial" w:hAnsi="Arial" w:cs="Arial"/>
          <w:sz w:val="20"/>
          <w:szCs w:val="20"/>
        </w:rPr>
      </w:pPr>
    </w:p>
    <w:p w14:paraId="68B6EBFE" w14:textId="77777777" w:rsidR="008003C7" w:rsidRDefault="008003C7" w:rsidP="008003C7">
      <w:pPr>
        <w:autoSpaceDE w:val="0"/>
        <w:autoSpaceDN w:val="0"/>
        <w:adjustRightInd w:val="0"/>
        <w:spacing w:after="0"/>
        <w:jc w:val="both"/>
        <w:rPr>
          <w:rFonts w:ascii="Arial" w:hAnsi="Arial" w:cs="Arial"/>
          <w:sz w:val="20"/>
          <w:szCs w:val="20"/>
        </w:rPr>
      </w:pPr>
      <w:r>
        <w:rPr>
          <w:rFonts w:ascii="Arial" w:hAnsi="Arial" w:cs="Arial"/>
          <w:b/>
          <w:sz w:val="20"/>
          <w:szCs w:val="20"/>
          <w:lang w:val="mn-MN"/>
        </w:rPr>
        <w:t xml:space="preserve">Эхний 9 сарын хугацаанд нийт экспорт өмнөх жилд 3.1 тэрбум ам.долларт хүрч байсан бол 4.1 хувиар буурчээ. </w:t>
      </w:r>
      <w:r>
        <w:rPr>
          <w:rFonts w:ascii="Arial" w:hAnsi="Arial" w:cs="Arial"/>
          <w:sz w:val="20"/>
          <w:szCs w:val="20"/>
          <w:lang w:val="mn-MN"/>
        </w:rPr>
        <w:t xml:space="preserve">Ихэнх гол нэрийн экспортын бүтээгдэхүүнүүд харьцангуй сайн гүйцэтгэл үзүүлсэн боловч нүүрсний экспорт огцом буурсан нь экспортыг бууруулах гол хүчин зүйл болсон. </w:t>
      </w:r>
    </w:p>
    <w:p w14:paraId="4C885660" w14:textId="77777777" w:rsidR="008003C7" w:rsidRDefault="008003C7" w:rsidP="008003C7">
      <w:pPr>
        <w:autoSpaceDE w:val="0"/>
        <w:autoSpaceDN w:val="0"/>
        <w:adjustRightInd w:val="0"/>
        <w:spacing w:after="0"/>
        <w:jc w:val="both"/>
        <w:rPr>
          <w:rFonts w:ascii="Arial" w:hAnsi="Arial" w:cs="Arial"/>
          <w:b/>
          <w:sz w:val="20"/>
          <w:szCs w:val="20"/>
        </w:rPr>
      </w:pPr>
    </w:p>
    <w:p w14:paraId="25667851" w14:textId="77777777" w:rsidR="008003C7" w:rsidRDefault="008003C7" w:rsidP="008003C7">
      <w:pPr>
        <w:pStyle w:val="ListParagraph"/>
        <w:numPr>
          <w:ilvl w:val="0"/>
          <w:numId w:val="28"/>
        </w:numPr>
        <w:autoSpaceDE w:val="0"/>
        <w:autoSpaceDN w:val="0"/>
        <w:adjustRightInd w:val="0"/>
        <w:spacing w:after="0"/>
        <w:jc w:val="both"/>
        <w:rPr>
          <w:rFonts w:ascii="Arial" w:hAnsi="Arial" w:cs="Arial"/>
          <w:sz w:val="20"/>
          <w:szCs w:val="20"/>
        </w:rPr>
      </w:pPr>
      <w:r>
        <w:rPr>
          <w:rFonts w:ascii="Arial" w:hAnsi="Arial" w:cs="Arial"/>
          <w:b/>
          <w:sz w:val="20"/>
          <w:szCs w:val="20"/>
          <w:lang w:val="mn-MN"/>
        </w:rPr>
        <w:t>Нүүрсний экспорт</w:t>
      </w:r>
      <w:r>
        <w:rPr>
          <w:rFonts w:ascii="Arial" w:hAnsi="Arial" w:cs="Arial"/>
          <w:b/>
          <w:sz w:val="20"/>
          <w:szCs w:val="20"/>
        </w:rPr>
        <w:t xml:space="preserve"> – </w:t>
      </w:r>
      <w:r>
        <w:rPr>
          <w:rFonts w:ascii="Arial" w:hAnsi="Arial" w:cs="Arial"/>
          <w:b/>
          <w:sz w:val="20"/>
          <w:szCs w:val="20"/>
          <w:lang w:val="mn-MN"/>
        </w:rPr>
        <w:t>нь 2012 оны нийт экспортын 43 хувийг эзэлж байсан бол</w:t>
      </w:r>
      <w:r>
        <w:rPr>
          <w:rFonts w:ascii="Arial" w:hAnsi="Arial" w:cs="Arial"/>
          <w:b/>
          <w:sz w:val="20"/>
          <w:szCs w:val="20"/>
        </w:rPr>
        <w:t xml:space="preserve"> – </w:t>
      </w:r>
      <w:r>
        <w:rPr>
          <w:rFonts w:ascii="Arial" w:hAnsi="Arial" w:cs="Arial"/>
          <w:b/>
          <w:sz w:val="20"/>
          <w:szCs w:val="20"/>
          <w:lang w:val="mn-MN"/>
        </w:rPr>
        <w:t xml:space="preserve">өмнөх жилийнхээс 45.3 хувиар буурсан, </w:t>
      </w:r>
      <w:r>
        <w:rPr>
          <w:rFonts w:ascii="Arial" w:hAnsi="Arial" w:cs="Arial"/>
          <w:b/>
          <w:sz w:val="20"/>
          <w:szCs w:val="20"/>
        </w:rPr>
        <w:t>1,432</w:t>
      </w:r>
      <w:r>
        <w:rPr>
          <w:rFonts w:ascii="Arial" w:hAnsi="Arial" w:cs="Arial"/>
          <w:b/>
          <w:sz w:val="20"/>
          <w:szCs w:val="20"/>
          <w:lang w:val="mn-MN"/>
        </w:rPr>
        <w:t xml:space="preserve"> сая ам.доллараас </w:t>
      </w:r>
      <w:r>
        <w:rPr>
          <w:rFonts w:ascii="Arial" w:hAnsi="Arial" w:cs="Arial"/>
          <w:b/>
          <w:sz w:val="20"/>
          <w:szCs w:val="20"/>
        </w:rPr>
        <w:t>783</w:t>
      </w:r>
      <w:r>
        <w:rPr>
          <w:rFonts w:ascii="Arial" w:hAnsi="Arial" w:cs="Arial"/>
          <w:b/>
          <w:sz w:val="20"/>
          <w:szCs w:val="20"/>
          <w:lang w:val="mn-MN"/>
        </w:rPr>
        <w:t xml:space="preserve"> сая ам.долларт хүрсэн </w:t>
      </w:r>
      <w:r>
        <w:rPr>
          <w:rFonts w:ascii="Arial" w:hAnsi="Arial" w:cs="Arial"/>
          <w:b/>
          <w:sz w:val="20"/>
          <w:szCs w:val="20"/>
        </w:rPr>
        <w:t>(</w:t>
      </w:r>
      <w:r>
        <w:rPr>
          <w:rFonts w:ascii="Arial" w:hAnsi="Arial" w:cs="Arial"/>
          <w:b/>
          <w:sz w:val="20"/>
          <w:szCs w:val="20"/>
          <w:lang w:val="mn-MN"/>
        </w:rPr>
        <w:t>Зураг</w:t>
      </w:r>
      <w:r>
        <w:rPr>
          <w:rFonts w:ascii="Arial" w:hAnsi="Arial" w:cs="Arial"/>
          <w:b/>
          <w:sz w:val="20"/>
          <w:szCs w:val="20"/>
        </w:rPr>
        <w:t xml:space="preserve"> 43). </w:t>
      </w:r>
      <w:r>
        <w:rPr>
          <w:rFonts w:ascii="Arial" w:hAnsi="Arial" w:cs="Arial"/>
          <w:sz w:val="20"/>
          <w:szCs w:val="20"/>
          <w:lang w:val="mn-MN"/>
        </w:rPr>
        <w:t xml:space="preserve">Нүүрсний экспортын бууралт нь 2012 онд Монгол улсын нүүрсний экспортын 98.5 хувийг шингээдэг Хятад улс руу гаргах нүүрсний экспортод огцом бууралт гарсантай холбоотой. </w:t>
      </w:r>
    </w:p>
    <w:tbl>
      <w:tblPr>
        <w:tblpPr w:leftFromText="180" w:rightFromText="180" w:vertAnchor="text" w:horzAnchor="margin" w:tblpY="86"/>
        <w:tblW w:w="0" w:type="auto"/>
        <w:tblLook w:val="04A0" w:firstRow="1" w:lastRow="0" w:firstColumn="1" w:lastColumn="0" w:noHBand="0" w:noVBand="1"/>
      </w:tblPr>
      <w:tblGrid>
        <w:gridCol w:w="3729"/>
        <w:gridCol w:w="834"/>
        <w:gridCol w:w="222"/>
        <w:gridCol w:w="4791"/>
      </w:tblGrid>
      <w:tr w:rsidR="00B104DB" w14:paraId="70CCE561" w14:textId="77777777" w:rsidTr="00B104DB">
        <w:tc>
          <w:tcPr>
            <w:tcW w:w="4563" w:type="dxa"/>
            <w:gridSpan w:val="2"/>
            <w:tcBorders>
              <w:top w:val="nil"/>
              <w:left w:val="nil"/>
              <w:bottom w:val="single" w:sz="4" w:space="0" w:color="984806" w:themeColor="accent6" w:themeShade="80"/>
              <w:right w:val="nil"/>
            </w:tcBorders>
            <w:hideMark/>
          </w:tcPr>
          <w:p w14:paraId="54659F5F" w14:textId="7F14E841" w:rsidR="00B104DB" w:rsidRPr="00630B23" w:rsidRDefault="00B104DB" w:rsidP="0017164F">
            <w:pPr>
              <w:pStyle w:val="Caption"/>
              <w:keepNext/>
              <w:jc w:val="both"/>
              <w:rPr>
                <w:color w:val="auto"/>
                <w:sz w:val="16"/>
                <w:szCs w:val="16"/>
                <w:lang w:val="mn-MN"/>
              </w:rPr>
            </w:pPr>
            <w:bookmarkStart w:id="69" w:name="_Toc371338650"/>
            <w:r>
              <w:rPr>
                <w:sz w:val="16"/>
                <w:szCs w:val="16"/>
                <w:lang w:val="mn-MN"/>
              </w:rPr>
              <w:t>Зураг</w:t>
            </w:r>
            <w:r>
              <w:rPr>
                <w:sz w:val="16"/>
                <w:szCs w:val="16"/>
              </w:rPr>
              <w:t xml:space="preserve"> </w:t>
            </w:r>
            <w:r>
              <w:fldChar w:fldCharType="begin"/>
            </w:r>
            <w:r>
              <w:rPr>
                <w:sz w:val="16"/>
                <w:szCs w:val="16"/>
              </w:rPr>
              <w:instrText xml:space="preserve"> SEQ Figure \* ARABIC </w:instrText>
            </w:r>
            <w:r>
              <w:fldChar w:fldCharType="separate"/>
            </w:r>
            <w:r>
              <w:rPr>
                <w:noProof/>
                <w:sz w:val="16"/>
                <w:szCs w:val="16"/>
              </w:rPr>
              <w:t>43</w:t>
            </w:r>
            <w:r>
              <w:fldChar w:fldCharType="end"/>
            </w:r>
            <w:r>
              <w:rPr>
                <w:sz w:val="16"/>
                <w:szCs w:val="16"/>
              </w:rPr>
              <w:t xml:space="preserve">. </w:t>
            </w:r>
            <w:r>
              <w:rPr>
                <w:sz w:val="16"/>
                <w:szCs w:val="16"/>
                <w:lang w:val="mn-MN"/>
              </w:rPr>
              <w:t>Нүүрсний экспорт огцом буурсан</w:t>
            </w:r>
            <w:bookmarkEnd w:id="69"/>
          </w:p>
        </w:tc>
        <w:tc>
          <w:tcPr>
            <w:tcW w:w="222" w:type="dxa"/>
          </w:tcPr>
          <w:p w14:paraId="599FD767" w14:textId="77777777" w:rsidR="00B104DB" w:rsidRDefault="00B104DB" w:rsidP="00B104DB">
            <w:pPr>
              <w:pStyle w:val="Caption"/>
              <w:jc w:val="center"/>
              <w:rPr>
                <w:color w:val="auto"/>
                <w:sz w:val="2"/>
              </w:rPr>
            </w:pPr>
          </w:p>
        </w:tc>
        <w:tc>
          <w:tcPr>
            <w:tcW w:w="4791" w:type="dxa"/>
            <w:tcBorders>
              <w:top w:val="nil"/>
              <w:left w:val="nil"/>
              <w:bottom w:val="single" w:sz="4" w:space="0" w:color="984806" w:themeColor="accent6" w:themeShade="80"/>
              <w:right w:val="nil"/>
            </w:tcBorders>
            <w:hideMark/>
          </w:tcPr>
          <w:p w14:paraId="641766BA" w14:textId="1B1396C0" w:rsidR="00B104DB" w:rsidRPr="00630B23" w:rsidRDefault="00B104DB" w:rsidP="0017164F">
            <w:pPr>
              <w:pStyle w:val="Caption"/>
              <w:keepNext/>
              <w:jc w:val="both"/>
              <w:rPr>
                <w:sz w:val="16"/>
                <w:szCs w:val="16"/>
                <w:lang w:val="mn-MN"/>
              </w:rPr>
            </w:pPr>
            <w:bookmarkStart w:id="70" w:name="_Toc371338651"/>
            <w:r>
              <w:rPr>
                <w:sz w:val="16"/>
                <w:szCs w:val="16"/>
                <w:lang w:val="mn-MN"/>
              </w:rPr>
              <w:t>Зураг</w:t>
            </w:r>
            <w:r>
              <w:rPr>
                <w:sz w:val="16"/>
                <w:szCs w:val="16"/>
              </w:rPr>
              <w:t xml:space="preserve"> </w:t>
            </w:r>
            <w:r>
              <w:fldChar w:fldCharType="begin"/>
            </w:r>
            <w:r>
              <w:rPr>
                <w:sz w:val="16"/>
                <w:szCs w:val="16"/>
              </w:rPr>
              <w:instrText xml:space="preserve"> SEQ Figure \* ARABIC </w:instrText>
            </w:r>
            <w:r>
              <w:fldChar w:fldCharType="separate"/>
            </w:r>
            <w:r>
              <w:rPr>
                <w:noProof/>
                <w:sz w:val="16"/>
                <w:szCs w:val="16"/>
              </w:rPr>
              <w:t>44</w:t>
            </w:r>
            <w:r>
              <w:fldChar w:fldCharType="end"/>
            </w:r>
            <w:r>
              <w:rPr>
                <w:sz w:val="16"/>
                <w:szCs w:val="16"/>
              </w:rPr>
              <w:t xml:space="preserve">. </w:t>
            </w:r>
            <w:r>
              <w:rPr>
                <w:sz w:val="16"/>
                <w:szCs w:val="16"/>
                <w:lang w:val="mn-MN"/>
              </w:rPr>
              <w:t>Нүүрсний экспортын хэмжээ болон үнэ буурсан</w:t>
            </w:r>
            <w:bookmarkEnd w:id="70"/>
          </w:p>
        </w:tc>
      </w:tr>
      <w:tr w:rsidR="00B104DB" w14:paraId="796C6141" w14:textId="77777777" w:rsidTr="00B104DB">
        <w:trPr>
          <w:trHeight w:val="3221"/>
        </w:trPr>
        <w:tc>
          <w:tcPr>
            <w:tcW w:w="4563" w:type="dxa"/>
            <w:gridSpan w:val="2"/>
            <w:tcBorders>
              <w:top w:val="single" w:sz="4" w:space="0" w:color="984806" w:themeColor="accent6" w:themeShade="80"/>
              <w:left w:val="nil"/>
              <w:bottom w:val="nil"/>
              <w:right w:val="nil"/>
            </w:tcBorders>
          </w:tcPr>
          <w:p w14:paraId="7F88A515" w14:textId="09218D52" w:rsidR="00B104DB" w:rsidRDefault="00B104DB" w:rsidP="00B104DB">
            <w:pPr>
              <w:pStyle w:val="NoSpacing"/>
              <w:jc w:val="both"/>
              <w:rPr>
                <w:sz w:val="16"/>
              </w:rPr>
            </w:pPr>
            <w:r>
              <w:rPr>
                <w:sz w:val="16"/>
                <w:lang w:val="mn-MN"/>
              </w:rPr>
              <w:t>Нүүрсний экспортын жилийн хандлага</w:t>
            </w:r>
            <w:r>
              <w:rPr>
                <w:sz w:val="16"/>
              </w:rPr>
              <w:t xml:space="preserve"> (</w:t>
            </w:r>
            <w:r>
              <w:rPr>
                <w:sz w:val="16"/>
                <w:lang w:val="mn-MN"/>
              </w:rPr>
              <w:t>тэрбум доллар</w:t>
            </w:r>
            <w:r>
              <w:rPr>
                <w:sz w:val="16"/>
              </w:rPr>
              <w:t xml:space="preserve">, </w:t>
            </w:r>
            <w:r>
              <w:rPr>
                <w:sz w:val="16"/>
                <w:lang w:val="mn-MN"/>
              </w:rPr>
              <w:t>өнөө хүртэл</w:t>
            </w:r>
            <w:r>
              <w:rPr>
                <w:sz w:val="16"/>
              </w:rPr>
              <w:t>)</w:t>
            </w:r>
          </w:p>
          <w:p w14:paraId="38321795" w14:textId="77777777" w:rsidR="00B104DB" w:rsidRDefault="00B104DB" w:rsidP="00B104DB">
            <w:pPr>
              <w:pStyle w:val="NoSpacing"/>
              <w:jc w:val="both"/>
              <w:rPr>
                <w:sz w:val="16"/>
              </w:rPr>
            </w:pPr>
            <w:r>
              <w:rPr>
                <w:noProof/>
              </w:rPr>
              <w:drawing>
                <wp:inline distT="0" distB="0" distL="0" distR="0" wp14:anchorId="04626299" wp14:editId="4D6D4732">
                  <wp:extent cx="2838450" cy="1746250"/>
                  <wp:effectExtent l="0" t="0" r="0" b="6350"/>
                  <wp:docPr id="320" name="Chart 320"/>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74BF79D4" w14:textId="77777777" w:rsidR="00B104DB" w:rsidRDefault="00B104DB" w:rsidP="00B104DB">
            <w:pPr>
              <w:pStyle w:val="NoSpacing"/>
              <w:jc w:val="both"/>
            </w:pPr>
          </w:p>
        </w:tc>
        <w:tc>
          <w:tcPr>
            <w:tcW w:w="222" w:type="dxa"/>
          </w:tcPr>
          <w:p w14:paraId="70B1BDE3" w14:textId="77777777" w:rsidR="00B104DB" w:rsidRDefault="00B104DB" w:rsidP="00B104DB">
            <w:pPr>
              <w:pStyle w:val="NoSpacing"/>
              <w:jc w:val="both"/>
              <w:rPr>
                <w:noProof/>
                <w:sz w:val="2"/>
                <w:lang w:eastAsia="ko-KR"/>
              </w:rPr>
            </w:pPr>
          </w:p>
          <w:p w14:paraId="6DCEA1AD" w14:textId="77777777" w:rsidR="00B104DB" w:rsidRDefault="00B104DB" w:rsidP="00B104DB">
            <w:pPr>
              <w:pStyle w:val="NoSpacing"/>
              <w:jc w:val="both"/>
              <w:rPr>
                <w:noProof/>
                <w:sz w:val="2"/>
                <w:lang w:eastAsia="ko-KR"/>
              </w:rPr>
            </w:pPr>
          </w:p>
        </w:tc>
        <w:tc>
          <w:tcPr>
            <w:tcW w:w="4791" w:type="dxa"/>
            <w:tcBorders>
              <w:top w:val="single" w:sz="4" w:space="0" w:color="984806" w:themeColor="accent6" w:themeShade="80"/>
              <w:left w:val="nil"/>
              <w:bottom w:val="nil"/>
              <w:right w:val="nil"/>
            </w:tcBorders>
            <w:hideMark/>
          </w:tcPr>
          <w:p w14:paraId="2B1D5F90" w14:textId="524D12F8" w:rsidR="00B104DB" w:rsidRDefault="00B104DB" w:rsidP="00B104DB">
            <w:pPr>
              <w:pStyle w:val="NoSpacing"/>
              <w:jc w:val="both"/>
              <w:rPr>
                <w:sz w:val="16"/>
                <w:szCs w:val="18"/>
                <w:lang w:eastAsia="ko-KR"/>
              </w:rPr>
            </w:pPr>
            <w:r>
              <w:rPr>
                <w:sz w:val="16"/>
                <w:szCs w:val="18"/>
              </w:rPr>
              <w:t xml:space="preserve">% </w:t>
            </w:r>
            <w:r>
              <w:rPr>
                <w:sz w:val="16"/>
                <w:szCs w:val="18"/>
                <w:lang w:val="mn-MN"/>
              </w:rPr>
              <w:t>нүүрсний хэмжээ болон нэгжийн үнийн өөрчлөлт</w:t>
            </w:r>
            <w:r>
              <w:rPr>
                <w:sz w:val="16"/>
                <w:szCs w:val="18"/>
              </w:rPr>
              <w:t xml:space="preserve"> (</w:t>
            </w:r>
            <w:r>
              <w:rPr>
                <w:sz w:val="16"/>
                <w:szCs w:val="18"/>
                <w:lang w:val="mn-MN"/>
              </w:rPr>
              <w:t>өнөө хүртэл</w:t>
            </w:r>
            <w:r>
              <w:rPr>
                <w:sz w:val="16"/>
                <w:szCs w:val="18"/>
              </w:rPr>
              <w:t xml:space="preserve">, </w:t>
            </w:r>
            <w:r>
              <w:rPr>
                <w:sz w:val="16"/>
                <w:szCs w:val="18"/>
                <w:lang w:val="mn-MN"/>
              </w:rPr>
              <w:t>өмнөх жилтэй харьцуулсан</w:t>
            </w:r>
            <w:r>
              <w:rPr>
                <w:sz w:val="16"/>
                <w:szCs w:val="18"/>
              </w:rPr>
              <w:t xml:space="preserve">) </w:t>
            </w:r>
          </w:p>
          <w:p w14:paraId="20E7D894" w14:textId="77777777" w:rsidR="00B104DB" w:rsidRDefault="00B104DB" w:rsidP="00B104DB">
            <w:pPr>
              <w:pStyle w:val="NoSpacing"/>
              <w:jc w:val="both"/>
              <w:rPr>
                <w:lang w:eastAsia="ko-KR"/>
              </w:rPr>
            </w:pPr>
            <w:r>
              <w:rPr>
                <w:noProof/>
              </w:rPr>
              <w:drawing>
                <wp:inline distT="0" distB="0" distL="0" distR="0" wp14:anchorId="74512B2B" wp14:editId="68222882">
                  <wp:extent cx="2990850" cy="1841500"/>
                  <wp:effectExtent l="0" t="0" r="0" b="6350"/>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tc>
      </w:tr>
      <w:tr w:rsidR="00B104DB" w14:paraId="23F18AB1" w14:textId="77777777" w:rsidTr="00B104DB">
        <w:trPr>
          <w:trHeight w:val="89"/>
        </w:trPr>
        <w:tc>
          <w:tcPr>
            <w:tcW w:w="3667" w:type="dxa"/>
            <w:hideMark/>
          </w:tcPr>
          <w:p w14:paraId="4DDC035B" w14:textId="2D82918E" w:rsidR="00B104DB" w:rsidRDefault="00B104DB" w:rsidP="00B104DB">
            <w:pPr>
              <w:pStyle w:val="NoSpacing"/>
              <w:jc w:val="both"/>
              <w:rPr>
                <w:sz w:val="14"/>
                <w:szCs w:val="18"/>
              </w:rPr>
            </w:pPr>
            <w:r>
              <w:rPr>
                <w:i/>
                <w:sz w:val="14"/>
                <w:szCs w:val="18"/>
                <w:lang w:val="mn-MN"/>
              </w:rPr>
              <w:t>Эх үүсвэр</w:t>
            </w:r>
            <w:r>
              <w:rPr>
                <w:i/>
                <w:sz w:val="14"/>
                <w:szCs w:val="18"/>
              </w:rPr>
              <w:t>:</w:t>
            </w:r>
            <w:r>
              <w:rPr>
                <w:i/>
                <w:sz w:val="14"/>
                <w:szCs w:val="18"/>
                <w:lang w:val="mn-MN"/>
              </w:rPr>
              <w:t xml:space="preserve"> </w:t>
            </w:r>
            <w:r>
              <w:rPr>
                <w:sz w:val="14"/>
                <w:szCs w:val="18"/>
                <w:lang w:val="mn-MN"/>
              </w:rPr>
              <w:t>МБ, ДБ-мэргэжилтнүүдийн тооцоо</w:t>
            </w:r>
          </w:p>
        </w:tc>
        <w:tc>
          <w:tcPr>
            <w:tcW w:w="896" w:type="dxa"/>
          </w:tcPr>
          <w:p w14:paraId="0C79A6EF" w14:textId="77777777" w:rsidR="00B104DB" w:rsidRDefault="00B104DB" w:rsidP="00B104DB">
            <w:pPr>
              <w:pStyle w:val="NoSpacing"/>
              <w:jc w:val="both"/>
              <w:rPr>
                <w:i/>
                <w:sz w:val="2"/>
                <w:szCs w:val="18"/>
              </w:rPr>
            </w:pPr>
          </w:p>
        </w:tc>
        <w:tc>
          <w:tcPr>
            <w:tcW w:w="5013" w:type="dxa"/>
            <w:gridSpan w:val="2"/>
          </w:tcPr>
          <w:p w14:paraId="3205CF61" w14:textId="77777777" w:rsidR="00B104DB" w:rsidRDefault="00B104DB" w:rsidP="00B104DB">
            <w:pPr>
              <w:pStyle w:val="NoSpacing"/>
              <w:jc w:val="both"/>
              <w:rPr>
                <w:sz w:val="14"/>
              </w:rPr>
            </w:pPr>
          </w:p>
        </w:tc>
      </w:tr>
    </w:tbl>
    <w:p w14:paraId="6722944A" w14:textId="77777777" w:rsidR="008003C7" w:rsidRDefault="008003C7" w:rsidP="008003C7">
      <w:pPr>
        <w:autoSpaceDE w:val="0"/>
        <w:autoSpaceDN w:val="0"/>
        <w:adjustRightInd w:val="0"/>
        <w:spacing w:after="0"/>
        <w:jc w:val="both"/>
        <w:rPr>
          <w:rFonts w:ascii="Arial" w:hAnsi="Arial" w:cs="Arial"/>
          <w:sz w:val="20"/>
          <w:szCs w:val="20"/>
        </w:rPr>
      </w:pPr>
    </w:p>
    <w:p w14:paraId="349FC50F" w14:textId="615DFD7E" w:rsidR="008003C7" w:rsidRDefault="008003C7" w:rsidP="008003C7">
      <w:pPr>
        <w:pStyle w:val="ListParagraph"/>
        <w:numPr>
          <w:ilvl w:val="0"/>
          <w:numId w:val="28"/>
        </w:numPr>
        <w:autoSpaceDE w:val="0"/>
        <w:autoSpaceDN w:val="0"/>
        <w:adjustRightInd w:val="0"/>
        <w:spacing w:after="0"/>
        <w:jc w:val="both"/>
        <w:rPr>
          <w:rFonts w:ascii="Arial" w:hAnsi="Arial" w:cs="Arial"/>
          <w:sz w:val="20"/>
          <w:szCs w:val="20"/>
        </w:rPr>
      </w:pPr>
      <w:r>
        <w:rPr>
          <w:rFonts w:ascii="Arial" w:hAnsi="Arial" w:cs="Arial"/>
          <w:b/>
          <w:sz w:val="20"/>
          <w:szCs w:val="20"/>
          <w:lang w:val="mn-MN"/>
        </w:rPr>
        <w:t xml:space="preserve">Хятадын нүүрсний нийлүүлэлт элбэг, нүүрс экспортлогч гол орнуудын хооронд өрсөлдөөн нэмэгдэж байгаа нь нүүрсний үнэ болон хэмжээнд аль алинд нь хүчтэй дарамтыг үүсгэлээ. </w:t>
      </w:r>
      <w:r>
        <w:rPr>
          <w:rFonts w:ascii="Arial" w:hAnsi="Arial" w:cs="Arial"/>
          <w:sz w:val="20"/>
          <w:szCs w:val="20"/>
          <w:lang w:val="mn-MN"/>
        </w:rPr>
        <w:t xml:space="preserve">Хэдийгээр бусад өрсөлдөгчидтэй харьцуулбал Монгол улсын газарзүйн байршил нь гол нүүрсний зах зээлд ойрхон байгаа нь том давуу тал боловч </w:t>
      </w:r>
      <w:r>
        <w:rPr>
          <w:rFonts w:ascii="Arial" w:hAnsi="Arial" w:cs="Arial"/>
          <w:sz w:val="20"/>
          <w:szCs w:val="20"/>
          <w:lang w:val="mn-MN"/>
        </w:rPr>
        <w:lastRenderedPageBreak/>
        <w:t>өртөг</w:t>
      </w:r>
      <w:r>
        <w:rPr>
          <w:rFonts w:ascii="Arial" w:hAnsi="Arial" w:cs="Arial"/>
          <w:sz w:val="20"/>
          <w:szCs w:val="20"/>
        </w:rPr>
        <w:t>-</w:t>
      </w:r>
      <w:r>
        <w:rPr>
          <w:rFonts w:ascii="Arial" w:hAnsi="Arial" w:cs="Arial"/>
          <w:sz w:val="20"/>
          <w:szCs w:val="20"/>
          <w:lang w:val="mn-MN"/>
        </w:rPr>
        <w:t xml:space="preserve">хэмнэсэн тээвэрлэлт, хүргэлтийн тогтолцоо дутагдалтайн улмаас Монгол улсын нүүрсний өрсөлдөх чадварыг Хятад улсад хязгаарлаж байна. Нүүрсний зах зээлийн тааламжгүй нөхцөл байдлыг илэрхийлж, нүүрсний экспортын хэмжээ нь эхний 9 сарын байдлаар 20.4 хувиар буурч, өмнөх оны мөн үед 14.3 сая тонд хүрч байсан </w:t>
      </w:r>
      <w:r w:rsidR="00F751C0">
        <w:rPr>
          <w:rFonts w:ascii="Arial" w:hAnsi="Arial" w:cs="Arial"/>
          <w:sz w:val="20"/>
          <w:szCs w:val="20"/>
          <w:lang w:val="mn-MN"/>
        </w:rPr>
        <w:t>б</w:t>
      </w:r>
      <w:r>
        <w:rPr>
          <w:rFonts w:ascii="Arial" w:hAnsi="Arial" w:cs="Arial"/>
          <w:sz w:val="20"/>
          <w:szCs w:val="20"/>
          <w:lang w:val="mn-MN"/>
        </w:rPr>
        <w:t>ол 11.3 сая тон</w:t>
      </w:r>
      <w:r w:rsidR="00F751C0">
        <w:rPr>
          <w:rFonts w:ascii="Arial" w:hAnsi="Arial" w:cs="Arial"/>
          <w:sz w:val="20"/>
          <w:szCs w:val="20"/>
          <w:lang w:val="mn-MN"/>
        </w:rPr>
        <w:t>н</w:t>
      </w:r>
      <w:r>
        <w:rPr>
          <w:rFonts w:ascii="Arial" w:hAnsi="Arial" w:cs="Arial"/>
          <w:sz w:val="20"/>
          <w:szCs w:val="20"/>
          <w:lang w:val="mn-MN"/>
        </w:rPr>
        <w:t>д хүрсэн байна. Нэгээс 9 сарын хооронд нэг тон</w:t>
      </w:r>
      <w:r w:rsidR="00F751C0">
        <w:rPr>
          <w:rFonts w:ascii="Arial" w:hAnsi="Arial" w:cs="Arial"/>
          <w:sz w:val="20"/>
          <w:szCs w:val="20"/>
          <w:lang w:val="mn-MN"/>
        </w:rPr>
        <w:t>н</w:t>
      </w:r>
      <w:r>
        <w:rPr>
          <w:rFonts w:ascii="Arial" w:hAnsi="Arial" w:cs="Arial"/>
          <w:sz w:val="20"/>
          <w:szCs w:val="20"/>
          <w:lang w:val="mn-MN"/>
        </w:rPr>
        <w:t xml:space="preserve"> нүүрсний экспортын борлуулалтын үнэ нь </w:t>
      </w:r>
      <w:r>
        <w:rPr>
          <w:rFonts w:ascii="Arial" w:hAnsi="Arial" w:cs="Arial"/>
          <w:sz w:val="20"/>
          <w:szCs w:val="20"/>
        </w:rPr>
        <w:t xml:space="preserve">31.4 </w:t>
      </w:r>
      <w:r>
        <w:rPr>
          <w:rFonts w:ascii="Arial" w:hAnsi="Arial" w:cs="Arial"/>
          <w:sz w:val="20"/>
          <w:szCs w:val="20"/>
          <w:lang w:val="mn-MN"/>
        </w:rPr>
        <w:t xml:space="preserve">хувиар буурсан </w:t>
      </w:r>
      <w:r>
        <w:rPr>
          <w:rFonts w:ascii="Arial" w:hAnsi="Arial" w:cs="Arial"/>
          <w:sz w:val="20"/>
          <w:szCs w:val="20"/>
        </w:rPr>
        <w:t>(</w:t>
      </w:r>
      <w:r>
        <w:rPr>
          <w:rFonts w:ascii="Arial" w:hAnsi="Arial" w:cs="Arial"/>
          <w:sz w:val="20"/>
          <w:szCs w:val="20"/>
          <w:lang w:val="mn-MN"/>
        </w:rPr>
        <w:t>Зураг</w:t>
      </w:r>
      <w:r>
        <w:rPr>
          <w:rFonts w:ascii="Arial" w:hAnsi="Arial" w:cs="Arial"/>
          <w:sz w:val="20"/>
          <w:szCs w:val="20"/>
        </w:rPr>
        <w:t xml:space="preserve"> 44).</w:t>
      </w:r>
    </w:p>
    <w:p w14:paraId="65381C85" w14:textId="77777777" w:rsidR="00B104DB" w:rsidRPr="00630B23" w:rsidRDefault="00B104DB" w:rsidP="00630B23">
      <w:pPr>
        <w:pStyle w:val="ListParagraph"/>
        <w:jc w:val="both"/>
        <w:rPr>
          <w:rFonts w:ascii="Arial" w:hAnsi="Arial" w:cs="Arial"/>
          <w:sz w:val="20"/>
          <w:szCs w:val="20"/>
        </w:rPr>
      </w:pPr>
    </w:p>
    <w:p w14:paraId="62698B0C" w14:textId="6A33B94D" w:rsidR="008003C7" w:rsidRDefault="008003C7" w:rsidP="008003C7">
      <w:pPr>
        <w:pStyle w:val="ListParagraph"/>
        <w:numPr>
          <w:ilvl w:val="0"/>
          <w:numId w:val="28"/>
        </w:numPr>
        <w:jc w:val="both"/>
        <w:rPr>
          <w:rFonts w:ascii="Arial" w:hAnsi="Arial" w:cs="Arial"/>
          <w:sz w:val="20"/>
          <w:szCs w:val="20"/>
        </w:rPr>
      </w:pPr>
      <w:r>
        <w:rPr>
          <w:rFonts w:ascii="Arial" w:hAnsi="Arial" w:cs="Arial"/>
          <w:b/>
          <w:sz w:val="20"/>
          <w:szCs w:val="20"/>
          <w:lang w:val="mn-MN"/>
        </w:rPr>
        <w:t>Зэсийн экспорт</w:t>
      </w:r>
      <w:r>
        <w:rPr>
          <w:rFonts w:ascii="Arial" w:hAnsi="Arial" w:cs="Arial"/>
          <w:b/>
          <w:sz w:val="20"/>
          <w:szCs w:val="20"/>
        </w:rPr>
        <w:t xml:space="preserve"> –</w:t>
      </w:r>
      <w:r>
        <w:rPr>
          <w:rFonts w:ascii="Arial" w:hAnsi="Arial" w:cs="Arial"/>
          <w:b/>
          <w:sz w:val="20"/>
          <w:szCs w:val="20"/>
          <w:lang w:val="mn-MN"/>
        </w:rPr>
        <w:t xml:space="preserve"> 2012 онд нийт экспортын 19 хувийг эзэлж байсан бол</w:t>
      </w:r>
      <w:r>
        <w:rPr>
          <w:rFonts w:ascii="Arial" w:hAnsi="Arial" w:cs="Arial"/>
          <w:b/>
          <w:sz w:val="20"/>
          <w:szCs w:val="20"/>
        </w:rPr>
        <w:t xml:space="preserve"> – </w:t>
      </w:r>
      <w:r>
        <w:rPr>
          <w:rFonts w:ascii="Arial" w:hAnsi="Arial" w:cs="Arial"/>
          <w:b/>
          <w:sz w:val="20"/>
          <w:szCs w:val="20"/>
          <w:lang w:val="mn-MN"/>
        </w:rPr>
        <w:t xml:space="preserve"> 2012 онд 13 хувиар буурсны дараа эхний 9 сарын хугацаанд </w:t>
      </w:r>
      <w:r>
        <w:rPr>
          <w:rFonts w:ascii="Arial" w:hAnsi="Arial" w:cs="Arial"/>
          <w:b/>
          <w:sz w:val="20"/>
          <w:szCs w:val="20"/>
        </w:rPr>
        <w:t xml:space="preserve">8.4 </w:t>
      </w:r>
      <w:r>
        <w:rPr>
          <w:rFonts w:ascii="Arial" w:hAnsi="Arial" w:cs="Arial"/>
          <w:b/>
          <w:sz w:val="20"/>
          <w:szCs w:val="20"/>
          <w:lang w:val="mn-MN"/>
        </w:rPr>
        <w:t xml:space="preserve">хувиар </w:t>
      </w:r>
      <w:r>
        <w:rPr>
          <w:rFonts w:ascii="Arial" w:hAnsi="Arial" w:cs="Arial"/>
          <w:b/>
          <w:sz w:val="20"/>
          <w:szCs w:val="20"/>
        </w:rPr>
        <w:t>(</w:t>
      </w:r>
      <w:r>
        <w:rPr>
          <w:rFonts w:ascii="Arial" w:hAnsi="Arial" w:cs="Arial"/>
          <w:b/>
          <w:sz w:val="20"/>
          <w:szCs w:val="20"/>
          <w:lang w:val="mn-MN"/>
        </w:rPr>
        <w:t>өмнөх жилийн мөн үетэй харьцуулбал</w:t>
      </w:r>
      <w:r>
        <w:rPr>
          <w:rFonts w:ascii="Arial" w:hAnsi="Arial" w:cs="Arial"/>
          <w:b/>
          <w:sz w:val="20"/>
          <w:szCs w:val="20"/>
        </w:rPr>
        <w:t xml:space="preserve">) </w:t>
      </w:r>
      <w:r>
        <w:rPr>
          <w:rFonts w:ascii="Arial" w:hAnsi="Arial" w:cs="Arial"/>
          <w:b/>
          <w:sz w:val="20"/>
          <w:szCs w:val="20"/>
          <w:lang w:val="mn-MN"/>
        </w:rPr>
        <w:t xml:space="preserve">өсчээ. </w:t>
      </w:r>
      <w:r>
        <w:rPr>
          <w:rFonts w:ascii="Arial" w:hAnsi="Arial" w:cs="Arial"/>
          <w:sz w:val="20"/>
          <w:szCs w:val="20"/>
          <w:lang w:val="mn-MN"/>
        </w:rPr>
        <w:t xml:space="preserve">Гурван сар дараалан унасны дараагаар, </w:t>
      </w:r>
      <w:r w:rsidR="00F751C0">
        <w:rPr>
          <w:rFonts w:ascii="Arial" w:hAnsi="Arial" w:cs="Arial"/>
          <w:sz w:val="20"/>
          <w:szCs w:val="20"/>
          <w:lang w:val="mn-MN"/>
        </w:rPr>
        <w:t xml:space="preserve">зэсийн </w:t>
      </w:r>
      <w:r>
        <w:rPr>
          <w:rFonts w:ascii="Arial" w:hAnsi="Arial" w:cs="Arial"/>
          <w:sz w:val="20"/>
          <w:szCs w:val="20"/>
          <w:lang w:val="mn-MN"/>
        </w:rPr>
        <w:t xml:space="preserve">экспортын өсөлт нь 7 дугаар сард эерэг болж, 8 дугаар сард </w:t>
      </w:r>
      <w:r>
        <w:rPr>
          <w:rFonts w:ascii="Arial" w:hAnsi="Arial" w:cs="Arial"/>
          <w:sz w:val="20"/>
          <w:szCs w:val="20"/>
        </w:rPr>
        <w:t>27.1</w:t>
      </w:r>
      <w:r>
        <w:rPr>
          <w:rFonts w:ascii="Arial" w:hAnsi="Arial" w:cs="Arial"/>
          <w:sz w:val="20"/>
          <w:szCs w:val="20"/>
          <w:lang w:val="mn-MN"/>
        </w:rPr>
        <w:t xml:space="preserve"> хувиар, 9 дүгээр сард </w:t>
      </w:r>
      <w:r>
        <w:rPr>
          <w:rFonts w:ascii="Arial" w:hAnsi="Arial" w:cs="Arial"/>
          <w:sz w:val="20"/>
          <w:szCs w:val="20"/>
        </w:rPr>
        <w:t xml:space="preserve">68.9 </w:t>
      </w:r>
      <w:r>
        <w:rPr>
          <w:rFonts w:ascii="Arial" w:hAnsi="Arial" w:cs="Arial"/>
          <w:sz w:val="20"/>
          <w:szCs w:val="20"/>
          <w:lang w:val="mn-MN"/>
        </w:rPr>
        <w:t>хувиар нэмэгдсэн нь Оюу толгойн уурхай</w:t>
      </w:r>
      <w:r w:rsidR="00F751C0">
        <w:rPr>
          <w:rFonts w:ascii="Arial" w:hAnsi="Arial" w:cs="Arial"/>
          <w:sz w:val="20"/>
          <w:szCs w:val="20"/>
          <w:lang w:val="mn-MN"/>
        </w:rPr>
        <w:t>н</w:t>
      </w:r>
      <w:r>
        <w:rPr>
          <w:rFonts w:ascii="Arial" w:hAnsi="Arial" w:cs="Arial"/>
          <w:sz w:val="20"/>
          <w:szCs w:val="20"/>
          <w:lang w:val="mn-MN"/>
        </w:rPr>
        <w:t xml:space="preserve"> зэсийн баяжмалыг 7 сараас эхлэн нийлүүлж эхэлсэнтэй холбоотой. Зэсийн экспортын хэмжээний өсөлт нь 7 дугаар сард </w:t>
      </w:r>
      <w:r>
        <w:rPr>
          <w:rFonts w:ascii="Arial" w:hAnsi="Arial" w:cs="Arial"/>
          <w:sz w:val="20"/>
          <w:szCs w:val="20"/>
        </w:rPr>
        <w:t>10.8</w:t>
      </w:r>
      <w:r>
        <w:rPr>
          <w:rFonts w:ascii="Arial" w:hAnsi="Arial" w:cs="Arial"/>
          <w:sz w:val="20"/>
          <w:szCs w:val="20"/>
          <w:lang w:val="mn-MN"/>
        </w:rPr>
        <w:t xml:space="preserve"> хувь байснаа 9 дүгээр сард </w:t>
      </w:r>
      <w:r>
        <w:rPr>
          <w:rFonts w:ascii="Arial" w:hAnsi="Arial" w:cs="Arial"/>
          <w:sz w:val="20"/>
          <w:szCs w:val="20"/>
        </w:rPr>
        <w:t xml:space="preserve">49.4 </w:t>
      </w:r>
      <w:r>
        <w:rPr>
          <w:rFonts w:ascii="Arial" w:hAnsi="Arial" w:cs="Arial"/>
          <w:sz w:val="20"/>
          <w:szCs w:val="20"/>
          <w:lang w:val="mn-MN"/>
        </w:rPr>
        <w:t>хувь болжээ</w:t>
      </w:r>
      <w:r>
        <w:rPr>
          <w:rFonts w:ascii="Arial" w:hAnsi="Arial" w:cs="Arial"/>
          <w:sz w:val="20"/>
          <w:szCs w:val="20"/>
        </w:rPr>
        <w:t xml:space="preserve"> (</w:t>
      </w:r>
      <w:r>
        <w:rPr>
          <w:rFonts w:ascii="Arial" w:hAnsi="Arial" w:cs="Arial"/>
          <w:sz w:val="20"/>
          <w:szCs w:val="20"/>
          <w:lang w:val="mn-MN"/>
        </w:rPr>
        <w:t>Зураг</w:t>
      </w:r>
      <w:r>
        <w:rPr>
          <w:rFonts w:ascii="Arial" w:hAnsi="Arial" w:cs="Arial"/>
          <w:sz w:val="20"/>
          <w:szCs w:val="20"/>
        </w:rPr>
        <w:t xml:space="preserve"> 45). </w:t>
      </w:r>
      <w:r>
        <w:rPr>
          <w:rFonts w:ascii="Arial" w:hAnsi="Arial" w:cs="Arial"/>
          <w:sz w:val="20"/>
          <w:szCs w:val="20"/>
          <w:lang w:val="mn-MN"/>
        </w:rPr>
        <w:t xml:space="preserve">Ирэх саруудад Оюу толгойн уурхай нь үйлдвэрлэлээ нэмэгдүүлж экспорлохоор байгаа нь зэсийн экспортын хэмжээг өсгөхөөр байна. </w:t>
      </w:r>
    </w:p>
    <w:tbl>
      <w:tblPr>
        <w:tblpPr w:leftFromText="180" w:rightFromText="180" w:vertAnchor="text" w:horzAnchor="margin" w:tblpXSpec="right" w:tblpY="-5"/>
        <w:tblOverlap w:val="never"/>
        <w:tblW w:w="0" w:type="auto"/>
        <w:tblLook w:val="04A0" w:firstRow="1" w:lastRow="0" w:firstColumn="1" w:lastColumn="0" w:noHBand="0" w:noVBand="1"/>
      </w:tblPr>
      <w:tblGrid>
        <w:gridCol w:w="5016"/>
      </w:tblGrid>
      <w:tr w:rsidR="008003C7" w14:paraId="0425A912" w14:textId="77777777" w:rsidTr="008003C7">
        <w:trPr>
          <w:trHeight w:val="236"/>
        </w:trPr>
        <w:tc>
          <w:tcPr>
            <w:tcW w:w="4998" w:type="dxa"/>
            <w:tcBorders>
              <w:top w:val="nil"/>
              <w:left w:val="nil"/>
              <w:bottom w:val="single" w:sz="4" w:space="0" w:color="984806" w:themeColor="accent6" w:themeShade="80"/>
              <w:right w:val="nil"/>
            </w:tcBorders>
            <w:hideMark/>
          </w:tcPr>
          <w:p w14:paraId="060836A9" w14:textId="2832E74D" w:rsidR="008003C7" w:rsidRPr="00630B23" w:rsidRDefault="00F751C0" w:rsidP="00630B23">
            <w:pPr>
              <w:pStyle w:val="Caption"/>
              <w:keepNext/>
              <w:spacing w:after="0"/>
              <w:rPr>
                <w:sz w:val="16"/>
                <w:szCs w:val="16"/>
                <w:lang w:val="mn-MN"/>
              </w:rPr>
            </w:pPr>
            <w:bookmarkStart w:id="71" w:name="_Toc371338652"/>
            <w:r>
              <w:rPr>
                <w:sz w:val="16"/>
                <w:szCs w:val="16"/>
                <w:lang w:val="mn-MN"/>
              </w:rPr>
              <w:t>Зураг</w:t>
            </w:r>
            <w:r w:rsidR="008003C7">
              <w:rPr>
                <w:sz w:val="16"/>
                <w:szCs w:val="16"/>
              </w:rPr>
              <w:t xml:space="preserve"> </w:t>
            </w:r>
            <w:r w:rsidR="008003C7">
              <w:fldChar w:fldCharType="begin"/>
            </w:r>
            <w:r w:rsidR="008003C7">
              <w:rPr>
                <w:sz w:val="16"/>
                <w:szCs w:val="16"/>
              </w:rPr>
              <w:instrText xml:space="preserve"> SEQ Figure \* ARABIC </w:instrText>
            </w:r>
            <w:r w:rsidR="008003C7">
              <w:fldChar w:fldCharType="separate"/>
            </w:r>
            <w:r w:rsidR="008003C7">
              <w:rPr>
                <w:noProof/>
                <w:sz w:val="16"/>
                <w:szCs w:val="16"/>
              </w:rPr>
              <w:t>45</w:t>
            </w:r>
            <w:r w:rsidR="008003C7">
              <w:fldChar w:fldCharType="end"/>
            </w:r>
            <w:r w:rsidR="008003C7">
              <w:rPr>
                <w:sz w:val="16"/>
                <w:szCs w:val="16"/>
              </w:rPr>
              <w:t xml:space="preserve">. </w:t>
            </w:r>
            <w:r>
              <w:rPr>
                <w:sz w:val="16"/>
                <w:szCs w:val="16"/>
                <w:lang w:val="mn-MN"/>
              </w:rPr>
              <w:t>Сүүлийн саруудад зэсийн баяжмалын экспорт хурдан өслөө</w:t>
            </w:r>
            <w:bookmarkEnd w:id="71"/>
          </w:p>
        </w:tc>
      </w:tr>
      <w:tr w:rsidR="008003C7" w14:paraId="6436374F" w14:textId="77777777" w:rsidTr="008003C7">
        <w:trPr>
          <w:trHeight w:val="2837"/>
        </w:trPr>
        <w:tc>
          <w:tcPr>
            <w:tcW w:w="4998" w:type="dxa"/>
            <w:tcBorders>
              <w:top w:val="single" w:sz="4" w:space="0" w:color="984806" w:themeColor="accent6" w:themeShade="80"/>
              <w:left w:val="nil"/>
              <w:bottom w:val="nil"/>
              <w:right w:val="nil"/>
            </w:tcBorders>
            <w:hideMark/>
          </w:tcPr>
          <w:p w14:paraId="33D3C971" w14:textId="5554D3C8" w:rsidR="008003C7" w:rsidRDefault="00F751C0">
            <w:pPr>
              <w:pStyle w:val="Caption"/>
              <w:rPr>
                <w:b w:val="0"/>
                <w:color w:val="auto"/>
                <w:sz w:val="16"/>
              </w:rPr>
            </w:pPr>
            <w:r>
              <w:rPr>
                <w:b w:val="0"/>
                <w:color w:val="auto"/>
                <w:sz w:val="16"/>
                <w:lang w:val="mn-MN"/>
              </w:rPr>
              <w:t>Зэсийн экспортын хэмжээ болон үнэ</w:t>
            </w:r>
            <w:r w:rsidR="008003C7">
              <w:rPr>
                <w:b w:val="0"/>
                <w:color w:val="auto"/>
                <w:sz w:val="16"/>
              </w:rPr>
              <w:t xml:space="preserve"> (</w:t>
            </w:r>
            <w:r>
              <w:rPr>
                <w:b w:val="0"/>
                <w:color w:val="auto"/>
                <w:sz w:val="16"/>
                <w:lang w:val="mn-MN"/>
              </w:rPr>
              <w:t>өмнөх жилтэй харьц</w:t>
            </w:r>
            <w:r w:rsidR="008003C7">
              <w:rPr>
                <w:b w:val="0"/>
                <w:color w:val="auto"/>
                <w:sz w:val="16"/>
              </w:rPr>
              <w:t xml:space="preserve">, % </w:t>
            </w:r>
            <w:r>
              <w:rPr>
                <w:b w:val="0"/>
                <w:color w:val="auto"/>
                <w:sz w:val="16"/>
                <w:lang w:val="mn-MN"/>
              </w:rPr>
              <w:t>өөрчлөлт</w:t>
            </w:r>
            <w:r w:rsidR="008003C7">
              <w:rPr>
                <w:b w:val="0"/>
                <w:color w:val="auto"/>
                <w:sz w:val="16"/>
              </w:rPr>
              <w:t>)</w:t>
            </w:r>
          </w:p>
          <w:p w14:paraId="5EE3CCD7" w14:textId="710627E5" w:rsidR="008003C7" w:rsidRDefault="008003C7">
            <w:r>
              <w:rPr>
                <w:noProof/>
              </w:rPr>
              <w:drawing>
                <wp:inline distT="0" distB="0" distL="0" distR="0" wp14:anchorId="6AC72949" wp14:editId="6D0DD4EC">
                  <wp:extent cx="3041650" cy="1689100"/>
                  <wp:effectExtent l="0" t="0" r="6350" b="6350"/>
                  <wp:docPr id="62" name="Chart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tc>
      </w:tr>
      <w:tr w:rsidR="008003C7" w14:paraId="5E39FE37" w14:textId="77777777" w:rsidTr="008003C7">
        <w:trPr>
          <w:trHeight w:val="68"/>
        </w:trPr>
        <w:tc>
          <w:tcPr>
            <w:tcW w:w="4998" w:type="dxa"/>
            <w:hideMark/>
          </w:tcPr>
          <w:p w14:paraId="0EF4BE6C" w14:textId="7B130DE0" w:rsidR="008003C7" w:rsidRDefault="00F751C0">
            <w:pPr>
              <w:pStyle w:val="NoSpacing"/>
              <w:jc w:val="both"/>
              <w:rPr>
                <w:sz w:val="14"/>
                <w:szCs w:val="18"/>
              </w:rPr>
            </w:pPr>
            <w:r>
              <w:rPr>
                <w:i/>
                <w:sz w:val="14"/>
                <w:szCs w:val="18"/>
                <w:lang w:val="mn-MN"/>
              </w:rPr>
              <w:t>Эх үүсвэр</w:t>
            </w:r>
            <w:r>
              <w:rPr>
                <w:i/>
                <w:sz w:val="14"/>
                <w:szCs w:val="18"/>
              </w:rPr>
              <w:t>:</w:t>
            </w:r>
            <w:r>
              <w:rPr>
                <w:i/>
                <w:sz w:val="14"/>
                <w:szCs w:val="18"/>
                <w:lang w:val="mn-MN"/>
              </w:rPr>
              <w:t xml:space="preserve"> </w:t>
            </w:r>
            <w:r>
              <w:rPr>
                <w:sz w:val="14"/>
                <w:szCs w:val="18"/>
                <w:lang w:val="mn-MN"/>
              </w:rPr>
              <w:t>МБ, ДБ-мэргэжилтнүүдийн тооцоо</w:t>
            </w:r>
          </w:p>
        </w:tc>
      </w:tr>
    </w:tbl>
    <w:p w14:paraId="71DA5AAB" w14:textId="12F4C1C1" w:rsidR="008003C7" w:rsidRDefault="008003C7" w:rsidP="008003C7">
      <w:pPr>
        <w:pStyle w:val="ListParagraph"/>
        <w:numPr>
          <w:ilvl w:val="0"/>
          <w:numId w:val="28"/>
        </w:numPr>
        <w:jc w:val="both"/>
        <w:rPr>
          <w:rFonts w:ascii="Arial" w:hAnsi="Arial" w:cs="Arial"/>
          <w:b/>
          <w:sz w:val="20"/>
          <w:szCs w:val="20"/>
        </w:rPr>
      </w:pPr>
      <w:r>
        <w:rPr>
          <w:rFonts w:ascii="Arial" w:hAnsi="Arial" w:cs="Arial"/>
          <w:b/>
          <w:sz w:val="20"/>
          <w:szCs w:val="20"/>
          <w:lang w:val="mn-MN"/>
        </w:rPr>
        <w:t>Уул уурхайн бус экспорт</w:t>
      </w:r>
      <w:r>
        <w:rPr>
          <w:rStyle w:val="FootnoteReference"/>
          <w:rFonts w:ascii="Arial" w:hAnsi="Arial" w:cs="Arial"/>
          <w:b/>
          <w:sz w:val="20"/>
          <w:szCs w:val="20"/>
        </w:rPr>
        <w:footnoteReference w:id="10"/>
      </w:r>
      <w:r>
        <w:rPr>
          <w:rFonts w:ascii="Arial" w:hAnsi="Arial" w:cs="Arial"/>
          <w:b/>
          <w:sz w:val="20"/>
          <w:szCs w:val="20"/>
        </w:rPr>
        <w:t xml:space="preserve"> – </w:t>
      </w:r>
      <w:r>
        <w:rPr>
          <w:rFonts w:ascii="Arial" w:hAnsi="Arial" w:cs="Arial"/>
          <w:b/>
          <w:sz w:val="20"/>
          <w:szCs w:val="20"/>
          <w:lang w:val="mn-MN"/>
        </w:rPr>
        <w:t>нь 2012 онд экспортын 8 хувийг эзэлж байсан</w:t>
      </w:r>
      <w:r>
        <w:rPr>
          <w:rFonts w:ascii="Arial" w:hAnsi="Arial" w:cs="Arial"/>
          <w:b/>
          <w:sz w:val="20"/>
          <w:szCs w:val="20"/>
        </w:rPr>
        <w:t xml:space="preserve"> – </w:t>
      </w:r>
      <w:r>
        <w:rPr>
          <w:rFonts w:ascii="Arial" w:hAnsi="Arial" w:cs="Arial"/>
          <w:b/>
          <w:sz w:val="20"/>
          <w:szCs w:val="20"/>
          <w:lang w:val="mn-MN"/>
        </w:rPr>
        <w:t xml:space="preserve">ноолууран бүтээгдэхүүний хүчтэй экспортын улмаас эхний 9 сард </w:t>
      </w:r>
      <w:r>
        <w:rPr>
          <w:rFonts w:ascii="Arial" w:hAnsi="Arial" w:cs="Arial"/>
          <w:b/>
          <w:sz w:val="20"/>
          <w:szCs w:val="20"/>
        </w:rPr>
        <w:t>32.3</w:t>
      </w:r>
      <w:r>
        <w:rPr>
          <w:rFonts w:ascii="Arial" w:hAnsi="Arial" w:cs="Arial"/>
          <w:b/>
          <w:sz w:val="20"/>
          <w:szCs w:val="20"/>
          <w:lang w:val="mn-MN"/>
        </w:rPr>
        <w:t xml:space="preserve"> хувиар өсчээ. </w:t>
      </w:r>
      <w:r>
        <w:rPr>
          <w:rFonts w:ascii="Arial" w:hAnsi="Arial" w:cs="Arial"/>
          <w:sz w:val="20"/>
          <w:szCs w:val="20"/>
          <w:lang w:val="mn-MN"/>
        </w:rPr>
        <w:t xml:space="preserve">Ноолууран бүтээгдэхүүний өсөлт нь 2012 онд 10.2 хувь байснаа </w:t>
      </w:r>
      <w:r>
        <w:rPr>
          <w:rFonts w:ascii="Arial" w:hAnsi="Arial" w:cs="Arial"/>
          <w:sz w:val="20"/>
          <w:szCs w:val="20"/>
        </w:rPr>
        <w:t>29.1</w:t>
      </w:r>
      <w:r>
        <w:rPr>
          <w:rFonts w:ascii="Arial" w:hAnsi="Arial" w:cs="Arial"/>
          <w:sz w:val="20"/>
          <w:szCs w:val="20"/>
          <w:lang w:val="mn-MN"/>
        </w:rPr>
        <w:t xml:space="preserve"> хувьд хүрчээ. Нэхмэл бүтээгдэхүүний экспортод ноолуур, арьс, ноос болон арьс шир орох бөгөөд энэ нь 2012 онд 5.8 хувь байснаа </w:t>
      </w:r>
      <w:r>
        <w:rPr>
          <w:rFonts w:ascii="Arial" w:hAnsi="Arial" w:cs="Arial"/>
          <w:sz w:val="20"/>
          <w:szCs w:val="20"/>
        </w:rPr>
        <w:t>26.1</w:t>
      </w:r>
      <w:r>
        <w:rPr>
          <w:rFonts w:ascii="Arial" w:hAnsi="Arial" w:cs="Arial"/>
          <w:sz w:val="20"/>
          <w:szCs w:val="20"/>
          <w:lang w:val="mn-MN"/>
        </w:rPr>
        <w:t xml:space="preserve"> хувь болж өсчээ. Эхний 9 сарын туршид, уул уурхайн бус экспорт нь нийт экспортын 12 хувийг эзэлж байгаа бөгөөд нийт уул уурхайн бус экспортын 48 хувийг</w:t>
      </w:r>
      <w:r w:rsidR="00F751C0">
        <w:rPr>
          <w:rFonts w:ascii="Arial" w:hAnsi="Arial" w:cs="Arial"/>
          <w:sz w:val="20"/>
          <w:szCs w:val="20"/>
          <w:lang w:val="mn-MN"/>
        </w:rPr>
        <w:t xml:space="preserve"> </w:t>
      </w:r>
      <w:r>
        <w:rPr>
          <w:rFonts w:ascii="Arial" w:hAnsi="Arial" w:cs="Arial"/>
          <w:sz w:val="20"/>
          <w:szCs w:val="20"/>
          <w:lang w:val="mn-MN"/>
        </w:rPr>
        <w:t xml:space="preserve">ноолууран бүтээгдэхүүн эзэлж байна. </w:t>
      </w:r>
    </w:p>
    <w:p w14:paraId="60D55864" w14:textId="42BAC2AD" w:rsidR="008003C7" w:rsidRDefault="008003C7" w:rsidP="008003C7">
      <w:pPr>
        <w:pStyle w:val="NoSpacing"/>
        <w:spacing w:line="276" w:lineRule="auto"/>
        <w:jc w:val="both"/>
        <w:rPr>
          <w:rFonts w:ascii="Arial" w:hAnsi="Arial" w:cs="Arial"/>
          <w:sz w:val="20"/>
          <w:szCs w:val="20"/>
        </w:rPr>
      </w:pPr>
      <w:r>
        <w:rPr>
          <w:rFonts w:ascii="Arial" w:hAnsi="Arial" w:cs="Arial"/>
          <w:b/>
          <w:sz w:val="20"/>
          <w:szCs w:val="20"/>
          <w:lang w:val="mn-MN"/>
        </w:rPr>
        <w:t xml:space="preserve">Эхний 9 сарын хугацаанд нийт импорт </w:t>
      </w:r>
      <w:r>
        <w:rPr>
          <w:rFonts w:ascii="Arial" w:hAnsi="Arial" w:cs="Arial"/>
          <w:b/>
          <w:sz w:val="20"/>
          <w:szCs w:val="20"/>
        </w:rPr>
        <w:t>8.0</w:t>
      </w:r>
      <w:r>
        <w:rPr>
          <w:rFonts w:ascii="Arial" w:hAnsi="Arial" w:cs="Arial"/>
          <w:b/>
          <w:sz w:val="20"/>
          <w:szCs w:val="20"/>
          <w:lang w:val="mn-MN"/>
        </w:rPr>
        <w:t xml:space="preserve"> хувиар буурчээ, өмнөх оны мөн үед 5.2 тэрбум ам.доллар  байсан бол </w:t>
      </w:r>
      <w:r>
        <w:rPr>
          <w:rFonts w:ascii="Arial" w:hAnsi="Arial" w:cs="Arial"/>
          <w:b/>
          <w:sz w:val="20"/>
          <w:szCs w:val="20"/>
        </w:rPr>
        <w:t>4.8</w:t>
      </w:r>
      <w:r>
        <w:rPr>
          <w:rFonts w:ascii="Arial" w:hAnsi="Arial" w:cs="Arial"/>
          <w:b/>
          <w:sz w:val="20"/>
          <w:szCs w:val="20"/>
          <w:lang w:val="mn-MN"/>
        </w:rPr>
        <w:t xml:space="preserve"> тэрбум ам.долларт хүрсэн. </w:t>
      </w:r>
      <w:r>
        <w:rPr>
          <w:rFonts w:ascii="Arial" w:hAnsi="Arial" w:cs="Arial"/>
          <w:sz w:val="20"/>
          <w:szCs w:val="20"/>
          <w:lang w:val="mn-MN"/>
        </w:rPr>
        <w:t xml:space="preserve"> Оюу толгойн уурхайн их хэмжээний хөрөнгө оруулалт дууссантай холбоотойгоор уул уурхайтай холбоотой хөрөнгө оруулалтын импорт 2012 оноос эхлэн буурснаар нийт импорт буурч байна. 2012 оноос эхлэн бууралт гарч байгаа ч импортын хүчтэй эрэлт нь 2013 онд нийт экспортоосоо 1.6 дахин илүү байсан нь өмнө нь 2011 онд ихээхэн хэмжээний гадаадын шууд хөрөнгө оруулалт болон төсвийн тэлэх бодлогын үр дүнд</w:t>
      </w:r>
      <w:r w:rsidR="00F751C0">
        <w:rPr>
          <w:rFonts w:ascii="Arial" w:hAnsi="Arial" w:cs="Arial"/>
          <w:sz w:val="20"/>
          <w:szCs w:val="20"/>
          <w:lang w:val="mn-MN"/>
        </w:rPr>
        <w:t xml:space="preserve"> бий болж, одоогоор</w:t>
      </w:r>
      <w:r>
        <w:rPr>
          <w:rFonts w:ascii="Arial" w:hAnsi="Arial" w:cs="Arial"/>
          <w:sz w:val="20"/>
          <w:szCs w:val="20"/>
          <w:lang w:val="mn-MN"/>
        </w:rPr>
        <w:t xml:space="preserve"> хоёр дахин илүү гарч байжээ. </w:t>
      </w:r>
    </w:p>
    <w:p w14:paraId="73ACE159" w14:textId="77777777" w:rsidR="008003C7" w:rsidRDefault="008003C7" w:rsidP="008003C7">
      <w:pPr>
        <w:pStyle w:val="NoSpacing"/>
        <w:spacing w:line="276" w:lineRule="auto"/>
        <w:jc w:val="both"/>
        <w:rPr>
          <w:rFonts w:ascii="Arial" w:hAnsi="Arial" w:cs="Arial"/>
          <w:sz w:val="20"/>
          <w:szCs w:val="20"/>
        </w:rPr>
      </w:pPr>
    </w:p>
    <w:p w14:paraId="4A4DF82F" w14:textId="11CB348D" w:rsidR="008003C7" w:rsidRDefault="008003C7" w:rsidP="008003C7">
      <w:pPr>
        <w:pStyle w:val="NoSpacing"/>
        <w:numPr>
          <w:ilvl w:val="0"/>
          <w:numId w:val="29"/>
        </w:numPr>
        <w:spacing w:line="276" w:lineRule="auto"/>
        <w:jc w:val="both"/>
        <w:rPr>
          <w:rFonts w:ascii="Arial" w:hAnsi="Arial" w:cs="Arial"/>
          <w:sz w:val="20"/>
          <w:szCs w:val="20"/>
        </w:rPr>
      </w:pPr>
      <w:r>
        <w:rPr>
          <w:rFonts w:ascii="Arial" w:hAnsi="Arial" w:cs="Arial"/>
          <w:b/>
          <w:sz w:val="20"/>
          <w:szCs w:val="20"/>
          <w:lang w:val="mn-MN"/>
        </w:rPr>
        <w:t xml:space="preserve"> Машин тоног төхөөрөмжийн импорт нь нийт импортын дөрөвний нэгийг эзэлдэг бөгөөд түүний бууралт хамгийн их байгаа нь ОТ уурхайн эхний үе шат дууссаныг </w:t>
      </w:r>
      <w:r>
        <w:rPr>
          <w:rFonts w:ascii="Arial" w:hAnsi="Arial" w:cs="Arial"/>
          <w:b/>
          <w:sz w:val="20"/>
          <w:szCs w:val="20"/>
          <w:lang w:val="mn-MN"/>
        </w:rPr>
        <w:lastRenderedPageBreak/>
        <w:t>оруулаад</w:t>
      </w:r>
      <w:r w:rsidR="00F751C0">
        <w:rPr>
          <w:rFonts w:ascii="Arial" w:hAnsi="Arial" w:cs="Arial"/>
          <w:b/>
          <w:sz w:val="20"/>
          <w:szCs w:val="20"/>
          <w:lang w:val="mn-MN"/>
        </w:rPr>
        <w:t xml:space="preserve"> мөн</w:t>
      </w:r>
      <w:r>
        <w:rPr>
          <w:rFonts w:ascii="Arial" w:hAnsi="Arial" w:cs="Arial"/>
          <w:b/>
          <w:sz w:val="20"/>
          <w:szCs w:val="20"/>
          <w:lang w:val="mn-MN"/>
        </w:rPr>
        <w:t xml:space="preserve"> дотоодын хөрөнгө оруулалтыг эрэлт удааширч байгааг илэрхийлж байна. </w:t>
      </w:r>
      <w:r>
        <w:rPr>
          <w:rFonts w:ascii="Arial" w:hAnsi="Arial" w:cs="Arial"/>
          <w:sz w:val="20"/>
          <w:szCs w:val="20"/>
          <w:lang w:val="mn-MN"/>
        </w:rPr>
        <w:t xml:space="preserve">Машин, тоног төхөөрөмжийн импорт нь 2012 онд 7.3 хувиар буурсны дараа 9 сарын туршид өмнөх оны мөн үеийнхээс </w:t>
      </w:r>
      <w:r>
        <w:rPr>
          <w:rFonts w:ascii="Arial" w:hAnsi="Arial" w:cs="Arial"/>
          <w:sz w:val="20"/>
          <w:szCs w:val="20"/>
        </w:rPr>
        <w:t xml:space="preserve">17.8 </w:t>
      </w:r>
      <w:r>
        <w:rPr>
          <w:rFonts w:ascii="Arial" w:hAnsi="Arial" w:cs="Arial"/>
          <w:sz w:val="20"/>
          <w:szCs w:val="20"/>
          <w:lang w:val="mn-MN"/>
        </w:rPr>
        <w:t>хувиар буурчээ</w:t>
      </w:r>
      <w:r>
        <w:rPr>
          <w:rFonts w:ascii="Arial" w:hAnsi="Arial" w:cs="Arial"/>
          <w:sz w:val="20"/>
          <w:szCs w:val="20"/>
        </w:rPr>
        <w:t xml:space="preserve">. </w:t>
      </w:r>
    </w:p>
    <w:p w14:paraId="2C370FA6" w14:textId="77777777" w:rsidR="008003C7" w:rsidRDefault="008003C7" w:rsidP="008003C7">
      <w:pPr>
        <w:pStyle w:val="NoSpacing"/>
        <w:spacing w:line="276" w:lineRule="auto"/>
        <w:ind w:left="720"/>
        <w:jc w:val="both"/>
        <w:rPr>
          <w:rFonts w:ascii="Arial" w:hAnsi="Arial" w:cs="Arial"/>
          <w:sz w:val="20"/>
          <w:szCs w:val="20"/>
        </w:rPr>
      </w:pPr>
    </w:p>
    <w:p w14:paraId="57600E59" w14:textId="77777777" w:rsidR="008003C7" w:rsidRDefault="008003C7" w:rsidP="008003C7">
      <w:pPr>
        <w:pStyle w:val="NoSpacing"/>
        <w:numPr>
          <w:ilvl w:val="0"/>
          <w:numId w:val="29"/>
        </w:numPr>
        <w:spacing w:line="276" w:lineRule="auto"/>
        <w:jc w:val="both"/>
        <w:rPr>
          <w:rFonts w:ascii="Arial" w:hAnsi="Arial" w:cs="Arial"/>
          <w:sz w:val="20"/>
          <w:szCs w:val="20"/>
        </w:rPr>
      </w:pPr>
      <w:r>
        <w:rPr>
          <w:rFonts w:ascii="Arial" w:hAnsi="Arial" w:cs="Arial"/>
          <w:b/>
          <w:sz w:val="20"/>
          <w:szCs w:val="20"/>
          <w:lang w:val="mn-MN"/>
        </w:rPr>
        <w:t xml:space="preserve">Хүнсний болон барилгын үндсэн материалын импорт их хэмжээгээр нэмэгджээ. </w:t>
      </w:r>
      <w:r>
        <w:rPr>
          <w:rFonts w:ascii="Arial" w:hAnsi="Arial" w:cs="Arial"/>
          <w:sz w:val="20"/>
          <w:szCs w:val="20"/>
          <w:lang w:val="mn-MN"/>
        </w:rPr>
        <w:t xml:space="preserve">Барилгын гол материалын </w:t>
      </w:r>
      <w:r>
        <w:rPr>
          <w:rFonts w:ascii="Arial" w:hAnsi="Arial" w:cs="Arial"/>
          <w:sz w:val="20"/>
          <w:szCs w:val="20"/>
        </w:rPr>
        <w:t>(</w:t>
      </w:r>
      <w:r>
        <w:rPr>
          <w:rFonts w:ascii="Arial" w:hAnsi="Arial" w:cs="Arial"/>
          <w:sz w:val="20"/>
          <w:szCs w:val="20"/>
          <w:lang w:val="mn-MN"/>
        </w:rPr>
        <w:t>жишээ нь цемент, улаан тоосго</w:t>
      </w:r>
      <w:r>
        <w:rPr>
          <w:rFonts w:ascii="Arial" w:hAnsi="Arial" w:cs="Arial"/>
          <w:sz w:val="20"/>
          <w:szCs w:val="20"/>
        </w:rPr>
        <w:t xml:space="preserve">) </w:t>
      </w:r>
      <w:r>
        <w:rPr>
          <w:rFonts w:ascii="Arial" w:hAnsi="Arial" w:cs="Arial"/>
          <w:sz w:val="20"/>
          <w:szCs w:val="20"/>
          <w:lang w:val="mn-MN"/>
        </w:rPr>
        <w:t>импорт 8 дугаар сард өмнөх оны мөн үеийнхээс 11.4 хувиар нэмэгджээ. Энэ нь улсын дэд бүтцийн болон орон сууцны барилгын ажил идэвхижсэнтэй холбоотойгоор зам болон барилгын хүчтэй эрэлт байгааг илэрхийлж байна. Хүнсний бүтээгдэхүүний импорт нь</w:t>
      </w:r>
      <w:r>
        <w:rPr>
          <w:rFonts w:ascii="Arial" w:hAnsi="Arial" w:cs="Arial"/>
          <w:sz w:val="20"/>
          <w:szCs w:val="20"/>
        </w:rPr>
        <w:t xml:space="preserve"> – </w:t>
      </w:r>
      <w:r>
        <w:rPr>
          <w:rFonts w:ascii="Arial" w:hAnsi="Arial" w:cs="Arial"/>
          <w:sz w:val="20"/>
          <w:szCs w:val="20"/>
          <w:lang w:val="mn-MN"/>
        </w:rPr>
        <w:t>нийт импортын 6 хувийг эзэлдэг</w:t>
      </w:r>
      <w:r>
        <w:rPr>
          <w:rFonts w:ascii="Arial" w:hAnsi="Arial" w:cs="Arial"/>
          <w:sz w:val="20"/>
          <w:szCs w:val="20"/>
        </w:rPr>
        <w:t xml:space="preserve"> –</w:t>
      </w:r>
      <w:r>
        <w:rPr>
          <w:rFonts w:ascii="Arial" w:hAnsi="Arial" w:cs="Arial"/>
          <w:sz w:val="20"/>
          <w:szCs w:val="20"/>
          <w:lang w:val="mn-MN"/>
        </w:rPr>
        <w:t xml:space="preserve">өмнөх оны мөн үеийнхээс </w:t>
      </w:r>
      <w:r>
        <w:rPr>
          <w:rFonts w:ascii="Arial" w:hAnsi="Arial" w:cs="Arial"/>
          <w:sz w:val="20"/>
          <w:szCs w:val="20"/>
        </w:rPr>
        <w:t xml:space="preserve">7.3 </w:t>
      </w:r>
      <w:r>
        <w:rPr>
          <w:rFonts w:ascii="Arial" w:hAnsi="Arial" w:cs="Arial"/>
          <w:sz w:val="20"/>
          <w:szCs w:val="20"/>
          <w:lang w:val="mn-MN"/>
        </w:rPr>
        <w:t>хувиар өсчээ</w:t>
      </w:r>
      <w:r>
        <w:rPr>
          <w:rFonts w:ascii="Arial" w:hAnsi="Arial" w:cs="Arial"/>
          <w:sz w:val="20"/>
          <w:szCs w:val="20"/>
        </w:rPr>
        <w:t>.</w:t>
      </w:r>
    </w:p>
    <w:p w14:paraId="1B134B45" w14:textId="77777777" w:rsidR="008003C7" w:rsidRDefault="008003C7" w:rsidP="008003C7">
      <w:pPr>
        <w:pStyle w:val="NoSpacing"/>
        <w:spacing w:line="276" w:lineRule="auto"/>
        <w:ind w:left="720"/>
        <w:jc w:val="both"/>
        <w:rPr>
          <w:rFonts w:ascii="Arial" w:hAnsi="Arial" w:cs="Arial"/>
          <w:sz w:val="20"/>
          <w:szCs w:val="20"/>
        </w:rPr>
      </w:pPr>
    </w:p>
    <w:p w14:paraId="4E3B4EDD" w14:textId="77777777" w:rsidR="008003C7" w:rsidRDefault="008003C7" w:rsidP="008003C7">
      <w:pPr>
        <w:jc w:val="both"/>
        <w:rPr>
          <w:rFonts w:ascii="Arial" w:hAnsi="Arial" w:cs="Arial"/>
          <w:sz w:val="20"/>
          <w:szCs w:val="20"/>
        </w:rPr>
      </w:pPr>
      <w:r>
        <w:rPr>
          <w:rFonts w:ascii="Arial" w:hAnsi="Arial" w:cs="Arial"/>
          <w:b/>
          <w:sz w:val="20"/>
          <w:szCs w:val="20"/>
          <w:lang w:val="mn-MN"/>
        </w:rPr>
        <w:t xml:space="preserve">Их хэмжээний худалдааны алдагдал, үйлчилгээний болон орлогын дансууд үргэлжилэн алдагдалтайн улмаас 2013 оны эхний 8 сарын байдлаар урсгал дансны алдагдал </w:t>
      </w:r>
      <w:r>
        <w:rPr>
          <w:rFonts w:ascii="Arial" w:hAnsi="Arial" w:cs="Arial"/>
          <w:b/>
          <w:sz w:val="20"/>
          <w:szCs w:val="20"/>
        </w:rPr>
        <w:t>2.4</w:t>
      </w:r>
      <w:r>
        <w:rPr>
          <w:rFonts w:ascii="Arial" w:hAnsi="Arial" w:cs="Arial"/>
          <w:b/>
          <w:sz w:val="20"/>
          <w:szCs w:val="20"/>
          <w:lang w:val="mn-MN"/>
        </w:rPr>
        <w:t xml:space="preserve"> тэрбум ам.долларт хүрсэн. </w:t>
      </w:r>
      <w:r>
        <w:rPr>
          <w:rFonts w:ascii="Arial" w:hAnsi="Arial" w:cs="Arial"/>
          <w:sz w:val="20"/>
          <w:szCs w:val="20"/>
        </w:rPr>
        <w:t>(</w:t>
      </w:r>
      <w:r>
        <w:rPr>
          <w:rFonts w:ascii="Arial" w:hAnsi="Arial" w:cs="Arial"/>
          <w:sz w:val="20"/>
          <w:szCs w:val="20"/>
          <w:lang w:val="mn-MN"/>
        </w:rPr>
        <w:t>Зураг</w:t>
      </w:r>
      <w:r>
        <w:rPr>
          <w:rFonts w:ascii="Arial" w:hAnsi="Arial" w:cs="Arial"/>
          <w:sz w:val="20"/>
          <w:szCs w:val="20"/>
        </w:rPr>
        <w:t xml:space="preserve"> 46)</w:t>
      </w:r>
      <w:proofErr w:type="gramStart"/>
      <w:r>
        <w:rPr>
          <w:rFonts w:ascii="Arial" w:hAnsi="Arial" w:cs="Arial"/>
          <w:sz w:val="20"/>
          <w:szCs w:val="20"/>
        </w:rPr>
        <w:t>I</w:t>
      </w:r>
      <w:r>
        <w:rPr>
          <w:rFonts w:ascii="Arial" w:hAnsi="Arial" w:cs="Arial"/>
          <w:sz w:val="20"/>
          <w:szCs w:val="20"/>
          <w:lang w:val="mn-MN"/>
        </w:rPr>
        <w:t xml:space="preserve"> Худалдааны томоохон алдагдлын хажуугаар, үйлчилгээний болон орлогын дансууд үргэлжилсэн алдагдалтай байна.</w:t>
      </w:r>
      <w:proofErr w:type="gramEnd"/>
      <w:r>
        <w:rPr>
          <w:rFonts w:ascii="Arial" w:hAnsi="Arial" w:cs="Arial"/>
          <w:sz w:val="20"/>
          <w:szCs w:val="20"/>
          <w:lang w:val="mn-MN"/>
        </w:rPr>
        <w:t xml:space="preserve"> Үйлчилгээний данс нь төмөр замын ачаа тээврийн үйлчилгээнд алдагдалтай ажилласны улмаас </w:t>
      </w:r>
      <w:r>
        <w:rPr>
          <w:rFonts w:ascii="Arial" w:hAnsi="Arial" w:cs="Arial"/>
          <w:sz w:val="20"/>
          <w:szCs w:val="20"/>
        </w:rPr>
        <w:t>0.9</w:t>
      </w:r>
      <w:r>
        <w:rPr>
          <w:rFonts w:ascii="Arial" w:hAnsi="Arial" w:cs="Arial"/>
          <w:sz w:val="20"/>
          <w:szCs w:val="20"/>
          <w:lang w:val="mn-MN"/>
        </w:rPr>
        <w:t xml:space="preserve"> тэрбум ам.долларын алдагдалтай. Харин орлогын данс нь ажиллагсадын гуйвуулга болон хөрөнгө оруулалтын орлогод алдагдал нэмэгдэж байгаагаас </w:t>
      </w:r>
      <w:r>
        <w:rPr>
          <w:rFonts w:ascii="Arial" w:hAnsi="Arial" w:cs="Arial"/>
          <w:sz w:val="20"/>
          <w:szCs w:val="20"/>
        </w:rPr>
        <w:t>0.6</w:t>
      </w:r>
      <w:r>
        <w:rPr>
          <w:rFonts w:ascii="Arial" w:hAnsi="Arial" w:cs="Arial"/>
          <w:sz w:val="20"/>
          <w:szCs w:val="20"/>
          <w:lang w:val="mn-MN"/>
        </w:rPr>
        <w:t xml:space="preserve"> тэрбум ам.долларт хүрчээ. </w:t>
      </w:r>
    </w:p>
    <w:p w14:paraId="544D41FC" w14:textId="3C67121C" w:rsidR="008003C7" w:rsidRDefault="00F751C0" w:rsidP="008003C7">
      <w:pPr>
        <w:jc w:val="both"/>
        <w:rPr>
          <w:rFonts w:ascii="Arial" w:hAnsi="Arial" w:cs="Arial"/>
          <w:sz w:val="20"/>
          <w:szCs w:val="20"/>
          <w:lang w:val="mn-MN"/>
        </w:rPr>
      </w:pPr>
      <w:r>
        <w:rPr>
          <w:rFonts w:ascii="Arial" w:hAnsi="Arial" w:cs="Arial"/>
          <w:b/>
          <w:sz w:val="20"/>
          <w:szCs w:val="20"/>
          <w:lang w:val="mn-MN"/>
        </w:rPr>
        <w:t xml:space="preserve"> </w:t>
      </w:r>
      <w:r w:rsidR="008003C7">
        <w:rPr>
          <w:rFonts w:ascii="Arial" w:hAnsi="Arial" w:cs="Arial"/>
          <w:b/>
          <w:sz w:val="20"/>
          <w:szCs w:val="20"/>
          <w:lang w:val="mn-MN"/>
        </w:rPr>
        <w:t xml:space="preserve">Урсгал дансны алдагдал нь өнгөрсөн жилийн түвшинтэй ойртож очиж байгаа боловч 2013 онд гадаадын хөрөнгийн дотогшлох урсгал их  хэмжээгээр буурсан нь төлбөрийн тэнцлийг том алдагдалд хүргэсэн. </w:t>
      </w:r>
      <w:r w:rsidR="008003C7">
        <w:rPr>
          <w:rFonts w:ascii="Arial" w:hAnsi="Arial" w:cs="Arial"/>
          <w:sz w:val="20"/>
          <w:szCs w:val="20"/>
          <w:lang w:val="mn-MN"/>
        </w:rPr>
        <w:t xml:space="preserve">Эхний 8 сарын байдлаар, нийт санхүүгийн болон хөрөнгийн дансанд цэвэр </w:t>
      </w:r>
      <w:r w:rsidR="008003C7">
        <w:rPr>
          <w:rFonts w:ascii="Arial" w:hAnsi="Arial" w:cs="Arial"/>
          <w:sz w:val="20"/>
          <w:szCs w:val="20"/>
        </w:rPr>
        <w:t xml:space="preserve">1.3 </w:t>
      </w:r>
      <w:r w:rsidR="008003C7">
        <w:rPr>
          <w:rFonts w:ascii="Arial" w:hAnsi="Arial" w:cs="Arial"/>
          <w:sz w:val="20"/>
          <w:szCs w:val="20"/>
          <w:lang w:val="mn-MN"/>
        </w:rPr>
        <w:t xml:space="preserve">тэрбум ам.долларын урсгал орсон нь өмнөх оны мөн үеийн цэвэр капиталын урсгалын зөвхөн 51 хувь нь байна. Хөрөнгийн дотогшлох урсгал дутагдалтайгаас төлбөрийн тэнцэлд гадаад санхүүжилтийн </w:t>
      </w:r>
      <w:r w:rsidR="008003C7">
        <w:rPr>
          <w:rFonts w:ascii="Arial" w:hAnsi="Arial" w:cs="Arial"/>
          <w:sz w:val="20"/>
          <w:szCs w:val="20"/>
        </w:rPr>
        <w:t>1.1</w:t>
      </w:r>
      <w:r w:rsidR="008003C7">
        <w:rPr>
          <w:rFonts w:ascii="Arial" w:hAnsi="Arial" w:cs="Arial"/>
          <w:sz w:val="20"/>
          <w:szCs w:val="20"/>
          <w:lang w:val="mn-MN"/>
        </w:rPr>
        <w:t xml:space="preserve"> тэрбум ам.долларын ялгааг</w:t>
      </w:r>
      <w:r w:rsidR="008003C7">
        <w:rPr>
          <w:rFonts w:ascii="Arial" w:hAnsi="Arial" w:cs="Arial"/>
          <w:sz w:val="20"/>
          <w:szCs w:val="20"/>
        </w:rPr>
        <w:t> </w:t>
      </w:r>
      <w:r w:rsidR="008003C7">
        <w:rPr>
          <w:rFonts w:ascii="Arial" w:hAnsi="Arial" w:cs="Arial"/>
          <w:sz w:val="20"/>
          <w:szCs w:val="20"/>
          <w:lang w:val="mn-MN"/>
        </w:rPr>
        <w:t xml:space="preserve">бий болгож, дотоодын мөнгөн тэмдэгтийн үнэ цэнэ болон гадаад валютын нөөцөд дарамтыг бий болгож байна. </w:t>
      </w:r>
    </w:p>
    <w:p w14:paraId="0AD149ED" w14:textId="77777777" w:rsidR="00F751C0" w:rsidRDefault="00F751C0" w:rsidP="008003C7">
      <w:pPr>
        <w:jc w:val="both"/>
        <w:rPr>
          <w:rFonts w:ascii="Arial" w:hAnsi="Arial" w:cs="Arial"/>
          <w:sz w:val="20"/>
          <w:szCs w:val="20"/>
        </w:rPr>
      </w:pPr>
    </w:p>
    <w:tbl>
      <w:tblPr>
        <w:tblpPr w:leftFromText="180" w:rightFromText="180" w:vertAnchor="text" w:horzAnchor="margin" w:tblpY="-10"/>
        <w:tblW w:w="0" w:type="auto"/>
        <w:tblLook w:val="04A0" w:firstRow="1" w:lastRow="0" w:firstColumn="1" w:lastColumn="0" w:noHBand="0" w:noVBand="1"/>
      </w:tblPr>
      <w:tblGrid>
        <w:gridCol w:w="3769"/>
        <w:gridCol w:w="796"/>
        <w:gridCol w:w="235"/>
        <w:gridCol w:w="4776"/>
      </w:tblGrid>
      <w:tr w:rsidR="00F751C0" w14:paraId="129DBD5A" w14:textId="77777777" w:rsidTr="00F751C0">
        <w:trPr>
          <w:trHeight w:val="176"/>
        </w:trPr>
        <w:tc>
          <w:tcPr>
            <w:tcW w:w="4565" w:type="dxa"/>
            <w:gridSpan w:val="2"/>
            <w:tcBorders>
              <w:top w:val="nil"/>
              <w:left w:val="nil"/>
              <w:bottom w:val="single" w:sz="4" w:space="0" w:color="984806" w:themeColor="accent6" w:themeShade="80"/>
              <w:right w:val="nil"/>
            </w:tcBorders>
            <w:hideMark/>
          </w:tcPr>
          <w:p w14:paraId="667C2F97" w14:textId="3715CDAB" w:rsidR="00F751C0" w:rsidRDefault="00F751C0" w:rsidP="00630B23">
            <w:pPr>
              <w:pStyle w:val="Caption"/>
              <w:spacing w:after="0"/>
              <w:rPr>
                <w:color w:val="auto"/>
                <w:sz w:val="16"/>
              </w:rPr>
            </w:pPr>
            <w:bookmarkStart w:id="72" w:name="_Toc371338653"/>
            <w:r>
              <w:rPr>
                <w:sz w:val="16"/>
                <w:lang w:val="mn-MN"/>
              </w:rPr>
              <w:t>Зураг</w:t>
            </w:r>
            <w:r>
              <w:rPr>
                <w:sz w:val="16"/>
              </w:rPr>
              <w:t xml:space="preserve"> </w:t>
            </w:r>
            <w:r>
              <w:fldChar w:fldCharType="begin"/>
            </w:r>
            <w:r>
              <w:rPr>
                <w:sz w:val="16"/>
              </w:rPr>
              <w:instrText xml:space="preserve"> SEQ Figure \* ARABIC </w:instrText>
            </w:r>
            <w:r>
              <w:fldChar w:fldCharType="separate"/>
            </w:r>
            <w:r>
              <w:rPr>
                <w:noProof/>
                <w:sz w:val="16"/>
              </w:rPr>
              <w:t>46</w:t>
            </w:r>
            <w:r>
              <w:fldChar w:fldCharType="end"/>
            </w:r>
            <w:r>
              <w:rPr>
                <w:sz w:val="16"/>
              </w:rPr>
              <w:t xml:space="preserve">. </w:t>
            </w:r>
            <w:r>
              <w:rPr>
                <w:sz w:val="16"/>
                <w:lang w:val="mn-MN"/>
              </w:rPr>
              <w:t>Урсгал дансны алдагдал өндөр хэвээрээ байна</w:t>
            </w:r>
            <w:r>
              <w:rPr>
                <w:sz w:val="16"/>
              </w:rPr>
              <w:t xml:space="preserve"> …</w:t>
            </w:r>
            <w:bookmarkEnd w:id="72"/>
          </w:p>
        </w:tc>
        <w:tc>
          <w:tcPr>
            <w:tcW w:w="235" w:type="dxa"/>
          </w:tcPr>
          <w:p w14:paraId="453AAC0A" w14:textId="77777777" w:rsidR="00F751C0" w:rsidRDefault="00F751C0" w:rsidP="00630B23">
            <w:pPr>
              <w:pStyle w:val="Caption"/>
              <w:spacing w:after="0"/>
              <w:jc w:val="center"/>
              <w:rPr>
                <w:color w:val="auto"/>
                <w:sz w:val="16"/>
                <w:szCs w:val="16"/>
              </w:rPr>
            </w:pPr>
          </w:p>
        </w:tc>
        <w:tc>
          <w:tcPr>
            <w:tcW w:w="4776" w:type="dxa"/>
            <w:tcBorders>
              <w:top w:val="nil"/>
              <w:left w:val="nil"/>
              <w:bottom w:val="single" w:sz="4" w:space="0" w:color="984806" w:themeColor="accent6" w:themeShade="80"/>
              <w:right w:val="nil"/>
            </w:tcBorders>
            <w:hideMark/>
          </w:tcPr>
          <w:p w14:paraId="76E6E2F5" w14:textId="4F7E1D43" w:rsidR="00F751C0" w:rsidRDefault="00F751C0" w:rsidP="00630B23">
            <w:pPr>
              <w:pStyle w:val="Caption"/>
              <w:spacing w:after="0"/>
              <w:rPr>
                <w:rFonts w:ascii="Arial" w:hAnsi="Arial" w:cs="Arial"/>
                <w:noProof/>
                <w:sz w:val="16"/>
                <w:szCs w:val="16"/>
              </w:rPr>
            </w:pPr>
            <w:bookmarkStart w:id="73" w:name="_Toc371338654"/>
            <w:r>
              <w:rPr>
                <w:sz w:val="16"/>
                <w:szCs w:val="16"/>
                <w:lang w:val="mn-MN"/>
              </w:rPr>
              <w:t>Зураг</w:t>
            </w:r>
            <w:r>
              <w:rPr>
                <w:sz w:val="16"/>
                <w:szCs w:val="16"/>
              </w:rPr>
              <w:t xml:space="preserve"> </w:t>
            </w:r>
            <w:r>
              <w:fldChar w:fldCharType="begin"/>
            </w:r>
            <w:r>
              <w:rPr>
                <w:sz w:val="16"/>
                <w:szCs w:val="16"/>
              </w:rPr>
              <w:instrText xml:space="preserve"> SEQ Figure \* ARABIC </w:instrText>
            </w:r>
            <w:r>
              <w:fldChar w:fldCharType="separate"/>
            </w:r>
            <w:r>
              <w:rPr>
                <w:noProof/>
                <w:sz w:val="16"/>
                <w:szCs w:val="16"/>
              </w:rPr>
              <w:t>47</w:t>
            </w:r>
            <w:r>
              <w:fldChar w:fldCharType="end"/>
            </w:r>
            <w:r>
              <w:rPr>
                <w:sz w:val="16"/>
                <w:szCs w:val="16"/>
              </w:rPr>
              <w:t>. …</w:t>
            </w:r>
            <w:r>
              <w:rPr>
                <w:sz w:val="16"/>
                <w:szCs w:val="16"/>
                <w:lang w:val="mn-MN"/>
              </w:rPr>
              <w:t>гэвч хөрөнгийн дотогшлох урсгал буурч байна</w:t>
            </w:r>
            <w:r>
              <w:rPr>
                <w:sz w:val="16"/>
                <w:szCs w:val="16"/>
              </w:rPr>
              <w:t>…</w:t>
            </w:r>
            <w:bookmarkEnd w:id="73"/>
          </w:p>
        </w:tc>
      </w:tr>
      <w:tr w:rsidR="00F751C0" w14:paraId="298EE741" w14:textId="77777777" w:rsidTr="00F751C0">
        <w:trPr>
          <w:trHeight w:val="2915"/>
        </w:trPr>
        <w:tc>
          <w:tcPr>
            <w:tcW w:w="4565" w:type="dxa"/>
            <w:gridSpan w:val="2"/>
            <w:tcBorders>
              <w:top w:val="single" w:sz="4" w:space="0" w:color="984806" w:themeColor="accent6" w:themeShade="80"/>
              <w:left w:val="nil"/>
              <w:bottom w:val="nil"/>
              <w:right w:val="nil"/>
            </w:tcBorders>
            <w:hideMark/>
          </w:tcPr>
          <w:p w14:paraId="4875F232" w14:textId="533531CC" w:rsidR="00F751C0" w:rsidRDefault="00F751C0" w:rsidP="00F751C0">
            <w:pPr>
              <w:pStyle w:val="Caption"/>
              <w:spacing w:after="120"/>
              <w:rPr>
                <w:b w:val="0"/>
                <w:color w:val="auto"/>
                <w:sz w:val="16"/>
              </w:rPr>
            </w:pPr>
            <w:r>
              <w:rPr>
                <w:b w:val="0"/>
                <w:color w:val="auto"/>
                <w:sz w:val="16"/>
                <w:lang w:val="mn-MN"/>
              </w:rPr>
              <w:t>Урсгал дансны тэнцэл</w:t>
            </w:r>
            <w:r>
              <w:rPr>
                <w:b w:val="0"/>
                <w:color w:val="auto"/>
                <w:sz w:val="16"/>
              </w:rPr>
              <w:t xml:space="preserve"> (</w:t>
            </w:r>
            <w:r>
              <w:rPr>
                <w:b w:val="0"/>
                <w:color w:val="auto"/>
                <w:sz w:val="16"/>
                <w:lang w:val="mn-MN"/>
              </w:rPr>
              <w:t>сая ам.доллар</w:t>
            </w:r>
            <w:r>
              <w:rPr>
                <w:b w:val="0"/>
                <w:color w:val="auto"/>
                <w:sz w:val="16"/>
              </w:rPr>
              <w:t xml:space="preserve">, 12 </w:t>
            </w:r>
            <w:r>
              <w:rPr>
                <w:b w:val="0"/>
                <w:color w:val="auto"/>
                <w:sz w:val="16"/>
                <w:lang w:val="mn-MN"/>
              </w:rPr>
              <w:t>сарын гулссан нийлбэр</w:t>
            </w:r>
            <w:r>
              <w:rPr>
                <w:b w:val="0"/>
                <w:color w:val="auto"/>
                <w:sz w:val="16"/>
              </w:rPr>
              <w:t>)</w:t>
            </w:r>
          </w:p>
          <w:p w14:paraId="6FD95375" w14:textId="77777777" w:rsidR="00F751C0" w:rsidRDefault="00F751C0" w:rsidP="00F751C0">
            <w:pPr>
              <w:pStyle w:val="NoSpacing"/>
              <w:jc w:val="both"/>
              <w:rPr>
                <w:sz w:val="10"/>
              </w:rPr>
            </w:pPr>
            <w:r>
              <w:rPr>
                <w:noProof/>
              </w:rPr>
              <w:drawing>
                <wp:anchor distT="0" distB="0" distL="114300" distR="114300" simplePos="0" relativeHeight="251784704" behindDoc="0" locked="0" layoutInCell="1" allowOverlap="1" wp14:anchorId="4360AF03" wp14:editId="7F60CDC6">
                  <wp:simplePos x="0" y="0"/>
                  <wp:positionH relativeFrom="column">
                    <wp:posOffset>-65405</wp:posOffset>
                  </wp:positionH>
                  <wp:positionV relativeFrom="paragraph">
                    <wp:posOffset>38100</wp:posOffset>
                  </wp:positionV>
                  <wp:extent cx="2667000" cy="1567180"/>
                  <wp:effectExtent l="0" t="0" r="0" b="0"/>
                  <wp:wrapSquare wrapText="bothSides"/>
                  <wp:docPr id="341" name="Chart 34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page">
                    <wp14:pctWidth>0</wp14:pctWidth>
                  </wp14:sizeRelH>
                  <wp14:sizeRelV relativeFrom="page">
                    <wp14:pctHeight>0</wp14:pctHeight>
                  </wp14:sizeRelV>
                </wp:anchor>
              </w:drawing>
            </w:r>
          </w:p>
        </w:tc>
        <w:tc>
          <w:tcPr>
            <w:tcW w:w="235" w:type="dxa"/>
          </w:tcPr>
          <w:p w14:paraId="7F63B3E6" w14:textId="77777777" w:rsidR="00F751C0" w:rsidRDefault="00F751C0" w:rsidP="00F751C0">
            <w:pPr>
              <w:pStyle w:val="NoSpacing"/>
              <w:jc w:val="both"/>
              <w:rPr>
                <w:noProof/>
                <w:sz w:val="2"/>
                <w:lang w:eastAsia="ko-KR"/>
              </w:rPr>
            </w:pPr>
          </w:p>
          <w:p w14:paraId="2EF97D43" w14:textId="77777777" w:rsidR="00F751C0" w:rsidRDefault="00F751C0" w:rsidP="00F751C0">
            <w:pPr>
              <w:pStyle w:val="NoSpacing"/>
              <w:jc w:val="both"/>
              <w:rPr>
                <w:noProof/>
                <w:sz w:val="2"/>
                <w:lang w:eastAsia="ko-KR"/>
              </w:rPr>
            </w:pPr>
          </w:p>
        </w:tc>
        <w:tc>
          <w:tcPr>
            <w:tcW w:w="4776" w:type="dxa"/>
            <w:tcBorders>
              <w:top w:val="single" w:sz="4" w:space="0" w:color="984806" w:themeColor="accent6" w:themeShade="80"/>
              <w:left w:val="nil"/>
              <w:bottom w:val="nil"/>
              <w:right w:val="nil"/>
            </w:tcBorders>
            <w:hideMark/>
          </w:tcPr>
          <w:p w14:paraId="34472CD0" w14:textId="2DB82A48" w:rsidR="00F751C0" w:rsidRDefault="00F751C0" w:rsidP="0017164F">
            <w:pPr>
              <w:pStyle w:val="NoSpacing"/>
              <w:jc w:val="both"/>
              <w:rPr>
                <w:sz w:val="16"/>
                <w:szCs w:val="18"/>
                <w:lang w:eastAsia="ko-KR"/>
              </w:rPr>
            </w:pPr>
            <w:r>
              <w:rPr>
                <w:noProof/>
              </w:rPr>
              <w:drawing>
                <wp:anchor distT="0" distB="0" distL="114300" distR="114300" simplePos="0" relativeHeight="251785728" behindDoc="0" locked="0" layoutInCell="1" allowOverlap="1" wp14:anchorId="423B55B1" wp14:editId="458758AE">
                  <wp:simplePos x="0" y="0"/>
                  <wp:positionH relativeFrom="column">
                    <wp:posOffset>10795</wp:posOffset>
                  </wp:positionH>
                  <wp:positionV relativeFrom="paragraph">
                    <wp:posOffset>146050</wp:posOffset>
                  </wp:positionV>
                  <wp:extent cx="2895600" cy="1752600"/>
                  <wp:effectExtent l="0" t="0" r="0" b="0"/>
                  <wp:wrapSquare wrapText="bothSides"/>
                  <wp:docPr id="340" name="Chart 340"/>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page">
                    <wp14:pctWidth>0</wp14:pctWidth>
                  </wp14:sizeRelH>
                  <wp14:sizeRelV relativeFrom="page">
                    <wp14:pctHeight>0</wp14:pctHeight>
                  </wp14:sizeRelV>
                </wp:anchor>
              </w:drawing>
            </w:r>
            <w:r>
              <w:rPr>
                <w:sz w:val="16"/>
                <w:szCs w:val="18"/>
                <w:lang w:val="mn-MN"/>
              </w:rPr>
              <w:t>Төлбөрийн тэнцлийн улирлын хандлага</w:t>
            </w:r>
            <w:r>
              <w:rPr>
                <w:sz w:val="16"/>
                <w:szCs w:val="18"/>
              </w:rPr>
              <w:t xml:space="preserve"> (</w:t>
            </w:r>
            <w:r>
              <w:rPr>
                <w:sz w:val="16"/>
                <w:szCs w:val="18"/>
                <w:lang w:val="mn-MN"/>
              </w:rPr>
              <w:t>тэрбум ам.доллар</w:t>
            </w:r>
            <w:r>
              <w:rPr>
                <w:sz w:val="16"/>
                <w:szCs w:val="18"/>
              </w:rPr>
              <w:t xml:space="preserve">) </w:t>
            </w:r>
          </w:p>
        </w:tc>
      </w:tr>
      <w:tr w:rsidR="00F751C0" w14:paraId="16BF4903" w14:textId="77777777" w:rsidTr="00F751C0">
        <w:trPr>
          <w:trHeight w:val="89"/>
        </w:trPr>
        <w:tc>
          <w:tcPr>
            <w:tcW w:w="3769" w:type="dxa"/>
            <w:hideMark/>
          </w:tcPr>
          <w:p w14:paraId="6A4A6B39" w14:textId="0A35BB90" w:rsidR="00F751C0" w:rsidRDefault="00F751C0" w:rsidP="00F751C0">
            <w:pPr>
              <w:pStyle w:val="NoSpacing"/>
              <w:jc w:val="both"/>
              <w:rPr>
                <w:sz w:val="14"/>
                <w:szCs w:val="18"/>
              </w:rPr>
            </w:pPr>
            <w:r>
              <w:rPr>
                <w:i/>
                <w:sz w:val="14"/>
                <w:szCs w:val="18"/>
                <w:lang w:val="mn-MN"/>
              </w:rPr>
              <w:t>Эх үүсвэр</w:t>
            </w:r>
            <w:r>
              <w:rPr>
                <w:i/>
                <w:sz w:val="14"/>
                <w:szCs w:val="18"/>
              </w:rPr>
              <w:t>:</w:t>
            </w:r>
            <w:r>
              <w:rPr>
                <w:i/>
                <w:sz w:val="14"/>
                <w:szCs w:val="18"/>
                <w:lang w:val="mn-MN"/>
              </w:rPr>
              <w:t xml:space="preserve"> </w:t>
            </w:r>
            <w:r>
              <w:rPr>
                <w:sz w:val="14"/>
                <w:szCs w:val="18"/>
                <w:lang w:val="mn-MN"/>
              </w:rPr>
              <w:t>МБ, ДБ-мэргэжилтнүүдийн тооцоо</w:t>
            </w:r>
          </w:p>
        </w:tc>
        <w:tc>
          <w:tcPr>
            <w:tcW w:w="796" w:type="dxa"/>
          </w:tcPr>
          <w:p w14:paraId="440055E7" w14:textId="77777777" w:rsidR="00F751C0" w:rsidRDefault="00F751C0" w:rsidP="00F751C0">
            <w:pPr>
              <w:pStyle w:val="NoSpacing"/>
              <w:jc w:val="both"/>
              <w:rPr>
                <w:i/>
                <w:sz w:val="2"/>
                <w:szCs w:val="18"/>
              </w:rPr>
            </w:pPr>
          </w:p>
        </w:tc>
        <w:tc>
          <w:tcPr>
            <w:tcW w:w="5011" w:type="dxa"/>
            <w:gridSpan w:val="2"/>
          </w:tcPr>
          <w:p w14:paraId="5BEC63D8" w14:textId="77777777" w:rsidR="00F751C0" w:rsidRDefault="00F751C0" w:rsidP="00F751C0">
            <w:pPr>
              <w:pStyle w:val="NoSpacing"/>
              <w:jc w:val="both"/>
              <w:rPr>
                <w:sz w:val="14"/>
              </w:rPr>
            </w:pPr>
          </w:p>
        </w:tc>
      </w:tr>
    </w:tbl>
    <w:p w14:paraId="32E94840" w14:textId="4DD1A64B" w:rsidR="008003C7" w:rsidRDefault="00F751C0" w:rsidP="008003C7">
      <w:pPr>
        <w:jc w:val="both"/>
        <w:rPr>
          <w:rFonts w:ascii="Arial" w:hAnsi="Arial" w:cs="Arial"/>
          <w:sz w:val="20"/>
          <w:szCs w:val="20"/>
        </w:rPr>
      </w:pPr>
      <w:r>
        <w:rPr>
          <w:rFonts w:ascii="Arial" w:hAnsi="Arial" w:cs="Arial"/>
          <w:b/>
          <w:sz w:val="20"/>
          <w:szCs w:val="20"/>
          <w:lang w:val="mn-MN"/>
        </w:rPr>
        <w:t xml:space="preserve"> </w:t>
      </w:r>
      <w:r w:rsidR="008003C7">
        <w:rPr>
          <w:rFonts w:ascii="Arial" w:hAnsi="Arial" w:cs="Arial"/>
          <w:b/>
          <w:sz w:val="20"/>
          <w:szCs w:val="20"/>
          <w:lang w:val="mn-MN"/>
        </w:rPr>
        <w:t>ГШХО болон багцын хөрөнгө оруулалт аль алинд гадаадын их хэмжээний дотогшлох урсгал буурлаа</w:t>
      </w:r>
      <w:r w:rsidR="008003C7">
        <w:rPr>
          <w:rFonts w:ascii="Arial" w:hAnsi="Arial" w:cs="Arial"/>
          <w:b/>
          <w:sz w:val="20"/>
          <w:szCs w:val="20"/>
        </w:rPr>
        <w:t xml:space="preserve">. </w:t>
      </w:r>
      <w:r w:rsidR="008003C7">
        <w:rPr>
          <w:rFonts w:ascii="Arial" w:hAnsi="Arial" w:cs="Arial"/>
          <w:sz w:val="20"/>
          <w:szCs w:val="20"/>
        </w:rPr>
        <w:t>(</w:t>
      </w:r>
      <w:r w:rsidR="008003C7">
        <w:rPr>
          <w:rFonts w:ascii="Arial" w:hAnsi="Arial" w:cs="Arial"/>
          <w:sz w:val="20"/>
          <w:szCs w:val="20"/>
          <w:lang w:val="mn-MN"/>
        </w:rPr>
        <w:t>Зураг</w:t>
      </w:r>
      <w:r w:rsidR="008003C7">
        <w:rPr>
          <w:rFonts w:ascii="Arial" w:hAnsi="Arial" w:cs="Arial"/>
          <w:sz w:val="20"/>
          <w:szCs w:val="20"/>
        </w:rPr>
        <w:t xml:space="preserve"> 47) </w:t>
      </w:r>
      <w:r w:rsidR="008003C7">
        <w:rPr>
          <w:rFonts w:ascii="Arial" w:hAnsi="Arial" w:cs="Arial"/>
          <w:sz w:val="20"/>
          <w:szCs w:val="20"/>
          <w:lang w:val="mn-MN"/>
        </w:rPr>
        <w:t xml:space="preserve">2013 оны эхний 8 сарын хугацаанд гадаад шууд хөрөнгө оруулалтын цэвэр дүн нь </w:t>
      </w:r>
      <w:r w:rsidR="008003C7">
        <w:rPr>
          <w:rFonts w:ascii="Arial" w:hAnsi="Arial" w:cs="Arial"/>
          <w:sz w:val="20"/>
          <w:szCs w:val="20"/>
        </w:rPr>
        <w:t xml:space="preserve">1.8 </w:t>
      </w:r>
      <w:r w:rsidR="008003C7">
        <w:rPr>
          <w:rFonts w:ascii="Arial" w:hAnsi="Arial" w:cs="Arial"/>
          <w:sz w:val="20"/>
          <w:szCs w:val="20"/>
          <w:lang w:val="mn-MN"/>
        </w:rPr>
        <w:t xml:space="preserve">тэрбум ам.долларт хүрсэн нь өмнөх жилийн 1 сараас 8 сарын хоорондох хэмжээний </w:t>
      </w:r>
      <w:r w:rsidR="008003C7">
        <w:rPr>
          <w:rFonts w:ascii="Arial" w:hAnsi="Arial" w:cs="Arial"/>
          <w:sz w:val="20"/>
          <w:szCs w:val="20"/>
        </w:rPr>
        <w:t xml:space="preserve">53 </w:t>
      </w:r>
      <w:r w:rsidR="008003C7">
        <w:rPr>
          <w:rFonts w:ascii="Arial" w:hAnsi="Arial" w:cs="Arial"/>
          <w:sz w:val="20"/>
          <w:szCs w:val="20"/>
          <w:lang w:val="mn-MN"/>
        </w:rPr>
        <w:t>хувь нь байна. Одоогийн байгаа хандлагаараа, жилийн ГШХО хэмжээ нь өмнөх хоёр жилийн ГШХО</w:t>
      </w:r>
      <w:r w:rsidR="008003C7">
        <w:rPr>
          <w:rFonts w:ascii="Arial" w:hAnsi="Arial" w:cs="Arial"/>
          <w:sz w:val="20"/>
          <w:szCs w:val="20"/>
        </w:rPr>
        <w:t>-</w:t>
      </w:r>
      <w:r w:rsidR="008003C7">
        <w:rPr>
          <w:rFonts w:ascii="Arial" w:hAnsi="Arial" w:cs="Arial"/>
          <w:sz w:val="20"/>
          <w:szCs w:val="20"/>
          <w:lang w:val="mn-MN"/>
        </w:rPr>
        <w:t>ын хагаст хүрэхээр байна</w:t>
      </w:r>
      <w:r w:rsidR="008003C7">
        <w:rPr>
          <w:rFonts w:ascii="Arial" w:hAnsi="Arial" w:cs="Arial"/>
          <w:sz w:val="20"/>
          <w:szCs w:val="20"/>
        </w:rPr>
        <w:t>: 2011</w:t>
      </w:r>
      <w:r w:rsidR="008003C7">
        <w:rPr>
          <w:rFonts w:ascii="Arial" w:hAnsi="Arial" w:cs="Arial"/>
          <w:sz w:val="20"/>
          <w:szCs w:val="20"/>
          <w:lang w:val="mn-MN"/>
        </w:rPr>
        <w:t xml:space="preserve"> онд </w:t>
      </w:r>
      <w:r w:rsidR="008003C7">
        <w:rPr>
          <w:rFonts w:ascii="Arial" w:hAnsi="Arial" w:cs="Arial"/>
          <w:sz w:val="20"/>
          <w:szCs w:val="20"/>
        </w:rPr>
        <w:t xml:space="preserve">4.6 </w:t>
      </w:r>
      <w:r w:rsidR="008003C7">
        <w:rPr>
          <w:rFonts w:ascii="Arial" w:hAnsi="Arial" w:cs="Arial"/>
          <w:sz w:val="20"/>
          <w:szCs w:val="20"/>
          <w:lang w:val="mn-MN"/>
        </w:rPr>
        <w:t xml:space="preserve">тэрбум ам.доллар, </w:t>
      </w:r>
      <w:r w:rsidR="008003C7">
        <w:rPr>
          <w:rFonts w:ascii="Arial" w:hAnsi="Arial" w:cs="Arial"/>
          <w:sz w:val="20"/>
          <w:szCs w:val="20"/>
        </w:rPr>
        <w:t>2012</w:t>
      </w:r>
      <w:r w:rsidR="008003C7">
        <w:rPr>
          <w:rFonts w:ascii="Arial" w:hAnsi="Arial" w:cs="Arial"/>
          <w:sz w:val="20"/>
          <w:szCs w:val="20"/>
          <w:lang w:val="mn-MN"/>
        </w:rPr>
        <w:t xml:space="preserve"> онд </w:t>
      </w:r>
      <w:r w:rsidR="008003C7">
        <w:rPr>
          <w:rFonts w:ascii="Arial" w:hAnsi="Arial" w:cs="Arial"/>
          <w:sz w:val="20"/>
          <w:szCs w:val="20"/>
        </w:rPr>
        <w:t xml:space="preserve">4.4 </w:t>
      </w:r>
      <w:r w:rsidR="008003C7">
        <w:rPr>
          <w:rFonts w:ascii="Arial" w:hAnsi="Arial" w:cs="Arial"/>
          <w:sz w:val="20"/>
          <w:szCs w:val="20"/>
          <w:lang w:val="mn-MN"/>
        </w:rPr>
        <w:t xml:space="preserve">тэрбум </w:t>
      </w:r>
      <w:r w:rsidR="008003C7">
        <w:rPr>
          <w:rFonts w:ascii="Arial" w:hAnsi="Arial" w:cs="Arial"/>
          <w:sz w:val="20"/>
          <w:szCs w:val="20"/>
          <w:lang w:val="mn-MN"/>
        </w:rPr>
        <w:lastRenderedPageBreak/>
        <w:t>ам.доллар байсан</w:t>
      </w:r>
      <w:r w:rsidR="008003C7">
        <w:rPr>
          <w:rFonts w:ascii="Arial" w:hAnsi="Arial" w:cs="Arial"/>
          <w:sz w:val="20"/>
          <w:szCs w:val="20"/>
        </w:rPr>
        <w:t xml:space="preserve">. </w:t>
      </w:r>
      <w:r w:rsidR="008003C7">
        <w:rPr>
          <w:rFonts w:ascii="Arial" w:hAnsi="Arial" w:cs="Arial"/>
          <w:sz w:val="20"/>
          <w:szCs w:val="20"/>
          <w:lang w:val="mn-MN"/>
        </w:rPr>
        <w:t xml:space="preserve">2013 оны багцын хөрөнгө оруулалт эхний 8 сарын хугацаанд 22 сая ам.долларын цэвэр гадашлах урсгалтай байсан. 2012 онд хувийн уул уурхайн компанийн гаргасан гадаад бондууд </w:t>
      </w:r>
      <w:r w:rsidR="008003C7">
        <w:rPr>
          <w:rFonts w:ascii="Arial" w:hAnsi="Arial" w:cs="Arial"/>
          <w:sz w:val="20"/>
          <w:szCs w:val="20"/>
        </w:rPr>
        <w:t>(</w:t>
      </w:r>
      <w:r w:rsidR="008003C7">
        <w:rPr>
          <w:rFonts w:ascii="Arial" w:hAnsi="Arial" w:cs="Arial"/>
          <w:sz w:val="20"/>
          <w:szCs w:val="20"/>
          <w:lang w:val="mn-MN"/>
        </w:rPr>
        <w:t>0.6 тэрбум ам.доллар</w:t>
      </w:r>
      <w:r w:rsidR="008003C7">
        <w:rPr>
          <w:rFonts w:ascii="Arial" w:hAnsi="Arial" w:cs="Arial"/>
          <w:sz w:val="20"/>
          <w:szCs w:val="20"/>
        </w:rPr>
        <w:t>)</w:t>
      </w:r>
      <w:r w:rsidR="008003C7">
        <w:rPr>
          <w:rFonts w:ascii="Arial" w:hAnsi="Arial" w:cs="Arial"/>
          <w:sz w:val="20"/>
          <w:szCs w:val="20"/>
          <w:lang w:val="mn-MN"/>
        </w:rPr>
        <w:t xml:space="preserve"> Монгол улсын хөгжлийн банк </w:t>
      </w:r>
      <w:r w:rsidR="008003C7">
        <w:rPr>
          <w:rFonts w:ascii="Arial" w:hAnsi="Arial" w:cs="Arial"/>
          <w:sz w:val="20"/>
          <w:szCs w:val="20"/>
        </w:rPr>
        <w:t>(</w:t>
      </w:r>
      <w:r w:rsidR="008003C7">
        <w:rPr>
          <w:rFonts w:ascii="Arial" w:hAnsi="Arial" w:cs="Arial"/>
          <w:sz w:val="20"/>
          <w:szCs w:val="20"/>
          <w:lang w:val="mn-MN"/>
        </w:rPr>
        <w:t>580 сая ам.доллар</w:t>
      </w:r>
      <w:r w:rsidR="008003C7">
        <w:rPr>
          <w:rFonts w:ascii="Arial" w:hAnsi="Arial" w:cs="Arial"/>
          <w:sz w:val="20"/>
          <w:szCs w:val="20"/>
        </w:rPr>
        <w:t>)</w:t>
      </w:r>
      <w:r w:rsidR="008003C7">
        <w:rPr>
          <w:rFonts w:ascii="Arial" w:hAnsi="Arial" w:cs="Arial"/>
          <w:sz w:val="20"/>
          <w:szCs w:val="20"/>
          <w:lang w:val="mn-MN"/>
        </w:rPr>
        <w:t xml:space="preserve"> болон засгийн газрын бонд </w:t>
      </w:r>
      <w:r w:rsidR="008003C7">
        <w:rPr>
          <w:rFonts w:ascii="Arial" w:hAnsi="Arial" w:cs="Arial"/>
          <w:sz w:val="20"/>
          <w:szCs w:val="20"/>
        </w:rPr>
        <w:t>(</w:t>
      </w:r>
      <w:r w:rsidR="008003C7">
        <w:rPr>
          <w:rFonts w:ascii="Arial" w:hAnsi="Arial" w:cs="Arial"/>
          <w:sz w:val="20"/>
          <w:szCs w:val="20"/>
          <w:lang w:val="mn-MN"/>
        </w:rPr>
        <w:t>1.5 тэрбум ам.доллар</w:t>
      </w:r>
      <w:r w:rsidR="008003C7">
        <w:rPr>
          <w:rFonts w:ascii="Arial" w:hAnsi="Arial" w:cs="Arial"/>
          <w:sz w:val="20"/>
          <w:szCs w:val="20"/>
        </w:rPr>
        <w:t>)</w:t>
      </w:r>
      <w:r w:rsidR="008003C7">
        <w:rPr>
          <w:rFonts w:ascii="Arial" w:hAnsi="Arial" w:cs="Arial"/>
          <w:sz w:val="20"/>
          <w:szCs w:val="20"/>
          <w:lang w:val="mn-MN"/>
        </w:rPr>
        <w:t xml:space="preserve"> улмаас багцын хөрөнгө оруулалтын цэвэр дотогшлох урсгал 2.3 тэрбум ам.долларт хүрсэн. </w:t>
      </w:r>
    </w:p>
    <w:p w14:paraId="58AF2274" w14:textId="77777777" w:rsidR="008003C7" w:rsidRDefault="008003C7" w:rsidP="008003C7">
      <w:pPr>
        <w:jc w:val="both"/>
        <w:rPr>
          <w:rFonts w:ascii="Arial" w:hAnsi="Arial" w:cs="Arial"/>
          <w:szCs w:val="20"/>
        </w:rPr>
      </w:pPr>
      <w:r>
        <w:rPr>
          <w:rFonts w:ascii="Arial" w:hAnsi="Arial" w:cs="Arial"/>
          <w:b/>
          <w:sz w:val="20"/>
          <w:szCs w:val="20"/>
          <w:lang w:val="mn-MN"/>
        </w:rPr>
        <w:t>Гадаад тэнцвэргүй байдал нэмэгдэж байгаа нь гадаад валютын зах зээл болон валютын нөөцөд дарамт үүсгэж байна</w:t>
      </w:r>
      <w:r>
        <w:rPr>
          <w:rFonts w:ascii="Arial" w:hAnsi="Arial" w:cs="Arial"/>
          <w:b/>
          <w:sz w:val="20"/>
          <w:szCs w:val="20"/>
        </w:rPr>
        <w:t>.</w:t>
      </w:r>
      <w:r>
        <w:rPr>
          <w:rFonts w:ascii="Arial" w:hAnsi="Arial" w:cs="Arial"/>
          <w:b/>
          <w:sz w:val="20"/>
          <w:szCs w:val="20"/>
          <w:lang w:val="mn-MN"/>
        </w:rPr>
        <w:t xml:space="preserve"> </w:t>
      </w:r>
      <w:r>
        <w:rPr>
          <w:rFonts w:ascii="Arial" w:hAnsi="Arial" w:cs="Arial"/>
          <w:sz w:val="20"/>
          <w:szCs w:val="20"/>
        </w:rPr>
        <w:t>(</w:t>
      </w:r>
      <w:r>
        <w:rPr>
          <w:rFonts w:ascii="Arial" w:hAnsi="Arial" w:cs="Arial"/>
          <w:sz w:val="20"/>
          <w:szCs w:val="20"/>
          <w:lang w:val="mn-MN"/>
        </w:rPr>
        <w:t>Зураг</w:t>
      </w:r>
      <w:r>
        <w:rPr>
          <w:rFonts w:ascii="Arial" w:hAnsi="Arial" w:cs="Arial"/>
          <w:sz w:val="20"/>
          <w:szCs w:val="20"/>
        </w:rPr>
        <w:t xml:space="preserve"> 48) </w:t>
      </w:r>
      <w:r>
        <w:rPr>
          <w:rFonts w:ascii="Arial" w:hAnsi="Arial" w:cs="Arial"/>
          <w:sz w:val="20"/>
          <w:szCs w:val="20"/>
          <w:lang w:val="mn-MN"/>
        </w:rPr>
        <w:t xml:space="preserve">Жилийн туршид 6 сар хүртэл валютын ханш аажмаар суларсан. Дотоод валютын ам.долларын эсрэг ханш нь 1 сараас 6 сарын хооронд 7.7 хувиар суларсан. Гэвч сулралт 7 сараас хурдасч </w:t>
      </w:r>
      <w:r>
        <w:rPr>
          <w:rFonts w:ascii="Arial" w:hAnsi="Arial" w:cs="Arial"/>
          <w:sz w:val="20"/>
          <w:szCs w:val="20"/>
        </w:rPr>
        <w:t xml:space="preserve">– </w:t>
      </w:r>
      <w:r>
        <w:rPr>
          <w:rFonts w:ascii="Arial" w:hAnsi="Arial" w:cs="Arial"/>
          <w:sz w:val="20"/>
          <w:szCs w:val="20"/>
          <w:lang w:val="mn-MN"/>
        </w:rPr>
        <w:t xml:space="preserve">7 сараас 9 сарын хооронд дотоодын валютын төлбөрийн тэнцлийн хэтийн төлөвт зах зээлийн сентимент муудсны улмаас 10.4 хувиар буурчээ. </w:t>
      </w:r>
    </w:p>
    <w:p w14:paraId="51C9B021" w14:textId="500A486C" w:rsidR="008003C7" w:rsidRDefault="008003C7" w:rsidP="008003C7">
      <w:pPr>
        <w:jc w:val="both"/>
        <w:rPr>
          <w:rFonts w:ascii="Arial" w:hAnsi="Arial" w:cs="Arial"/>
          <w:sz w:val="20"/>
          <w:szCs w:val="20"/>
        </w:rPr>
      </w:pPr>
      <w:r>
        <w:rPr>
          <w:rFonts w:ascii="Arial" w:hAnsi="Arial" w:cs="Arial"/>
          <w:b/>
          <w:sz w:val="20"/>
          <w:szCs w:val="20"/>
          <w:lang w:val="mn-MN"/>
        </w:rPr>
        <w:t xml:space="preserve">Валютын нөөцийн түвшин огцом буурсан нь төлбөрийн тэнцлийн алдагдал нэмэгдэж байгааг харуулж байна. </w:t>
      </w:r>
      <w:r>
        <w:rPr>
          <w:rFonts w:ascii="Arial" w:hAnsi="Arial" w:cs="Arial"/>
          <w:sz w:val="20"/>
          <w:szCs w:val="20"/>
          <w:lang w:val="mn-MN"/>
        </w:rPr>
        <w:t>Нийт</w:t>
      </w:r>
      <w:r w:rsidR="00207174">
        <w:rPr>
          <w:rFonts w:ascii="Arial" w:hAnsi="Arial" w:cs="Arial"/>
          <w:sz w:val="20"/>
          <w:szCs w:val="20"/>
          <w:lang w:val="mn-MN"/>
        </w:rPr>
        <w:t xml:space="preserve"> валютын</w:t>
      </w:r>
      <w:r>
        <w:rPr>
          <w:rFonts w:ascii="Arial" w:hAnsi="Arial" w:cs="Arial"/>
          <w:sz w:val="20"/>
          <w:szCs w:val="20"/>
          <w:lang w:val="mn-MN"/>
        </w:rPr>
        <w:t xml:space="preserve"> нөөцийн түвшин 2012 оны эцэст Чингис бондын орлогын </w:t>
      </w:r>
      <w:r>
        <w:rPr>
          <w:rFonts w:ascii="Arial" w:hAnsi="Arial" w:cs="Arial"/>
          <w:sz w:val="20"/>
          <w:szCs w:val="20"/>
        </w:rPr>
        <w:t>(</w:t>
      </w:r>
      <w:r>
        <w:rPr>
          <w:rFonts w:ascii="Arial" w:hAnsi="Arial" w:cs="Arial"/>
          <w:sz w:val="20"/>
          <w:szCs w:val="20"/>
          <w:lang w:val="mn-MN"/>
        </w:rPr>
        <w:t>1.5 тэрбум ам.доллар</w:t>
      </w:r>
      <w:r>
        <w:rPr>
          <w:rFonts w:ascii="Arial" w:hAnsi="Arial" w:cs="Arial"/>
          <w:sz w:val="20"/>
          <w:szCs w:val="20"/>
        </w:rPr>
        <w:t>)</w:t>
      </w:r>
      <w:r>
        <w:rPr>
          <w:rFonts w:ascii="Arial" w:hAnsi="Arial" w:cs="Arial"/>
          <w:sz w:val="20"/>
          <w:szCs w:val="20"/>
          <w:lang w:val="mn-MN"/>
        </w:rPr>
        <w:t xml:space="preserve"> улмаас </w:t>
      </w:r>
      <w:r>
        <w:rPr>
          <w:rFonts w:ascii="Arial" w:hAnsi="Arial" w:cs="Arial"/>
          <w:sz w:val="20"/>
          <w:szCs w:val="20"/>
        </w:rPr>
        <w:t>4,125</w:t>
      </w:r>
      <w:r>
        <w:rPr>
          <w:rFonts w:ascii="Arial" w:hAnsi="Arial" w:cs="Arial"/>
          <w:sz w:val="20"/>
          <w:szCs w:val="20"/>
          <w:lang w:val="mn-MN"/>
        </w:rPr>
        <w:t xml:space="preserve"> сая ам.долларт хүрсэн. Үүнээс хойш </w:t>
      </w:r>
      <w:r w:rsidR="00207174">
        <w:rPr>
          <w:rFonts w:ascii="Arial" w:hAnsi="Arial" w:cs="Arial"/>
          <w:sz w:val="20"/>
          <w:szCs w:val="20"/>
          <w:lang w:val="mn-MN"/>
        </w:rPr>
        <w:t xml:space="preserve">валютын </w:t>
      </w:r>
      <w:r>
        <w:rPr>
          <w:rFonts w:ascii="Arial" w:hAnsi="Arial" w:cs="Arial"/>
          <w:sz w:val="20"/>
          <w:szCs w:val="20"/>
          <w:lang w:val="mn-MN"/>
        </w:rPr>
        <w:t xml:space="preserve">нөөцийн түвшин жилийн туршид тогтвортой буурч, 2013 оны 9 сард </w:t>
      </w:r>
      <w:r>
        <w:rPr>
          <w:rFonts w:ascii="Arial" w:hAnsi="Arial" w:cs="Arial"/>
          <w:sz w:val="20"/>
          <w:szCs w:val="20"/>
        </w:rPr>
        <w:t>2,679</w:t>
      </w:r>
      <w:r>
        <w:rPr>
          <w:rFonts w:ascii="Arial" w:hAnsi="Arial" w:cs="Arial"/>
          <w:sz w:val="20"/>
          <w:szCs w:val="20"/>
          <w:lang w:val="mn-MN"/>
        </w:rPr>
        <w:t xml:space="preserve"> сая ам.долларт хүрчээ. Хандлага нь буурч байгаа ч валютын нөөцийн түвшин нь болгоомжлолтын зориулалтад хангалттай</w:t>
      </w:r>
      <w:r>
        <w:rPr>
          <w:rFonts w:ascii="Arial" w:hAnsi="Arial" w:cs="Arial"/>
          <w:sz w:val="20"/>
          <w:szCs w:val="20"/>
        </w:rPr>
        <w:t xml:space="preserve">: </w:t>
      </w:r>
      <w:r>
        <w:rPr>
          <w:rFonts w:ascii="Arial" w:hAnsi="Arial" w:cs="Arial"/>
          <w:sz w:val="20"/>
          <w:szCs w:val="20"/>
          <w:lang w:val="mn-MN"/>
        </w:rPr>
        <w:t xml:space="preserve">нийт валютын түвшин нь дөрөв орчим сарын импортын түвшинтэй тэнцэх түвшинд байна. </w:t>
      </w:r>
    </w:p>
    <w:tbl>
      <w:tblPr>
        <w:tblpPr w:leftFromText="180" w:rightFromText="180" w:vertAnchor="text" w:horzAnchor="margin" w:tblpY="169"/>
        <w:tblW w:w="0" w:type="auto"/>
        <w:tblLook w:val="04A0" w:firstRow="1" w:lastRow="0" w:firstColumn="1" w:lastColumn="0" w:noHBand="0" w:noVBand="1"/>
      </w:tblPr>
      <w:tblGrid>
        <w:gridCol w:w="3722"/>
        <w:gridCol w:w="902"/>
        <w:gridCol w:w="236"/>
        <w:gridCol w:w="4716"/>
      </w:tblGrid>
      <w:tr w:rsidR="008003C7" w14:paraId="4F655965" w14:textId="77777777" w:rsidTr="008003C7">
        <w:tc>
          <w:tcPr>
            <w:tcW w:w="4633" w:type="dxa"/>
            <w:gridSpan w:val="2"/>
            <w:tcBorders>
              <w:top w:val="nil"/>
              <w:left w:val="nil"/>
              <w:bottom w:val="single" w:sz="4" w:space="0" w:color="984806" w:themeColor="accent6" w:themeShade="80"/>
              <w:right w:val="nil"/>
            </w:tcBorders>
            <w:hideMark/>
          </w:tcPr>
          <w:p w14:paraId="4176C2B9" w14:textId="0E2C094D" w:rsidR="008003C7" w:rsidRPr="00630B23" w:rsidRDefault="00207174" w:rsidP="00630B23">
            <w:pPr>
              <w:pStyle w:val="Caption"/>
              <w:keepNext/>
              <w:spacing w:after="0"/>
              <w:jc w:val="both"/>
              <w:rPr>
                <w:color w:val="auto"/>
                <w:sz w:val="16"/>
                <w:szCs w:val="16"/>
                <w:lang w:val="mn-MN"/>
              </w:rPr>
            </w:pPr>
            <w:bookmarkStart w:id="74" w:name="_Toc371338655"/>
            <w:r>
              <w:rPr>
                <w:sz w:val="16"/>
                <w:szCs w:val="16"/>
                <w:lang w:val="mn-MN"/>
              </w:rPr>
              <w:t>Зураг</w:t>
            </w:r>
            <w:r w:rsidR="008003C7">
              <w:rPr>
                <w:sz w:val="16"/>
                <w:szCs w:val="16"/>
              </w:rPr>
              <w:t xml:space="preserve"> </w:t>
            </w:r>
            <w:r w:rsidR="008003C7">
              <w:fldChar w:fldCharType="begin"/>
            </w:r>
            <w:r w:rsidR="008003C7">
              <w:rPr>
                <w:sz w:val="16"/>
                <w:szCs w:val="16"/>
              </w:rPr>
              <w:instrText xml:space="preserve"> SEQ Figure \* ARABIC </w:instrText>
            </w:r>
            <w:r w:rsidR="008003C7">
              <w:fldChar w:fldCharType="separate"/>
            </w:r>
            <w:r w:rsidR="008003C7">
              <w:rPr>
                <w:noProof/>
                <w:sz w:val="16"/>
                <w:szCs w:val="16"/>
              </w:rPr>
              <w:t>48</w:t>
            </w:r>
            <w:r w:rsidR="008003C7">
              <w:fldChar w:fldCharType="end"/>
            </w:r>
            <w:r w:rsidR="008003C7">
              <w:rPr>
                <w:sz w:val="16"/>
                <w:szCs w:val="16"/>
              </w:rPr>
              <w:t xml:space="preserve">. </w:t>
            </w:r>
            <w:r>
              <w:rPr>
                <w:sz w:val="16"/>
                <w:szCs w:val="16"/>
                <w:lang w:val="mn-MN"/>
              </w:rPr>
              <w:t>Гадаад валютын нөөц буурч байна</w:t>
            </w:r>
            <w:bookmarkEnd w:id="74"/>
          </w:p>
        </w:tc>
        <w:tc>
          <w:tcPr>
            <w:tcW w:w="236" w:type="dxa"/>
          </w:tcPr>
          <w:p w14:paraId="0418F9CB" w14:textId="77777777" w:rsidR="008003C7" w:rsidRDefault="008003C7" w:rsidP="00630B23">
            <w:pPr>
              <w:pStyle w:val="Caption"/>
              <w:spacing w:after="0"/>
              <w:jc w:val="center"/>
              <w:rPr>
                <w:color w:val="auto"/>
                <w:sz w:val="2"/>
              </w:rPr>
            </w:pPr>
          </w:p>
        </w:tc>
        <w:tc>
          <w:tcPr>
            <w:tcW w:w="4707" w:type="dxa"/>
            <w:tcBorders>
              <w:top w:val="nil"/>
              <w:left w:val="nil"/>
              <w:bottom w:val="single" w:sz="4" w:space="0" w:color="984806" w:themeColor="accent6" w:themeShade="80"/>
              <w:right w:val="nil"/>
            </w:tcBorders>
            <w:hideMark/>
          </w:tcPr>
          <w:p w14:paraId="4D339844" w14:textId="4C9A5997" w:rsidR="008003C7" w:rsidRPr="00630B23" w:rsidRDefault="00207174" w:rsidP="00630B23">
            <w:pPr>
              <w:pStyle w:val="Caption"/>
              <w:spacing w:after="0"/>
              <w:rPr>
                <w:rFonts w:ascii="Arial" w:hAnsi="Arial" w:cs="Arial"/>
                <w:noProof/>
                <w:sz w:val="16"/>
                <w:szCs w:val="16"/>
                <w:lang w:val="mn-MN"/>
              </w:rPr>
            </w:pPr>
            <w:bookmarkStart w:id="75" w:name="_Toc371338656"/>
            <w:r>
              <w:rPr>
                <w:sz w:val="16"/>
                <w:szCs w:val="16"/>
                <w:lang w:val="mn-MN"/>
              </w:rPr>
              <w:t>Зураг</w:t>
            </w:r>
            <w:r w:rsidR="008003C7">
              <w:rPr>
                <w:sz w:val="16"/>
                <w:szCs w:val="16"/>
              </w:rPr>
              <w:t xml:space="preserve"> </w:t>
            </w:r>
            <w:r w:rsidR="008003C7">
              <w:fldChar w:fldCharType="begin"/>
            </w:r>
            <w:r w:rsidR="008003C7">
              <w:rPr>
                <w:sz w:val="16"/>
                <w:szCs w:val="16"/>
              </w:rPr>
              <w:instrText xml:space="preserve"> SEQ Figure \* ARABIC </w:instrText>
            </w:r>
            <w:r w:rsidR="008003C7">
              <w:fldChar w:fldCharType="separate"/>
            </w:r>
            <w:r w:rsidR="008003C7">
              <w:rPr>
                <w:noProof/>
                <w:sz w:val="16"/>
                <w:szCs w:val="16"/>
              </w:rPr>
              <w:t>49</w:t>
            </w:r>
            <w:r w:rsidR="008003C7">
              <w:fldChar w:fldCharType="end"/>
            </w:r>
            <w:r w:rsidR="008003C7">
              <w:rPr>
                <w:sz w:val="16"/>
                <w:szCs w:val="16"/>
              </w:rPr>
              <w:t xml:space="preserve">. </w:t>
            </w:r>
            <w:r>
              <w:rPr>
                <w:sz w:val="16"/>
                <w:szCs w:val="16"/>
                <w:lang w:val="mn-MN"/>
              </w:rPr>
              <w:t>Богино хугацаатай гадаадын хөрөнгийн түвшин бага байна</w:t>
            </w:r>
            <w:bookmarkEnd w:id="75"/>
          </w:p>
        </w:tc>
      </w:tr>
      <w:tr w:rsidR="008003C7" w14:paraId="12F48D5C" w14:textId="77777777" w:rsidTr="008003C7">
        <w:trPr>
          <w:trHeight w:val="3206"/>
        </w:trPr>
        <w:tc>
          <w:tcPr>
            <w:tcW w:w="4633" w:type="dxa"/>
            <w:gridSpan w:val="2"/>
            <w:tcBorders>
              <w:top w:val="single" w:sz="4" w:space="0" w:color="984806" w:themeColor="accent6" w:themeShade="80"/>
              <w:left w:val="nil"/>
              <w:bottom w:val="nil"/>
              <w:right w:val="nil"/>
            </w:tcBorders>
          </w:tcPr>
          <w:p w14:paraId="7E2358B8" w14:textId="4E984972" w:rsidR="008003C7" w:rsidRDefault="00207174">
            <w:pPr>
              <w:pStyle w:val="NoSpacing"/>
              <w:jc w:val="both"/>
              <w:rPr>
                <w:sz w:val="16"/>
              </w:rPr>
            </w:pPr>
            <w:r>
              <w:rPr>
                <w:sz w:val="16"/>
                <w:lang w:val="mn-MN"/>
              </w:rPr>
              <w:t>Гадаад валютын нөөц</w:t>
            </w:r>
            <w:r w:rsidR="008003C7">
              <w:rPr>
                <w:sz w:val="16"/>
              </w:rPr>
              <w:t xml:space="preserve"> (</w:t>
            </w:r>
            <w:r>
              <w:rPr>
                <w:sz w:val="16"/>
                <w:lang w:val="mn-MN"/>
              </w:rPr>
              <w:t>тэрбум ам.доллар, өнөөг хүртэл</w:t>
            </w:r>
            <w:r w:rsidR="008003C7">
              <w:rPr>
                <w:sz w:val="16"/>
              </w:rPr>
              <w:t>)</w:t>
            </w:r>
          </w:p>
          <w:p w14:paraId="2D0F93AA" w14:textId="298938C6" w:rsidR="008003C7" w:rsidRDefault="008003C7">
            <w:pPr>
              <w:pStyle w:val="NoSpacing"/>
              <w:jc w:val="both"/>
              <w:rPr>
                <w:sz w:val="16"/>
              </w:rPr>
            </w:pPr>
            <w:r>
              <w:rPr>
                <w:noProof/>
              </w:rPr>
              <w:drawing>
                <wp:inline distT="0" distB="0" distL="0" distR="0" wp14:anchorId="7587C47C" wp14:editId="1BEC5530">
                  <wp:extent cx="2584450" cy="1905000"/>
                  <wp:effectExtent l="0" t="0" r="6350" b="0"/>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49A0AE29" w14:textId="77777777" w:rsidR="008003C7" w:rsidRDefault="008003C7">
            <w:pPr>
              <w:pStyle w:val="NoSpacing"/>
              <w:jc w:val="both"/>
              <w:rPr>
                <w:sz w:val="4"/>
              </w:rPr>
            </w:pPr>
          </w:p>
        </w:tc>
        <w:tc>
          <w:tcPr>
            <w:tcW w:w="236" w:type="dxa"/>
          </w:tcPr>
          <w:p w14:paraId="344626B9" w14:textId="77777777" w:rsidR="008003C7" w:rsidRDefault="008003C7">
            <w:pPr>
              <w:pStyle w:val="NoSpacing"/>
              <w:jc w:val="both"/>
              <w:rPr>
                <w:noProof/>
                <w:sz w:val="2"/>
                <w:lang w:eastAsia="ko-KR"/>
              </w:rPr>
            </w:pPr>
          </w:p>
          <w:p w14:paraId="02485A28" w14:textId="77777777" w:rsidR="008003C7" w:rsidRDefault="008003C7">
            <w:pPr>
              <w:pStyle w:val="NoSpacing"/>
              <w:jc w:val="both"/>
              <w:rPr>
                <w:noProof/>
                <w:sz w:val="2"/>
                <w:lang w:eastAsia="ko-KR"/>
              </w:rPr>
            </w:pPr>
          </w:p>
        </w:tc>
        <w:tc>
          <w:tcPr>
            <w:tcW w:w="4707" w:type="dxa"/>
            <w:tcBorders>
              <w:top w:val="single" w:sz="4" w:space="0" w:color="984806" w:themeColor="accent6" w:themeShade="80"/>
              <w:left w:val="nil"/>
              <w:bottom w:val="nil"/>
              <w:right w:val="nil"/>
            </w:tcBorders>
            <w:hideMark/>
          </w:tcPr>
          <w:p w14:paraId="2CB766EE" w14:textId="695C13FE" w:rsidR="008003C7" w:rsidRDefault="008003C7" w:rsidP="0017164F">
            <w:pPr>
              <w:pStyle w:val="NoSpacing"/>
              <w:jc w:val="both"/>
              <w:rPr>
                <w:sz w:val="16"/>
                <w:szCs w:val="18"/>
              </w:rPr>
            </w:pPr>
            <w:r>
              <w:rPr>
                <w:noProof/>
              </w:rPr>
              <w:drawing>
                <wp:anchor distT="0" distB="0" distL="114300" distR="114300" simplePos="0" relativeHeight="251775488" behindDoc="0" locked="0" layoutInCell="1" allowOverlap="1" wp14:anchorId="478D043B" wp14:editId="001730C5">
                  <wp:simplePos x="0" y="0"/>
                  <wp:positionH relativeFrom="column">
                    <wp:posOffset>32385</wp:posOffset>
                  </wp:positionH>
                  <wp:positionV relativeFrom="paragraph">
                    <wp:posOffset>205105</wp:posOffset>
                  </wp:positionV>
                  <wp:extent cx="2853055" cy="1817370"/>
                  <wp:effectExtent l="0" t="0" r="4445" b="0"/>
                  <wp:wrapSquare wrapText="bothSides"/>
                  <wp:docPr id="339" name="Chart 339"/>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page">
                    <wp14:pctWidth>0</wp14:pctWidth>
                  </wp14:sizeRelH>
                  <wp14:sizeRelV relativeFrom="page">
                    <wp14:pctHeight>0</wp14:pctHeight>
                  </wp14:sizeRelV>
                </wp:anchor>
              </w:drawing>
            </w:r>
            <w:r w:rsidR="00207174">
              <w:rPr>
                <w:bCs/>
                <w:sz w:val="16"/>
                <w:szCs w:val="18"/>
                <w:lang w:val="mn-MN"/>
              </w:rPr>
              <w:t>Гадаадын хөрөнгө оруулалтын байдал</w:t>
            </w:r>
            <w:r>
              <w:rPr>
                <w:bCs/>
                <w:sz w:val="16"/>
                <w:szCs w:val="18"/>
              </w:rPr>
              <w:t xml:space="preserve"> </w:t>
            </w:r>
            <w:r>
              <w:rPr>
                <w:sz w:val="16"/>
                <w:szCs w:val="18"/>
              </w:rPr>
              <w:t>(2013</w:t>
            </w:r>
            <w:r w:rsidR="00207174">
              <w:rPr>
                <w:sz w:val="16"/>
                <w:szCs w:val="18"/>
                <w:lang w:val="mn-MN"/>
              </w:rPr>
              <w:t xml:space="preserve"> оны 6 сар</w:t>
            </w:r>
            <w:r>
              <w:rPr>
                <w:sz w:val="16"/>
                <w:szCs w:val="18"/>
              </w:rPr>
              <w:t xml:space="preserve">, </w:t>
            </w:r>
            <w:r w:rsidR="00207174">
              <w:rPr>
                <w:sz w:val="16"/>
                <w:szCs w:val="18"/>
                <w:lang w:val="mn-MN"/>
              </w:rPr>
              <w:t>сая ам.доллар</w:t>
            </w:r>
            <w:r>
              <w:rPr>
                <w:sz w:val="16"/>
                <w:szCs w:val="18"/>
              </w:rPr>
              <w:t>)</w:t>
            </w:r>
          </w:p>
        </w:tc>
      </w:tr>
      <w:tr w:rsidR="008003C7" w14:paraId="68096274" w14:textId="77777777" w:rsidTr="008003C7">
        <w:trPr>
          <w:trHeight w:val="89"/>
        </w:trPr>
        <w:tc>
          <w:tcPr>
            <w:tcW w:w="3722" w:type="dxa"/>
            <w:hideMark/>
          </w:tcPr>
          <w:p w14:paraId="4ADFC52F" w14:textId="7850669C" w:rsidR="008003C7" w:rsidRDefault="00207174">
            <w:pPr>
              <w:pStyle w:val="NoSpacing"/>
              <w:jc w:val="both"/>
              <w:rPr>
                <w:sz w:val="14"/>
                <w:szCs w:val="18"/>
              </w:rPr>
            </w:pPr>
            <w:r>
              <w:rPr>
                <w:i/>
                <w:sz w:val="14"/>
                <w:szCs w:val="18"/>
                <w:lang w:val="mn-MN"/>
              </w:rPr>
              <w:t>Эх үүсвэр</w:t>
            </w:r>
            <w:r>
              <w:rPr>
                <w:i/>
                <w:sz w:val="14"/>
                <w:szCs w:val="18"/>
              </w:rPr>
              <w:t>:</w:t>
            </w:r>
            <w:r>
              <w:rPr>
                <w:i/>
                <w:sz w:val="14"/>
                <w:szCs w:val="18"/>
                <w:lang w:val="mn-MN"/>
              </w:rPr>
              <w:t xml:space="preserve"> </w:t>
            </w:r>
            <w:r>
              <w:rPr>
                <w:sz w:val="14"/>
                <w:szCs w:val="18"/>
                <w:lang w:val="mn-MN"/>
              </w:rPr>
              <w:t>МБ, ДБ-мэргэжилтнүүдийн тооцоо</w:t>
            </w:r>
          </w:p>
        </w:tc>
        <w:tc>
          <w:tcPr>
            <w:tcW w:w="911" w:type="dxa"/>
          </w:tcPr>
          <w:p w14:paraId="059C6FD9" w14:textId="77777777" w:rsidR="008003C7" w:rsidRDefault="008003C7">
            <w:pPr>
              <w:pStyle w:val="NoSpacing"/>
              <w:jc w:val="both"/>
              <w:rPr>
                <w:i/>
                <w:sz w:val="2"/>
                <w:szCs w:val="18"/>
              </w:rPr>
            </w:pPr>
          </w:p>
        </w:tc>
        <w:tc>
          <w:tcPr>
            <w:tcW w:w="4943" w:type="dxa"/>
            <w:gridSpan w:val="2"/>
          </w:tcPr>
          <w:p w14:paraId="5D7B8E27" w14:textId="77777777" w:rsidR="008003C7" w:rsidRDefault="008003C7">
            <w:pPr>
              <w:pStyle w:val="NoSpacing"/>
              <w:jc w:val="both"/>
              <w:rPr>
                <w:sz w:val="14"/>
              </w:rPr>
            </w:pPr>
          </w:p>
        </w:tc>
      </w:tr>
    </w:tbl>
    <w:p w14:paraId="4B12F8BF" w14:textId="77777777" w:rsidR="008003C7" w:rsidRDefault="008003C7" w:rsidP="008003C7">
      <w:pPr>
        <w:jc w:val="both"/>
        <w:rPr>
          <w:rFonts w:ascii="Arial" w:hAnsi="Arial" w:cs="Arial"/>
          <w:sz w:val="4"/>
          <w:szCs w:val="20"/>
        </w:rPr>
      </w:pPr>
    </w:p>
    <w:p w14:paraId="31DD93D9" w14:textId="77777777" w:rsidR="008003C7" w:rsidRDefault="008003C7" w:rsidP="008003C7">
      <w:pPr>
        <w:jc w:val="both"/>
        <w:rPr>
          <w:rFonts w:ascii="Arial" w:hAnsi="Arial" w:cs="Arial"/>
          <w:szCs w:val="20"/>
        </w:rPr>
      </w:pPr>
      <w:r>
        <w:rPr>
          <w:rFonts w:ascii="Arial" w:hAnsi="Arial" w:cs="Arial"/>
          <w:b/>
          <w:sz w:val="20"/>
          <w:szCs w:val="20"/>
          <w:lang w:val="mn-MN"/>
        </w:rPr>
        <w:t xml:space="preserve">Монгол улсын өнөөгийн гадаад хөрөнгө, өр төлбөрийн бүрэлдэхүүн хэсгийг харахад, тус бүс нутагт хэд хэдэн шинээр үүсч байгаа эдийн засгууд өртөөд байсан хөрөнгийн гадагшлах урсгалаас үүдэлтэй их хэмжээний сөрөг нөлөө алга байна. </w:t>
      </w:r>
      <w:r>
        <w:rPr>
          <w:rFonts w:ascii="Arial" w:hAnsi="Arial" w:cs="Arial"/>
          <w:sz w:val="20"/>
          <w:lang w:val="mn-MN"/>
        </w:rPr>
        <w:t xml:space="preserve">2013 оны 6 сарын байдлаар, гадаадын шууд хөрөнгө оруулалтын үлдэгдэл </w:t>
      </w:r>
      <w:r>
        <w:rPr>
          <w:rFonts w:ascii="Arial" w:hAnsi="Arial" w:cs="Arial"/>
          <w:sz w:val="20"/>
        </w:rPr>
        <w:t>15</w:t>
      </w:r>
      <w:r>
        <w:rPr>
          <w:rFonts w:ascii="Arial" w:hAnsi="Arial" w:cs="Arial"/>
          <w:sz w:val="20"/>
          <w:lang w:val="mn-MN"/>
        </w:rPr>
        <w:t xml:space="preserve"> тэрбум ам.долларт байна</w:t>
      </w:r>
      <w:r>
        <w:rPr>
          <w:rFonts w:ascii="Arial" w:hAnsi="Arial" w:cs="Arial"/>
          <w:sz w:val="20"/>
        </w:rPr>
        <w:t xml:space="preserve"> (</w:t>
      </w:r>
      <w:r>
        <w:rPr>
          <w:rFonts w:ascii="Arial" w:hAnsi="Arial" w:cs="Arial"/>
          <w:sz w:val="20"/>
          <w:lang w:val="mn-MN"/>
        </w:rPr>
        <w:t>Зураг</w:t>
      </w:r>
      <w:r>
        <w:rPr>
          <w:rFonts w:ascii="Arial" w:hAnsi="Arial" w:cs="Arial"/>
          <w:sz w:val="20"/>
        </w:rPr>
        <w:t xml:space="preserve"> 49). </w:t>
      </w:r>
      <w:r>
        <w:rPr>
          <w:rFonts w:ascii="Arial" w:hAnsi="Arial" w:cs="Arial"/>
          <w:sz w:val="20"/>
          <w:lang w:val="mn-MN"/>
        </w:rPr>
        <w:t>Монгол улсад орсон гадаадын багцын хөрөнгө оруулалтын үлдэгдэл зөвхөн 2.7 тэрбум ам.доллар байгаагаас үүний дийлэнх нь өнгөрсөн онд гарсан Чингис бондын 1.5 тэрбум ам.доллар болон МУХБ</w:t>
      </w:r>
      <w:r>
        <w:rPr>
          <w:rFonts w:ascii="Arial" w:hAnsi="Arial" w:cs="Arial"/>
          <w:sz w:val="20"/>
        </w:rPr>
        <w:t>-</w:t>
      </w:r>
      <w:r>
        <w:rPr>
          <w:rFonts w:ascii="Arial" w:hAnsi="Arial" w:cs="Arial"/>
          <w:sz w:val="20"/>
          <w:lang w:val="mn-MN"/>
        </w:rPr>
        <w:t xml:space="preserve">ны 580 сая ам.долларын урт хугацааны бондын хөрөнгө оруулалт байна. Одоогийн байгаа гадаад зээл нь ихэвчилэн урт хугацааны өр төлбөр байгаа ба богино хугацааны зээл нь нийт зээлийн </w:t>
      </w:r>
      <w:r>
        <w:rPr>
          <w:rFonts w:ascii="Arial" w:hAnsi="Arial" w:cs="Arial"/>
          <w:sz w:val="20"/>
        </w:rPr>
        <w:t>(</w:t>
      </w:r>
      <w:r>
        <w:rPr>
          <w:rFonts w:ascii="Arial" w:hAnsi="Arial" w:cs="Arial"/>
          <w:sz w:val="20"/>
          <w:lang w:val="mn-MN"/>
        </w:rPr>
        <w:t>3.9 тэрбум ам.долларын</w:t>
      </w:r>
      <w:r>
        <w:rPr>
          <w:rFonts w:ascii="Arial" w:hAnsi="Arial" w:cs="Arial"/>
          <w:sz w:val="20"/>
        </w:rPr>
        <w:t>)</w:t>
      </w:r>
      <w:r>
        <w:rPr>
          <w:rFonts w:ascii="Arial" w:hAnsi="Arial" w:cs="Arial"/>
          <w:sz w:val="20"/>
          <w:lang w:val="mn-MN"/>
        </w:rPr>
        <w:t xml:space="preserve"> зөвхөн 9 хувийг </w:t>
      </w:r>
      <w:r>
        <w:rPr>
          <w:rFonts w:ascii="Arial" w:hAnsi="Arial" w:cs="Arial"/>
          <w:sz w:val="20"/>
        </w:rPr>
        <w:t>(</w:t>
      </w:r>
      <w:r>
        <w:rPr>
          <w:rFonts w:ascii="Arial" w:hAnsi="Arial" w:cs="Arial"/>
          <w:sz w:val="20"/>
          <w:lang w:val="mn-MN"/>
        </w:rPr>
        <w:t>347 сая ам.доллар</w:t>
      </w:r>
      <w:r>
        <w:rPr>
          <w:rFonts w:ascii="Arial" w:hAnsi="Arial" w:cs="Arial"/>
          <w:sz w:val="20"/>
        </w:rPr>
        <w:t>)</w:t>
      </w:r>
      <w:r>
        <w:rPr>
          <w:rFonts w:ascii="Arial" w:hAnsi="Arial" w:cs="Arial"/>
          <w:sz w:val="20"/>
          <w:lang w:val="mn-MN"/>
        </w:rPr>
        <w:t xml:space="preserve"> эзэлж байгаа нь нийт гадаад зээлийн дийлэнх нь засгийн газрын хөнгөлөлттэй зээл байна. </w:t>
      </w:r>
    </w:p>
    <w:p w14:paraId="1C7DCB38" w14:textId="77777777" w:rsidR="008003C7" w:rsidRDefault="008003C7" w:rsidP="008003C7">
      <w:pPr>
        <w:jc w:val="both"/>
        <w:rPr>
          <w:rFonts w:ascii="Arial" w:hAnsi="Arial" w:cs="Arial"/>
          <w:bCs/>
          <w:sz w:val="20"/>
        </w:rPr>
      </w:pPr>
      <w:r>
        <w:rPr>
          <w:rFonts w:ascii="Arial" w:hAnsi="Arial" w:cs="Arial"/>
          <w:b/>
          <w:sz w:val="20"/>
          <w:lang w:val="mn-MN"/>
        </w:rPr>
        <w:t xml:space="preserve">Валютын ханшны саяхны огцом хэлбэлзэл нь зах зээлийн сентимент сул байгааг харуулж байна. </w:t>
      </w:r>
      <w:r>
        <w:rPr>
          <w:rFonts w:ascii="Arial" w:hAnsi="Arial" w:cs="Arial"/>
          <w:sz w:val="20"/>
          <w:lang w:val="mn-MN"/>
        </w:rPr>
        <w:t xml:space="preserve">Дотоод валютын ханш 8 сарын сүүл болон 9 сарын эхний 2 долоо хоногийн хооронд 9 хувиар суларсан. Саяхны энэхүү хэлбэлзэл нь их хэмжээний гадаад тэнцвэргүй байдлаас үүдэж </w:t>
      </w:r>
      <w:r>
        <w:rPr>
          <w:rFonts w:ascii="Arial" w:hAnsi="Arial" w:cs="Arial"/>
          <w:sz w:val="20"/>
          <w:lang w:val="mn-MN"/>
        </w:rPr>
        <w:lastRenderedPageBreak/>
        <w:t>зах зээл суурь хүчийг илэрхийлж байгаа бөгөөд энэ нь дотоодын валютад итгэх итгэл муудснаас үүдэлтэй. Гадаад худалдааны тэнцвэргүй байдал их байгаа мөн ГШХО</w:t>
      </w:r>
      <w:r>
        <w:rPr>
          <w:rFonts w:ascii="Arial" w:hAnsi="Arial" w:cs="Arial"/>
          <w:sz w:val="20"/>
        </w:rPr>
        <w:t>-</w:t>
      </w:r>
      <w:r>
        <w:rPr>
          <w:rFonts w:ascii="Arial" w:hAnsi="Arial" w:cs="Arial"/>
          <w:sz w:val="20"/>
          <w:lang w:val="mn-MN"/>
        </w:rPr>
        <w:t xml:space="preserve">д бууралт гарснаас хөрөнгийн дотогшлох урсгал буурсан нь жилийн туршид дотоодын валютын ханшид үргэлжилсэн дарамт үүсгэж байна. Төсвийн болон мөнгөний тэлэх бодлогууд нь эдийн засагт хэтэрхий урамшуулал олгосноор төлбөрийн тэнцэлд дарамт үүсгэж байна. ОТ асуудлаар сунжирсан маргаантай байдал, гадаадын хөрөнгө оруулалтын зохицуулалтын хүрээ нь тодорхой бус байдал өндөртэй байгаа нь зах зээлийн сентиментыг сулруулж байна. </w:t>
      </w:r>
    </w:p>
    <w:p w14:paraId="20E9DF97" w14:textId="47B1F981" w:rsidR="008003C7" w:rsidRDefault="008003C7" w:rsidP="008003C7">
      <w:pPr>
        <w:jc w:val="both"/>
        <w:rPr>
          <w:rFonts w:ascii="Arial" w:hAnsi="Arial" w:cs="Arial"/>
          <w:sz w:val="20"/>
          <w:szCs w:val="18"/>
        </w:rPr>
      </w:pPr>
      <w:r>
        <w:rPr>
          <w:rFonts w:ascii="Arial" w:hAnsi="Arial" w:cs="Arial"/>
          <w:b/>
          <w:bCs/>
          <w:sz w:val="20"/>
          <w:lang w:val="mn-MN"/>
        </w:rPr>
        <w:t>Валютын ханшны зах зээлд гарсан саяхны үзэгдэл нь төлбөрийн тэнцлийг дарамтад чиглэсэн, хөрөнгийн шинэ дотогшлох урсгалыг татах зөв бодлогууды</w:t>
      </w:r>
      <w:r w:rsidR="00207174">
        <w:rPr>
          <w:rFonts w:ascii="Arial" w:hAnsi="Arial" w:cs="Arial"/>
          <w:b/>
          <w:bCs/>
          <w:sz w:val="20"/>
          <w:lang w:val="mn-MN"/>
        </w:rPr>
        <w:t>г хэрэгжүүлэхийг</w:t>
      </w:r>
      <w:r>
        <w:rPr>
          <w:rFonts w:ascii="Arial" w:hAnsi="Arial" w:cs="Arial"/>
          <w:b/>
          <w:bCs/>
          <w:sz w:val="20"/>
          <w:lang w:val="mn-MN"/>
        </w:rPr>
        <w:t xml:space="preserve"> </w:t>
      </w:r>
      <w:r w:rsidR="00207174">
        <w:rPr>
          <w:rFonts w:ascii="Arial" w:hAnsi="Arial" w:cs="Arial"/>
          <w:b/>
          <w:bCs/>
          <w:sz w:val="20"/>
          <w:lang w:val="mn-MN"/>
        </w:rPr>
        <w:t>чухалчилж</w:t>
      </w:r>
      <w:r>
        <w:rPr>
          <w:rFonts w:ascii="Arial" w:hAnsi="Arial" w:cs="Arial"/>
          <w:b/>
          <w:bCs/>
          <w:sz w:val="20"/>
          <w:lang w:val="mn-MN"/>
        </w:rPr>
        <w:t xml:space="preserve"> байна. </w:t>
      </w:r>
      <w:r>
        <w:rPr>
          <w:rFonts w:ascii="Arial" w:hAnsi="Arial" w:cs="Arial"/>
          <w:sz w:val="20"/>
          <w:szCs w:val="18"/>
          <w:lang w:val="mn-MN"/>
        </w:rPr>
        <w:t xml:space="preserve">Гадаад валютын зах зээл нь хөрөнгийн гэнэтийн гадагшлах урсгалаас үүдсэн их хэмжээний эрсдэл байхгүй учир нь богино хугацааны зээллэг болон гадаад багцын хөрөнгө оруулалт хязгаарлагдмал байгаатай холбоотой боловч зах зээл нь хэд хэдэн сөрөг мэдээллээс үүдэлтэйгээр онцгой эрсдэлд өртөмтгий байна. Энэ утгаараа, макро эдийн засгийн бодлогын удирдлага, хөрөнгө оруулалтын орчинд бүтцийн өөрчлөлт хийх нь валютын ирээдүйн хэлбэлзлээс сэргийлэхэд тустай. </w:t>
      </w:r>
    </w:p>
    <w:p w14:paraId="473358D4" w14:textId="3FE7A673" w:rsidR="008003C7" w:rsidRDefault="008003C7" w:rsidP="008003C7">
      <w:pPr>
        <w:jc w:val="both"/>
        <w:rPr>
          <w:rFonts w:ascii="Arial" w:hAnsi="Arial" w:cs="Arial"/>
          <w:sz w:val="20"/>
        </w:rPr>
      </w:pPr>
      <w:r>
        <w:rPr>
          <w:rFonts w:ascii="Arial" w:hAnsi="Arial" w:cs="Arial"/>
          <w:b/>
          <w:sz w:val="20"/>
          <w:lang w:val="mn-MN"/>
        </w:rPr>
        <w:t xml:space="preserve">Энэ нөхцөл байдлын эсрэг, саяхан шинээр Хөрөнгө оруулалтын хууль баталсан нь зах зээлд эерэг дохио өгч, зах зээлийн сентиментыг тогтворжуулахад тусаллаа. </w:t>
      </w:r>
      <w:r>
        <w:rPr>
          <w:rFonts w:ascii="Arial" w:hAnsi="Arial" w:cs="Arial"/>
          <w:sz w:val="20"/>
          <w:lang w:val="mn-MN"/>
        </w:rPr>
        <w:t xml:space="preserve">Шинээр батлагдсан хөрөнгө оруулалтын хууль нь гадаад болон дотоод хөрөнгө оруулагчид аль аль нь ажиллах суурь болох бөгөөд дунд хугацаанд хөрөнгө оруулалтын тогтвортой орчинг хангах зорилготой. </w:t>
      </w:r>
      <w:proofErr w:type="gramStart"/>
      <w:r>
        <w:rPr>
          <w:rFonts w:ascii="Arial" w:hAnsi="Arial" w:cs="Arial"/>
          <w:sz w:val="20"/>
        </w:rPr>
        <w:t>(</w:t>
      </w:r>
      <w:r>
        <w:rPr>
          <w:rFonts w:ascii="Arial" w:hAnsi="Arial" w:cs="Arial"/>
          <w:sz w:val="20"/>
          <w:lang w:val="mn-MN"/>
        </w:rPr>
        <w:t>Хайрцаг</w:t>
      </w:r>
      <w:r>
        <w:rPr>
          <w:rFonts w:ascii="Arial" w:hAnsi="Arial" w:cs="Arial"/>
          <w:sz w:val="20"/>
        </w:rPr>
        <w:t xml:space="preserve"> 7).</w:t>
      </w:r>
      <w:proofErr w:type="gramEnd"/>
      <w:r>
        <w:rPr>
          <w:rFonts w:ascii="Arial" w:hAnsi="Arial" w:cs="Arial"/>
          <w:sz w:val="20"/>
        </w:rPr>
        <w:t xml:space="preserve"> </w:t>
      </w:r>
      <w:r>
        <w:rPr>
          <w:rFonts w:ascii="Arial" w:hAnsi="Arial" w:cs="Arial"/>
          <w:sz w:val="20"/>
          <w:lang w:val="mn-MN"/>
        </w:rPr>
        <w:t>Ирэх саруудад холбогдох хуулийн орчинд үргэлжилэн сайжру</w:t>
      </w:r>
      <w:r w:rsidR="00207174">
        <w:rPr>
          <w:rFonts w:ascii="Arial" w:hAnsi="Arial" w:cs="Arial"/>
          <w:sz w:val="20"/>
          <w:lang w:val="mn-MN"/>
        </w:rPr>
        <w:t>у</w:t>
      </w:r>
      <w:r>
        <w:rPr>
          <w:rFonts w:ascii="Arial" w:hAnsi="Arial" w:cs="Arial"/>
          <w:sz w:val="20"/>
          <w:lang w:val="mn-MN"/>
        </w:rPr>
        <w:t>ла</w:t>
      </w:r>
      <w:r w:rsidR="00207174">
        <w:rPr>
          <w:rFonts w:ascii="Arial" w:hAnsi="Arial" w:cs="Arial"/>
          <w:sz w:val="20"/>
          <w:lang w:val="mn-MN"/>
        </w:rPr>
        <w:t>л</w:t>
      </w:r>
      <w:r>
        <w:rPr>
          <w:rFonts w:ascii="Arial" w:hAnsi="Arial" w:cs="Arial"/>
          <w:sz w:val="20"/>
          <w:lang w:val="mn-MN"/>
        </w:rPr>
        <w:t>т гарах нь шинэ Хөрөнгө оруулалтын хуул</w:t>
      </w:r>
      <w:r w:rsidR="00207174">
        <w:rPr>
          <w:rFonts w:ascii="Arial" w:hAnsi="Arial" w:cs="Arial"/>
          <w:sz w:val="20"/>
          <w:lang w:val="mn-MN"/>
        </w:rPr>
        <w:t>ь</w:t>
      </w:r>
      <w:r>
        <w:rPr>
          <w:rFonts w:ascii="Arial" w:hAnsi="Arial" w:cs="Arial"/>
          <w:sz w:val="20"/>
          <w:lang w:val="mn-MN"/>
        </w:rPr>
        <w:t xml:space="preserve"> гаргасан эерэг суурийг улам сайжруулахад тустай. </w:t>
      </w:r>
    </w:p>
    <w:tbl>
      <w:tblPr>
        <w:tblpPr w:leftFromText="180" w:rightFromText="180" w:vertAnchor="text" w:horzAnchor="margin" w:tblpXSpec="right" w:tblpY="2321"/>
        <w:tblOverlap w:val="never"/>
        <w:tblW w:w="0" w:type="auto"/>
        <w:tblLook w:val="04A0" w:firstRow="1" w:lastRow="0" w:firstColumn="1" w:lastColumn="0" w:noHBand="0" w:noVBand="1"/>
      </w:tblPr>
      <w:tblGrid>
        <w:gridCol w:w="5294"/>
      </w:tblGrid>
      <w:tr w:rsidR="00207174" w14:paraId="311C21FD" w14:textId="77777777" w:rsidTr="00630B23">
        <w:trPr>
          <w:trHeight w:val="129"/>
        </w:trPr>
        <w:tc>
          <w:tcPr>
            <w:tcW w:w="5294" w:type="dxa"/>
            <w:hideMark/>
          </w:tcPr>
          <w:p w14:paraId="5C1BC9DE" w14:textId="3FD08752" w:rsidR="00207174" w:rsidRPr="00630B23" w:rsidRDefault="00207174" w:rsidP="00630B23">
            <w:pPr>
              <w:pStyle w:val="Caption"/>
              <w:spacing w:after="0"/>
              <w:rPr>
                <w:sz w:val="16"/>
                <w:lang w:val="mn-MN"/>
              </w:rPr>
            </w:pPr>
            <w:bookmarkStart w:id="76" w:name="_Toc371338657"/>
            <w:r>
              <w:rPr>
                <w:sz w:val="16"/>
                <w:szCs w:val="16"/>
                <w:lang w:val="mn-MN"/>
              </w:rPr>
              <w:t>Зураг</w:t>
            </w:r>
            <w:r>
              <w:rPr>
                <w:sz w:val="16"/>
                <w:szCs w:val="16"/>
              </w:rPr>
              <w:t xml:space="preserve"> </w:t>
            </w:r>
            <w:r>
              <w:fldChar w:fldCharType="begin"/>
            </w:r>
            <w:r>
              <w:rPr>
                <w:sz w:val="16"/>
                <w:szCs w:val="16"/>
              </w:rPr>
              <w:instrText xml:space="preserve"> SEQ Figure \* ARABIC </w:instrText>
            </w:r>
            <w:r>
              <w:fldChar w:fldCharType="separate"/>
            </w:r>
            <w:r>
              <w:rPr>
                <w:noProof/>
                <w:sz w:val="16"/>
                <w:szCs w:val="16"/>
              </w:rPr>
              <w:t>50</w:t>
            </w:r>
            <w:r>
              <w:fldChar w:fldCharType="end"/>
            </w:r>
            <w:r>
              <w:rPr>
                <w:sz w:val="16"/>
                <w:szCs w:val="16"/>
              </w:rPr>
              <w:t xml:space="preserve">. </w:t>
            </w:r>
            <w:r>
              <w:rPr>
                <w:sz w:val="16"/>
                <w:szCs w:val="16"/>
                <w:lang w:val="mn-MN"/>
              </w:rPr>
              <w:t>Засгийн газрын бондын өгөөж хэлбэлзэлтэй байна</w:t>
            </w:r>
            <w:bookmarkEnd w:id="76"/>
          </w:p>
        </w:tc>
      </w:tr>
      <w:tr w:rsidR="00207174" w14:paraId="218450FD" w14:textId="77777777" w:rsidTr="00630B23">
        <w:trPr>
          <w:trHeight w:val="3358"/>
        </w:trPr>
        <w:tc>
          <w:tcPr>
            <w:tcW w:w="5294" w:type="dxa"/>
            <w:hideMark/>
          </w:tcPr>
          <w:p w14:paraId="1F50C6AC" w14:textId="53EBDF9C" w:rsidR="00207174" w:rsidRDefault="00207174" w:rsidP="00207174">
            <w:pPr>
              <w:pStyle w:val="Caption"/>
              <w:rPr>
                <w:b w:val="0"/>
                <w:color w:val="auto"/>
                <w:sz w:val="16"/>
              </w:rPr>
            </w:pPr>
            <w:r>
              <w:rPr>
                <w:noProof/>
              </w:rPr>
              <w:drawing>
                <wp:anchor distT="0" distB="0" distL="114300" distR="114300" simplePos="0" relativeHeight="251787776" behindDoc="0" locked="0" layoutInCell="1" allowOverlap="1" wp14:anchorId="6C23BF5E" wp14:editId="592CFA63">
                  <wp:simplePos x="0" y="0"/>
                  <wp:positionH relativeFrom="column">
                    <wp:posOffset>-11430</wp:posOffset>
                  </wp:positionH>
                  <wp:positionV relativeFrom="paragraph">
                    <wp:posOffset>409575</wp:posOffset>
                  </wp:positionV>
                  <wp:extent cx="3224530" cy="1852930"/>
                  <wp:effectExtent l="0" t="0" r="0" b="0"/>
                  <wp:wrapSquare wrapText="bothSides"/>
                  <wp:docPr id="338" name="Chart 338"/>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page">
                    <wp14:pctWidth>0</wp14:pctWidth>
                  </wp14:sizeRelH>
                  <wp14:sizeRelV relativeFrom="page">
                    <wp14:pctHeight>0</wp14:pctHeight>
                  </wp14:sizeRelV>
                </wp:anchor>
              </w:drawing>
            </w:r>
            <w:r>
              <w:rPr>
                <w:b w:val="0"/>
                <w:color w:val="auto"/>
                <w:sz w:val="16"/>
                <w:lang w:val="mn-MN"/>
              </w:rPr>
              <w:t>Хугацаа нь дуусах хүртэл зах зээлийн бондын өгөөж</w:t>
            </w:r>
            <w:r>
              <w:rPr>
                <w:b w:val="0"/>
                <w:color w:val="auto"/>
                <w:sz w:val="16"/>
              </w:rPr>
              <w:t xml:space="preserve">: </w:t>
            </w:r>
            <w:r>
              <w:rPr>
                <w:b w:val="0"/>
                <w:color w:val="auto"/>
                <w:sz w:val="16"/>
                <w:lang w:val="mn-MN"/>
              </w:rPr>
              <w:t>Чингис болон МУХБ бонд</w:t>
            </w:r>
            <w:r>
              <w:rPr>
                <w:b w:val="0"/>
                <w:color w:val="auto"/>
                <w:sz w:val="16"/>
              </w:rPr>
              <w:t xml:space="preserve"> (%)</w:t>
            </w:r>
          </w:p>
          <w:p w14:paraId="78E26D34" w14:textId="77777777" w:rsidR="00207174" w:rsidRPr="00630B23" w:rsidRDefault="00207174" w:rsidP="00207174">
            <w:pPr>
              <w:rPr>
                <w:sz w:val="2"/>
              </w:rPr>
            </w:pPr>
          </w:p>
        </w:tc>
      </w:tr>
    </w:tbl>
    <w:p w14:paraId="17E3A6F8" w14:textId="42BA0C5D" w:rsidR="008003C7" w:rsidRDefault="00207174" w:rsidP="008003C7">
      <w:pPr>
        <w:jc w:val="both"/>
        <w:rPr>
          <w:rFonts w:ascii="Arial" w:hAnsi="Arial" w:cs="Arial"/>
          <w:sz w:val="20"/>
          <w:lang w:val="mn-MN"/>
        </w:rPr>
      </w:pPr>
      <w:r>
        <w:rPr>
          <w:rFonts w:ascii="Arial" w:hAnsi="Arial" w:cs="Arial"/>
          <w:b/>
          <w:sz w:val="20"/>
          <w:lang w:val="mn-MN"/>
        </w:rPr>
        <w:t xml:space="preserve"> </w:t>
      </w:r>
      <w:r w:rsidR="008003C7">
        <w:rPr>
          <w:rFonts w:ascii="Arial" w:hAnsi="Arial" w:cs="Arial"/>
          <w:b/>
          <w:sz w:val="20"/>
          <w:lang w:val="mn-MN"/>
        </w:rPr>
        <w:t xml:space="preserve">Макро эдийн засгийн зөв бодлогууд нь төлбөрийн тэнцлийн дарамтын суурь шалтгаануудыг шийдэхэд чухал байна. </w:t>
      </w:r>
      <w:r w:rsidR="008003C7">
        <w:rPr>
          <w:rFonts w:ascii="Arial" w:hAnsi="Arial" w:cs="Arial"/>
          <w:sz w:val="20"/>
          <w:lang w:val="mn-MN"/>
        </w:rPr>
        <w:t>Саяхны баталсан хөрөнгө оруулалтын хуулийг оруулаад хөрөнгө оруулалтын орчин сайжрах нь гадаад хөрөнгө оруулалтыг ирээдүйд татахад туслах бөгөөд гадаад хөрөнгө оруулагчид Монгол улсад шинэ хөрөнгө оруулалт хийх амлалт үзүүлэх, өөрсдийн хөрөнгө оруулалтын төлөвлөгөөнд өөрчлөлт хийхэд тодорхой хугацаа шаардлагатай. Мөн төсвийн болон мөнгөний хүчтэй тэлэх бодлогоор дэмжигдсэн нийт эрэлт хүчтэй байгаа нь импортыг экспортоос даван гарахад хүргэж байна</w:t>
      </w:r>
      <w:r w:rsidR="008003C7">
        <w:rPr>
          <w:rFonts w:ascii="Arial" w:hAnsi="Arial" w:cs="Arial"/>
          <w:sz w:val="20"/>
        </w:rPr>
        <w:t xml:space="preserve">; </w:t>
      </w:r>
      <w:r w:rsidR="008003C7">
        <w:rPr>
          <w:rFonts w:ascii="Arial" w:hAnsi="Arial" w:cs="Arial"/>
          <w:sz w:val="20"/>
          <w:lang w:val="mn-MN"/>
        </w:rPr>
        <w:t xml:space="preserve">хэдийгээр ОТ уурхайгаас экспортыг нэмэгдүүлж байгаа ч нийт эрэлт бууруулахгүй бол урсгал дансны алдагдал өндөр хэвээрээ байхаар байна. Энэ утгаараа макро эдийн засгийн бодлогууд нь өсөн нэмэгдэж байгаа урсгал дансны алдагдлыг шийдэхэд чухал байна. </w:t>
      </w:r>
    </w:p>
    <w:p w14:paraId="3C55CBFB" w14:textId="77777777" w:rsidR="008003C7" w:rsidRDefault="008003C7" w:rsidP="008003C7">
      <w:pPr>
        <w:jc w:val="both"/>
        <w:rPr>
          <w:rFonts w:ascii="Arial" w:hAnsi="Arial" w:cs="Arial"/>
          <w:sz w:val="20"/>
          <w:szCs w:val="18"/>
        </w:rPr>
      </w:pPr>
      <w:r>
        <w:rPr>
          <w:rFonts w:ascii="Arial" w:hAnsi="Arial" w:cs="Arial"/>
          <w:b/>
          <w:sz w:val="20"/>
          <w:szCs w:val="18"/>
          <w:lang w:val="mn-MN"/>
        </w:rPr>
        <w:t xml:space="preserve">Монгол улсын удирдлагууд олон улсын санхүүгийн зах зээл Монгол улсын эдийн засаг, улс төрийн орчинг хэрхэн харж байгаад онцгой анхаарлаа хандуулах хэрэгтэй. </w:t>
      </w:r>
      <w:r>
        <w:rPr>
          <w:rFonts w:ascii="Arial" w:hAnsi="Arial" w:cs="Arial"/>
          <w:sz w:val="20"/>
          <w:szCs w:val="18"/>
          <w:lang w:val="mn-MN"/>
        </w:rPr>
        <w:t>Сайн нэг үзүүлэлт нь Чингис бонд болон МУХБ</w:t>
      </w:r>
      <w:r>
        <w:rPr>
          <w:rFonts w:ascii="Arial" w:hAnsi="Arial" w:cs="Arial"/>
          <w:sz w:val="20"/>
          <w:szCs w:val="18"/>
        </w:rPr>
        <w:t>-</w:t>
      </w:r>
      <w:r>
        <w:rPr>
          <w:rFonts w:ascii="Arial" w:hAnsi="Arial" w:cs="Arial"/>
          <w:sz w:val="20"/>
          <w:szCs w:val="18"/>
          <w:lang w:val="mn-MN"/>
        </w:rPr>
        <w:t xml:space="preserve">ны бондуудын хоёрдогч зах зээлийн үр өгөөж байх юм. Чингис бондыг </w:t>
      </w:r>
      <w:r>
        <w:rPr>
          <w:rFonts w:ascii="Arial" w:hAnsi="Arial" w:cs="Arial"/>
          <w:sz w:val="20"/>
          <w:szCs w:val="18"/>
        </w:rPr>
        <w:t>2012</w:t>
      </w:r>
      <w:r>
        <w:rPr>
          <w:rFonts w:ascii="Arial" w:hAnsi="Arial" w:cs="Arial"/>
          <w:sz w:val="20"/>
          <w:szCs w:val="18"/>
          <w:lang w:val="mn-MN"/>
        </w:rPr>
        <w:t xml:space="preserve"> оны 12 сард гарсан</w:t>
      </w:r>
      <w:r>
        <w:rPr>
          <w:rFonts w:ascii="Arial" w:hAnsi="Arial" w:cs="Arial"/>
          <w:sz w:val="20"/>
          <w:szCs w:val="18"/>
        </w:rPr>
        <w:t xml:space="preserve">; </w:t>
      </w:r>
      <w:r>
        <w:rPr>
          <w:rFonts w:ascii="Arial" w:hAnsi="Arial" w:cs="Arial"/>
          <w:sz w:val="20"/>
          <w:szCs w:val="18"/>
          <w:lang w:val="mn-MN"/>
        </w:rPr>
        <w:t xml:space="preserve">таван жилийн хугацаатай </w:t>
      </w:r>
      <w:r>
        <w:rPr>
          <w:rFonts w:ascii="Arial" w:hAnsi="Arial" w:cs="Arial"/>
          <w:sz w:val="20"/>
          <w:szCs w:val="18"/>
        </w:rPr>
        <w:t>500</w:t>
      </w:r>
      <w:r>
        <w:rPr>
          <w:rFonts w:ascii="Arial" w:hAnsi="Arial" w:cs="Arial"/>
          <w:sz w:val="20"/>
          <w:szCs w:val="18"/>
          <w:lang w:val="mn-MN"/>
        </w:rPr>
        <w:t xml:space="preserve"> сая ам.долларыг</w:t>
      </w:r>
      <w:r>
        <w:rPr>
          <w:rFonts w:ascii="Arial" w:hAnsi="Arial" w:cs="Arial"/>
          <w:sz w:val="20"/>
          <w:szCs w:val="18"/>
        </w:rPr>
        <w:t xml:space="preserve"> 4.125 </w:t>
      </w:r>
      <w:r>
        <w:rPr>
          <w:rFonts w:ascii="Arial" w:hAnsi="Arial" w:cs="Arial"/>
          <w:sz w:val="20"/>
          <w:szCs w:val="18"/>
          <w:lang w:val="mn-MN"/>
        </w:rPr>
        <w:t xml:space="preserve">хүүтэй, мөн </w:t>
      </w:r>
      <w:r>
        <w:rPr>
          <w:rFonts w:ascii="Arial" w:hAnsi="Arial" w:cs="Arial"/>
          <w:sz w:val="20"/>
          <w:szCs w:val="18"/>
        </w:rPr>
        <w:t xml:space="preserve">1 </w:t>
      </w:r>
      <w:r>
        <w:rPr>
          <w:rFonts w:ascii="Arial" w:hAnsi="Arial" w:cs="Arial"/>
          <w:sz w:val="20"/>
          <w:szCs w:val="18"/>
          <w:lang w:val="mn-MN"/>
        </w:rPr>
        <w:t xml:space="preserve">тэрбум ам.долларыг арван жилийн хугацаатай </w:t>
      </w:r>
      <w:r>
        <w:rPr>
          <w:rFonts w:ascii="Arial" w:hAnsi="Arial" w:cs="Arial"/>
          <w:sz w:val="20"/>
          <w:szCs w:val="18"/>
        </w:rPr>
        <w:t xml:space="preserve">5.125 </w:t>
      </w:r>
      <w:r>
        <w:rPr>
          <w:rFonts w:ascii="Arial" w:hAnsi="Arial" w:cs="Arial"/>
          <w:sz w:val="20"/>
          <w:szCs w:val="18"/>
          <w:lang w:val="mn-MN"/>
        </w:rPr>
        <w:t>хувьтай гаргасан. Таван жилийн хугацаатай МУХБ</w:t>
      </w:r>
      <w:r>
        <w:rPr>
          <w:rFonts w:ascii="Arial" w:hAnsi="Arial" w:cs="Arial"/>
          <w:sz w:val="20"/>
          <w:szCs w:val="18"/>
        </w:rPr>
        <w:t>-</w:t>
      </w:r>
      <w:r>
        <w:rPr>
          <w:rFonts w:ascii="Arial" w:hAnsi="Arial" w:cs="Arial"/>
          <w:sz w:val="20"/>
          <w:szCs w:val="18"/>
          <w:lang w:val="mn-MN"/>
        </w:rPr>
        <w:t xml:space="preserve">ны </w:t>
      </w:r>
      <w:r>
        <w:rPr>
          <w:rFonts w:ascii="Arial" w:hAnsi="Arial" w:cs="Arial"/>
          <w:sz w:val="20"/>
          <w:szCs w:val="18"/>
        </w:rPr>
        <w:t>580</w:t>
      </w:r>
      <w:r>
        <w:rPr>
          <w:rFonts w:ascii="Arial" w:hAnsi="Arial" w:cs="Arial"/>
          <w:sz w:val="20"/>
          <w:szCs w:val="18"/>
          <w:lang w:val="mn-MN"/>
        </w:rPr>
        <w:t xml:space="preserve"> сая </w:t>
      </w:r>
      <w:r>
        <w:rPr>
          <w:rFonts w:ascii="Arial" w:hAnsi="Arial" w:cs="Arial"/>
          <w:sz w:val="20"/>
          <w:szCs w:val="18"/>
          <w:lang w:val="mn-MN"/>
        </w:rPr>
        <w:lastRenderedPageBreak/>
        <w:t xml:space="preserve">ам.долларыг 2012 оны 3 дугаар сард </w:t>
      </w:r>
      <w:r>
        <w:rPr>
          <w:rFonts w:ascii="Arial" w:hAnsi="Arial" w:cs="Arial"/>
          <w:sz w:val="20"/>
          <w:szCs w:val="18"/>
        </w:rPr>
        <w:t xml:space="preserve">5.75 </w:t>
      </w:r>
      <w:r>
        <w:rPr>
          <w:rFonts w:ascii="Arial" w:hAnsi="Arial" w:cs="Arial"/>
          <w:sz w:val="20"/>
          <w:szCs w:val="18"/>
          <w:lang w:val="mn-MN"/>
        </w:rPr>
        <w:t>хүүтэй гаргасан</w:t>
      </w:r>
      <w:r>
        <w:rPr>
          <w:rFonts w:ascii="Arial" w:hAnsi="Arial" w:cs="Arial"/>
          <w:sz w:val="20"/>
          <w:szCs w:val="18"/>
        </w:rPr>
        <w:t xml:space="preserve">. </w:t>
      </w:r>
    </w:p>
    <w:p w14:paraId="427F3D37" w14:textId="77777777" w:rsidR="008003C7" w:rsidRDefault="008003C7" w:rsidP="008003C7">
      <w:pPr>
        <w:jc w:val="both"/>
        <w:rPr>
          <w:rFonts w:ascii="Arial" w:hAnsi="Arial" w:cs="Arial"/>
          <w:sz w:val="20"/>
          <w:szCs w:val="18"/>
        </w:rPr>
      </w:pPr>
      <w:r>
        <w:rPr>
          <w:rFonts w:ascii="Arial" w:hAnsi="Arial" w:cs="Arial"/>
          <w:b/>
          <w:sz w:val="20"/>
          <w:szCs w:val="18"/>
          <w:lang w:val="mn-MN"/>
        </w:rPr>
        <w:t xml:space="preserve">Засгийн газрын бондын зах зээлийн өгөөж нь жилийн туршид тогтвортой өсөх хандлагатай байсан бол 6 сарын дунд үеэс хурдасч эхэлсэн нь төсвийн байдал, эдийн засгийн төлөв байдлаар асуудал нэмэгдэж байгааг илэрхийлж байна. </w:t>
      </w:r>
      <w:r>
        <w:rPr>
          <w:rFonts w:ascii="Arial" w:hAnsi="Arial" w:cs="Arial"/>
          <w:sz w:val="20"/>
          <w:szCs w:val="18"/>
          <w:lang w:val="mn-MN"/>
        </w:rPr>
        <w:t>10 жилийн хугацаатай Чингис бондын өгөөж нь 9 сарын 9</w:t>
      </w:r>
      <w:r>
        <w:rPr>
          <w:rFonts w:ascii="Arial" w:hAnsi="Arial" w:cs="Arial"/>
          <w:sz w:val="20"/>
          <w:szCs w:val="18"/>
        </w:rPr>
        <w:t>-</w:t>
      </w:r>
      <w:r>
        <w:rPr>
          <w:rFonts w:ascii="Arial" w:hAnsi="Arial" w:cs="Arial"/>
          <w:sz w:val="20"/>
          <w:szCs w:val="18"/>
          <w:lang w:val="mn-MN"/>
        </w:rPr>
        <w:t xml:space="preserve">нд валютын ханш хурдацтайгаар суларч байх үед хамгийн өндөр түвшиндээ буюу </w:t>
      </w:r>
      <w:r>
        <w:rPr>
          <w:rFonts w:ascii="Arial" w:hAnsi="Arial" w:cs="Arial"/>
          <w:sz w:val="20"/>
          <w:szCs w:val="18"/>
        </w:rPr>
        <w:t>8.1</w:t>
      </w:r>
      <w:r>
        <w:rPr>
          <w:rFonts w:ascii="Arial" w:hAnsi="Arial" w:cs="Arial"/>
          <w:sz w:val="20"/>
          <w:szCs w:val="18"/>
          <w:lang w:val="mn-MN"/>
        </w:rPr>
        <w:t xml:space="preserve"> хувиас илүү байлаа. Валютын ханшийг тогтворжуулсан, шинэ хөрөнгө оруулалтын тухай хууль гаргасан болон 2013 болон 2014 онуудад төсвийг сайжруулах төлөвлөгөө зэрэг хэд хэдэн эерэг мэдээллийн дараагаар 9 сарын дунд үеэс тогтворжиж эхэлсэн. </w:t>
      </w:r>
    </w:p>
    <w:p w14:paraId="265C4970" w14:textId="304E1F57" w:rsidR="008003C7" w:rsidRDefault="008003C7" w:rsidP="008003C7">
      <w:pPr>
        <w:jc w:val="both"/>
        <w:rPr>
          <w:rFonts w:ascii="Arial" w:hAnsi="Arial" w:cs="Arial"/>
          <w:sz w:val="20"/>
          <w:szCs w:val="18"/>
        </w:rPr>
      </w:pPr>
      <w:r>
        <w:rPr>
          <w:rFonts w:ascii="Arial" w:hAnsi="Arial" w:cs="Arial"/>
          <w:b/>
          <w:sz w:val="20"/>
          <w:szCs w:val="18"/>
          <w:lang w:val="mn-MN"/>
        </w:rPr>
        <w:t xml:space="preserve">Засгийн газрын бондыг зах зээл хүлээн авч байна гэдэг нь Монгол улс дэлхийн санхүүгийн зах зээлийн нэг хэсэг болж байна гэсэн үг. </w:t>
      </w:r>
      <w:r>
        <w:rPr>
          <w:rFonts w:ascii="Arial" w:hAnsi="Arial" w:cs="Arial"/>
          <w:sz w:val="20"/>
          <w:szCs w:val="18"/>
          <w:lang w:val="mn-MN"/>
        </w:rPr>
        <w:t xml:space="preserve">Бондын өгөөж өндөр хэлбэлзэмтгий байна гэдэг нь дэлхийн санхүүгийн зах зээл Монгол улсын эдийн засгийн хөгжил, тогтвортой байдлыг түүний эдийн засгийн бодлогоор тогтмол хянаж байгааг хэлж байна. Засгийн газрын бондын өгөөж өндөр байна гэдэг нь ирээдүйн засгийн газрын </w:t>
      </w:r>
      <w:r w:rsidR="00C76DD8">
        <w:rPr>
          <w:rFonts w:ascii="Arial" w:hAnsi="Arial" w:cs="Arial"/>
          <w:sz w:val="20"/>
          <w:szCs w:val="18"/>
          <w:lang w:val="mn-MN"/>
        </w:rPr>
        <w:t xml:space="preserve">гадаад </w:t>
      </w:r>
      <w:r>
        <w:rPr>
          <w:rFonts w:ascii="Arial" w:hAnsi="Arial" w:cs="Arial"/>
          <w:sz w:val="20"/>
          <w:szCs w:val="18"/>
          <w:lang w:val="mn-MN"/>
        </w:rPr>
        <w:t xml:space="preserve">санхүүжилт нь 2012 онд бидний харсан шиг тааламжтай нөхцөл байхгүй байгааг мөн илэрхийлнэ, энэ үед дэлхийн хөрвөх байдал нэмэгдсэн, АНУ хүчтэй тоо хэмжээний сулруулалт хийж эхэлснээр олон улсын хөрөнгө оруулагчид илүү өндөр өгөөжтэй бондыг хайх хандлагатай болсны улмаас шинээр үүсч байгаа бондын зах зээлд нэмэлт өсөлтийг авчирсан. </w:t>
      </w:r>
    </w:p>
    <w:p w14:paraId="3D7A1B17" w14:textId="77777777" w:rsidR="008003C7" w:rsidRDefault="008003C7" w:rsidP="008003C7">
      <w:pPr>
        <w:jc w:val="both"/>
        <w:rPr>
          <w:rFonts w:ascii="Arial" w:hAnsi="Arial" w:cs="Arial"/>
          <w:sz w:val="20"/>
          <w:szCs w:val="18"/>
        </w:rPr>
      </w:pPr>
      <w:r>
        <w:rPr>
          <w:rFonts w:ascii="Arial" w:hAnsi="Arial" w:cs="Arial"/>
          <w:b/>
          <w:sz w:val="20"/>
          <w:szCs w:val="18"/>
          <w:lang w:val="mn-MN"/>
        </w:rPr>
        <w:t>Олон улсын зээлжих зэрэглэлийн агентлагуудын</w:t>
      </w:r>
      <w:r>
        <w:rPr>
          <w:rStyle w:val="FootnoteReference"/>
          <w:rFonts w:ascii="Arial" w:hAnsi="Arial" w:cs="Arial"/>
          <w:b/>
          <w:sz w:val="20"/>
          <w:szCs w:val="18"/>
        </w:rPr>
        <w:footnoteReference w:id="11"/>
      </w:r>
      <w:r>
        <w:rPr>
          <w:rFonts w:ascii="Arial" w:hAnsi="Arial" w:cs="Arial"/>
          <w:b/>
          <w:sz w:val="20"/>
          <w:szCs w:val="18"/>
          <w:lang w:val="mn-MN"/>
        </w:rPr>
        <w:t xml:space="preserve"> гаргасан хэд хэдэн зөвлөмжид олон улсын хөрөнгө оруулагчдын зүгээс засгийн газрын бондын өгөөжийг хэлбэлзүүлэхэд юу нөлөөлж байгааг гаргаж тайлбарласан байна</w:t>
      </w:r>
      <w:r>
        <w:rPr>
          <w:rFonts w:ascii="Arial" w:hAnsi="Arial" w:cs="Arial"/>
          <w:b/>
          <w:sz w:val="20"/>
          <w:szCs w:val="18"/>
        </w:rPr>
        <w:t>.</w:t>
      </w:r>
      <w:r>
        <w:rPr>
          <w:rFonts w:ascii="Arial" w:hAnsi="Arial" w:cs="Arial"/>
          <w:sz w:val="20"/>
          <w:szCs w:val="18"/>
        </w:rPr>
        <w:t xml:space="preserve"> </w:t>
      </w:r>
      <w:proofErr w:type="gramStart"/>
      <w:r>
        <w:rPr>
          <w:rFonts w:ascii="Arial" w:hAnsi="Arial" w:cs="Arial"/>
          <w:sz w:val="20"/>
          <w:szCs w:val="18"/>
        </w:rPr>
        <w:t>Бүх л зээлжих зэрэглэлийн агентлагууд Монгол улс нь баялаг байгалийн нөөцийн улмаас эдийн засгийн хүчтэй өсөлт үзүүлэх боломжтойг хүлээн зөвшөөрсөн.</w:t>
      </w:r>
      <w:proofErr w:type="gramEnd"/>
      <w:r>
        <w:rPr>
          <w:rFonts w:ascii="Arial" w:hAnsi="Arial" w:cs="Arial"/>
          <w:sz w:val="20"/>
          <w:szCs w:val="18"/>
        </w:rPr>
        <w:t xml:space="preserve"> </w:t>
      </w:r>
      <w:proofErr w:type="gramStart"/>
      <w:r>
        <w:rPr>
          <w:rFonts w:ascii="Arial" w:hAnsi="Arial" w:cs="Arial"/>
          <w:sz w:val="20"/>
          <w:szCs w:val="18"/>
        </w:rPr>
        <w:t>Гэвч олон тооны олон улсын зээлжих зэрэглэлийн агентлагуудыг хэлж байгаа нийтлэг эрсдлийн хүчин зүйлсүүдэд анхаарлаа хандуулах ёстой.</w:t>
      </w:r>
      <w:proofErr w:type="gramEnd"/>
      <w:r>
        <w:rPr>
          <w:rFonts w:ascii="Arial" w:hAnsi="Arial" w:cs="Arial"/>
          <w:sz w:val="20"/>
          <w:szCs w:val="18"/>
        </w:rPr>
        <w:t xml:space="preserve"> </w:t>
      </w:r>
      <w:r>
        <w:rPr>
          <w:rFonts w:ascii="Arial" w:hAnsi="Arial" w:cs="Arial"/>
          <w:sz w:val="20"/>
          <w:szCs w:val="18"/>
          <w:lang w:val="mn-MN"/>
        </w:rPr>
        <w:t>Тэд</w:t>
      </w:r>
      <w:r>
        <w:rPr>
          <w:rFonts w:ascii="Arial" w:hAnsi="Arial" w:cs="Arial"/>
          <w:sz w:val="20"/>
          <w:szCs w:val="18"/>
        </w:rPr>
        <w:t xml:space="preserve">: (i) </w:t>
      </w:r>
      <w:r>
        <w:rPr>
          <w:rFonts w:ascii="Arial" w:hAnsi="Arial" w:cs="Arial"/>
          <w:sz w:val="20"/>
          <w:szCs w:val="18"/>
          <w:lang w:val="mn-MN"/>
        </w:rPr>
        <w:t>дэлхийн уул уурхайн зах зээлийн мөчлөгийн хэлбэлзэмтгий байдлаас үүдэлтэйгээр тухайн улсын эдийн засаг нь уналт</w:t>
      </w:r>
      <w:r>
        <w:rPr>
          <w:rFonts w:ascii="Arial" w:hAnsi="Arial" w:cs="Arial"/>
          <w:sz w:val="20"/>
          <w:szCs w:val="18"/>
        </w:rPr>
        <w:t>-</w:t>
      </w:r>
      <w:r>
        <w:rPr>
          <w:rFonts w:ascii="Arial" w:hAnsi="Arial" w:cs="Arial"/>
          <w:sz w:val="20"/>
          <w:szCs w:val="18"/>
          <w:lang w:val="mn-MN"/>
        </w:rPr>
        <w:t>өсөлтийн мөчлөгт хэт эмзэг байна</w:t>
      </w:r>
      <w:r>
        <w:rPr>
          <w:rFonts w:ascii="Arial" w:hAnsi="Arial" w:cs="Arial"/>
          <w:sz w:val="20"/>
          <w:szCs w:val="18"/>
        </w:rPr>
        <w:t xml:space="preserve">; (ii) </w:t>
      </w:r>
      <w:r>
        <w:rPr>
          <w:rFonts w:ascii="Arial" w:hAnsi="Arial" w:cs="Arial"/>
          <w:sz w:val="20"/>
          <w:szCs w:val="18"/>
          <w:lang w:val="mn-MN"/>
        </w:rPr>
        <w:t>макро эдийн засгийн тэлэх бодлогуудын улмаас гадаад тэнцвэргүй байдал улам муудаж байгааг</w:t>
      </w:r>
      <w:r>
        <w:rPr>
          <w:rFonts w:ascii="Arial" w:hAnsi="Arial" w:cs="Arial"/>
          <w:sz w:val="20"/>
          <w:szCs w:val="18"/>
        </w:rPr>
        <w:t xml:space="preserve">; (iii) </w:t>
      </w:r>
      <w:r>
        <w:rPr>
          <w:rFonts w:ascii="Arial" w:hAnsi="Arial" w:cs="Arial"/>
          <w:sz w:val="20"/>
          <w:szCs w:val="18"/>
          <w:lang w:val="mn-MN"/>
        </w:rPr>
        <w:t>төсвөөс гадуурхи зарлага дээр суурилсан мөчлөг дагасан сангийн бодлого болон Төсвийн тогтвортой байдлын тухай хуулийн төсвийн зарчмуудыг үл харгалзан өрөөр санхүүжих</w:t>
      </w:r>
      <w:r>
        <w:rPr>
          <w:rFonts w:ascii="Arial" w:hAnsi="Arial" w:cs="Arial"/>
          <w:sz w:val="20"/>
          <w:szCs w:val="18"/>
        </w:rPr>
        <w:t xml:space="preserve">; (iv) </w:t>
      </w:r>
      <w:r>
        <w:rPr>
          <w:rFonts w:ascii="Arial" w:hAnsi="Arial" w:cs="Arial"/>
          <w:sz w:val="20"/>
          <w:szCs w:val="18"/>
          <w:lang w:val="mn-MN"/>
        </w:rPr>
        <w:t>хөрөнгө оруулалтын таамаглашгүй тогтолцоо</w:t>
      </w:r>
      <w:r>
        <w:rPr>
          <w:rFonts w:ascii="Arial" w:hAnsi="Arial" w:cs="Arial"/>
          <w:sz w:val="20"/>
          <w:szCs w:val="18"/>
        </w:rPr>
        <w:t xml:space="preserve">; </w:t>
      </w:r>
      <w:r>
        <w:rPr>
          <w:rFonts w:ascii="Arial" w:hAnsi="Arial" w:cs="Arial"/>
          <w:sz w:val="20"/>
          <w:szCs w:val="18"/>
          <w:lang w:val="mn-MN"/>
        </w:rPr>
        <w:t>мөн</w:t>
      </w:r>
      <w:r>
        <w:rPr>
          <w:rFonts w:ascii="Arial" w:hAnsi="Arial" w:cs="Arial"/>
          <w:sz w:val="20"/>
          <w:szCs w:val="18"/>
        </w:rPr>
        <w:t xml:space="preserve"> (v) </w:t>
      </w:r>
      <w:r>
        <w:rPr>
          <w:rFonts w:ascii="Arial" w:hAnsi="Arial" w:cs="Arial"/>
          <w:sz w:val="20"/>
          <w:szCs w:val="18"/>
          <w:lang w:val="mn-MN"/>
        </w:rPr>
        <w:t>зээлийн хурдацтай өсөлтийн үед банкны салбарын эмзэг байдал болон ил тод байдал, Хадгаламж банкны саяхны үйл явдал.</w:t>
      </w:r>
    </w:p>
    <w:tbl>
      <w:tblPr>
        <w:tblW w:w="9648" w:type="dxa"/>
        <w:tblLook w:val="04A0" w:firstRow="1" w:lastRow="0" w:firstColumn="1" w:lastColumn="0" w:noHBand="0" w:noVBand="1"/>
      </w:tblPr>
      <w:tblGrid>
        <w:gridCol w:w="9576"/>
        <w:gridCol w:w="72"/>
      </w:tblGrid>
      <w:tr w:rsidR="008003C7" w14:paraId="22D65272" w14:textId="77777777" w:rsidTr="00630B23">
        <w:trPr>
          <w:gridAfter w:val="1"/>
          <w:wAfter w:w="72" w:type="dxa"/>
        </w:trPr>
        <w:tc>
          <w:tcPr>
            <w:tcW w:w="9576" w:type="dxa"/>
            <w:tcBorders>
              <w:top w:val="single" w:sz="4" w:space="0" w:color="auto"/>
              <w:left w:val="single" w:sz="4" w:space="0" w:color="auto"/>
              <w:bottom w:val="single" w:sz="4" w:space="0" w:color="auto"/>
              <w:right w:val="single" w:sz="4" w:space="0" w:color="auto"/>
            </w:tcBorders>
          </w:tcPr>
          <w:p w14:paraId="68FC9705" w14:textId="77777777" w:rsidR="008003C7" w:rsidRDefault="008003C7">
            <w:pPr>
              <w:pStyle w:val="Caption"/>
              <w:keepNext/>
              <w:rPr>
                <w:rFonts w:ascii="Arial" w:hAnsi="Arial" w:cs="Arial"/>
                <w:lang w:val="mn-MN"/>
              </w:rPr>
            </w:pPr>
            <w:bookmarkStart w:id="77" w:name="_Toc371339046"/>
            <w:r>
              <w:rPr>
                <w:rFonts w:ascii="Arial" w:hAnsi="Arial" w:cs="Arial"/>
                <w:lang w:val="mn-MN"/>
              </w:rPr>
              <w:lastRenderedPageBreak/>
              <w:t xml:space="preserve">Хайрцаг </w:t>
            </w:r>
            <w:r>
              <w:fldChar w:fldCharType="begin"/>
            </w:r>
            <w:r>
              <w:rPr>
                <w:rFonts w:ascii="Arial" w:hAnsi="Arial" w:cs="Arial"/>
              </w:rPr>
              <w:instrText xml:space="preserve"> SEQ Box \* ARABIC </w:instrText>
            </w:r>
            <w:r>
              <w:fldChar w:fldCharType="separate"/>
            </w:r>
            <w:r>
              <w:rPr>
                <w:rFonts w:ascii="Arial" w:hAnsi="Arial" w:cs="Arial"/>
                <w:noProof/>
              </w:rPr>
              <w:t>7</w:t>
            </w:r>
            <w:r>
              <w:fldChar w:fldCharType="end"/>
            </w:r>
            <w:r>
              <w:rPr>
                <w:rFonts w:ascii="Arial" w:hAnsi="Arial" w:cs="Arial"/>
              </w:rPr>
              <w:t xml:space="preserve">. </w:t>
            </w:r>
            <w:r>
              <w:rPr>
                <w:rFonts w:ascii="Arial" w:hAnsi="Arial" w:cs="Arial"/>
                <w:lang w:val="mn-MN"/>
              </w:rPr>
              <w:t>Хөрөнгө оруулалтын шинэ хуулийн гол шинжүүд</w:t>
            </w:r>
            <w:bookmarkEnd w:id="77"/>
            <w:r>
              <w:rPr>
                <w:rFonts w:ascii="Arial" w:hAnsi="Arial" w:cs="Arial"/>
                <w:lang w:val="mn-MN"/>
              </w:rPr>
              <w:t xml:space="preserve"> </w:t>
            </w:r>
          </w:p>
          <w:p w14:paraId="3D3A7794" w14:textId="6431366E" w:rsidR="008003C7" w:rsidRDefault="008003C7">
            <w:pPr>
              <w:jc w:val="both"/>
              <w:rPr>
                <w:rFonts w:ascii="Arial" w:hAnsi="Arial" w:cs="Arial"/>
                <w:sz w:val="18"/>
                <w:szCs w:val="18"/>
              </w:rPr>
            </w:pPr>
            <w:r>
              <w:rPr>
                <w:rFonts w:ascii="Arial" w:hAnsi="Arial" w:cs="Arial"/>
                <w:sz w:val="18"/>
                <w:szCs w:val="18"/>
                <w:lang w:val="mn-MN"/>
              </w:rPr>
              <w:t xml:space="preserve">Монгол улс дахь хөрөнгө оруулалтын сентимент 2012 оноос эхлэн муудсан нь ОТ гэрээнд </w:t>
            </w:r>
            <w:r w:rsidR="002404C9">
              <w:rPr>
                <w:rFonts w:ascii="Arial" w:hAnsi="Arial" w:cs="Arial"/>
                <w:sz w:val="18"/>
                <w:szCs w:val="18"/>
                <w:lang w:val="mn-MN"/>
              </w:rPr>
              <w:t xml:space="preserve">шинэ </w:t>
            </w:r>
            <w:r>
              <w:rPr>
                <w:rFonts w:ascii="Arial" w:hAnsi="Arial" w:cs="Arial"/>
                <w:sz w:val="18"/>
                <w:szCs w:val="18"/>
                <w:lang w:val="mn-MN"/>
              </w:rPr>
              <w:t xml:space="preserve">хэлэлцээрүүд хийсэн тодорхой бус байдлын хажуугаар стратегийн салбаруудад үйл ажиллагаа явуулж байгаа аж ахуйн нэгжүүдийн хөрөнгө оруулалтын хуулийг </w:t>
            </w:r>
            <w:r>
              <w:rPr>
                <w:rFonts w:ascii="Arial" w:hAnsi="Arial" w:cs="Arial"/>
                <w:sz w:val="18"/>
                <w:szCs w:val="18"/>
              </w:rPr>
              <w:t>(</w:t>
            </w:r>
            <w:r w:rsidR="002404C9">
              <w:rPr>
                <w:rFonts w:ascii="Arial" w:hAnsi="Arial" w:cs="Arial"/>
                <w:sz w:val="18"/>
                <w:szCs w:val="18"/>
                <w:lang w:val="mn-MN"/>
              </w:rPr>
              <w:t>СҮАЯБААНГХОЗТХ</w:t>
            </w:r>
            <w:r>
              <w:rPr>
                <w:rFonts w:ascii="Arial" w:hAnsi="Arial" w:cs="Arial"/>
                <w:sz w:val="18"/>
                <w:szCs w:val="18"/>
              </w:rPr>
              <w:t xml:space="preserve">) </w:t>
            </w:r>
            <w:r>
              <w:rPr>
                <w:rFonts w:ascii="Arial" w:hAnsi="Arial" w:cs="Arial"/>
                <w:sz w:val="18"/>
                <w:szCs w:val="18"/>
                <w:lang w:val="mn-MN"/>
              </w:rPr>
              <w:t xml:space="preserve">баталснаас үүдэлтэй. </w:t>
            </w:r>
            <w:commentRangeStart w:id="78"/>
            <w:r>
              <w:rPr>
                <w:rFonts w:ascii="Arial" w:hAnsi="Arial" w:cs="Arial"/>
                <w:sz w:val="18"/>
                <w:szCs w:val="18"/>
              </w:rPr>
              <w:t>(2012</w:t>
            </w:r>
            <w:r>
              <w:rPr>
                <w:rFonts w:ascii="Arial" w:hAnsi="Arial" w:cs="Arial"/>
                <w:sz w:val="18"/>
                <w:szCs w:val="18"/>
                <w:lang w:val="mn-MN"/>
              </w:rPr>
              <w:t xml:space="preserve"> оны 5 сар</w:t>
            </w:r>
            <w:r>
              <w:rPr>
                <w:rFonts w:ascii="Arial" w:hAnsi="Arial" w:cs="Arial"/>
                <w:sz w:val="18"/>
                <w:szCs w:val="18"/>
              </w:rPr>
              <w:t>)</w:t>
            </w:r>
            <w:commentRangeEnd w:id="78"/>
            <w:r>
              <w:rPr>
                <w:rStyle w:val="CommentReference"/>
                <w:rFonts w:ascii="Arial" w:hAnsi="Arial" w:cs="Arial"/>
                <w:sz w:val="18"/>
                <w:szCs w:val="18"/>
              </w:rPr>
              <w:commentReference w:id="78"/>
            </w:r>
            <w:r>
              <w:rPr>
                <w:rFonts w:ascii="Arial" w:hAnsi="Arial" w:cs="Arial"/>
                <w:sz w:val="18"/>
                <w:szCs w:val="18"/>
              </w:rPr>
              <w:t xml:space="preserve"> </w:t>
            </w:r>
            <w:r>
              <w:rPr>
                <w:rFonts w:ascii="Arial" w:hAnsi="Arial" w:cs="Arial"/>
                <w:sz w:val="18"/>
                <w:szCs w:val="18"/>
                <w:lang w:val="mn-MN"/>
              </w:rPr>
              <w:t xml:space="preserve">Гадаадын хөрөнгө оруулалт 2013 онд мэдэгдэхүйц хэмжээгээр буурсан нь Монгол улсын Засгийн газраас хөрөнгө оруулалтын зохицуулалтыг сайжруулснаар хөрөнгө оруулагчийн итгэлийг дахин сэргээхийн ач холбогдлыг хүлээн зөвшөөрч СҮАЯБААНГХОЗТХ болон хуучин Гадаадын Хөрөнгө оруулалтын тухай хуулийг </w:t>
            </w:r>
            <w:r>
              <w:rPr>
                <w:rFonts w:ascii="Arial" w:hAnsi="Arial" w:cs="Arial"/>
                <w:sz w:val="18"/>
                <w:szCs w:val="18"/>
              </w:rPr>
              <w:t xml:space="preserve">(1993) </w:t>
            </w:r>
            <w:r>
              <w:rPr>
                <w:rFonts w:ascii="Arial" w:hAnsi="Arial" w:cs="Arial"/>
                <w:sz w:val="18"/>
                <w:szCs w:val="18"/>
                <w:lang w:val="mn-MN"/>
              </w:rPr>
              <w:t xml:space="preserve">шинээр боловсруулж эхэлсэн. </w:t>
            </w:r>
            <w:r>
              <w:rPr>
                <w:rStyle w:val="CommentReference"/>
                <w:rFonts w:ascii="Arial" w:hAnsi="Arial" w:cs="Arial"/>
                <w:sz w:val="18"/>
                <w:szCs w:val="18"/>
              </w:rPr>
              <w:commentReference w:id="79"/>
            </w:r>
            <w:r>
              <w:rPr>
                <w:rFonts w:ascii="Arial" w:hAnsi="Arial" w:cs="Arial"/>
                <w:sz w:val="18"/>
                <w:szCs w:val="18"/>
                <w:lang w:val="mn-MN"/>
              </w:rPr>
              <w:t xml:space="preserve">Хуулийн бэлтгэлийг хөрөнгө оруулагчидтай олон удаа зөвлөлдсөн мөн Дэлхийн банк, ОУВС зэрэг олон улсын санхүүгийн институциудын техник зөвлөлгөөнд хийсэн. </w:t>
            </w:r>
          </w:p>
          <w:p w14:paraId="2EEC4E84" w14:textId="77777777" w:rsidR="008003C7" w:rsidRDefault="008003C7">
            <w:pPr>
              <w:jc w:val="both"/>
              <w:rPr>
                <w:rFonts w:ascii="Arial" w:hAnsi="Arial" w:cs="Arial"/>
                <w:sz w:val="18"/>
                <w:szCs w:val="18"/>
              </w:rPr>
            </w:pPr>
            <w:r>
              <w:rPr>
                <w:rFonts w:ascii="Arial" w:hAnsi="Arial" w:cs="Arial"/>
                <w:sz w:val="18"/>
                <w:szCs w:val="18"/>
                <w:lang w:val="mn-MN"/>
              </w:rPr>
              <w:t>Хөрөнгө оруулалтын хууль нь гадаадын болон дотоодын хөрөнгө оруулагчдын хуулийн эрх, сонирхолыг хамгаалах, татварын орчинг тогтворжуулах зорилготой. Энэхүү хуулийн гол шинжүүдэд</w:t>
            </w:r>
            <w:r>
              <w:rPr>
                <w:rFonts w:ascii="Arial" w:hAnsi="Arial" w:cs="Arial"/>
                <w:sz w:val="18"/>
                <w:szCs w:val="18"/>
              </w:rPr>
              <w:t>:</w:t>
            </w:r>
          </w:p>
          <w:p w14:paraId="4D7DF33F" w14:textId="77777777" w:rsidR="008003C7" w:rsidRDefault="008003C7" w:rsidP="008003C7">
            <w:pPr>
              <w:pStyle w:val="ListParagraph"/>
              <w:numPr>
                <w:ilvl w:val="0"/>
                <w:numId w:val="30"/>
              </w:numPr>
              <w:jc w:val="both"/>
              <w:rPr>
                <w:rFonts w:ascii="Arial" w:hAnsi="Arial" w:cs="Arial"/>
                <w:sz w:val="18"/>
                <w:szCs w:val="18"/>
              </w:rPr>
            </w:pPr>
            <w:r>
              <w:rPr>
                <w:rFonts w:ascii="Arial" w:hAnsi="Arial" w:cs="Arial"/>
                <w:b/>
                <w:sz w:val="18"/>
                <w:szCs w:val="18"/>
                <w:lang w:val="mn-MN"/>
              </w:rPr>
              <w:t>Хөрөнгө оруулалтын батлах үйл явцыг хялбаршуулах</w:t>
            </w:r>
            <w:r>
              <w:rPr>
                <w:rFonts w:ascii="Arial" w:hAnsi="Arial" w:cs="Arial"/>
                <w:b/>
                <w:sz w:val="18"/>
                <w:szCs w:val="18"/>
              </w:rPr>
              <w:t xml:space="preserve">. </w:t>
            </w:r>
            <w:r>
              <w:rPr>
                <w:rFonts w:ascii="Arial" w:hAnsi="Arial" w:cs="Arial"/>
                <w:sz w:val="18"/>
                <w:szCs w:val="18"/>
                <w:lang w:val="mn-MN"/>
              </w:rPr>
              <w:t xml:space="preserve">Уг хууль нь СҮАЯБААНГХОЗТХуулийг өөрчилж, хөрөнгө оруулалтыг батлах эсвэл бүртгэх үйл явцыг хялбаршуулсан. Хуулиас стратегийн гэх салбаруудын тодорхойлолтыг гаргаж авсан. Гадаадын хувийн хөрөнгө оруулагчид нь засгийн газар эсвэл их хурлаас зөвшөөрөл авах шаардлагагүй боловч зөвхөн улсын агентлагт бүртгүүлэх ёстой. </w:t>
            </w:r>
          </w:p>
          <w:p w14:paraId="73E985E2" w14:textId="77777777" w:rsidR="008003C7" w:rsidRDefault="008003C7">
            <w:pPr>
              <w:pStyle w:val="ListParagraph"/>
              <w:jc w:val="both"/>
              <w:rPr>
                <w:rFonts w:ascii="Arial" w:hAnsi="Arial" w:cs="Arial"/>
                <w:sz w:val="18"/>
                <w:szCs w:val="18"/>
              </w:rPr>
            </w:pPr>
          </w:p>
          <w:p w14:paraId="60C232AD" w14:textId="61945FA3" w:rsidR="008003C7" w:rsidRDefault="008003C7" w:rsidP="008003C7">
            <w:pPr>
              <w:pStyle w:val="ListParagraph"/>
              <w:numPr>
                <w:ilvl w:val="0"/>
                <w:numId w:val="30"/>
              </w:numPr>
              <w:jc w:val="both"/>
              <w:rPr>
                <w:rFonts w:ascii="Arial" w:hAnsi="Arial" w:cs="Arial"/>
                <w:sz w:val="18"/>
                <w:szCs w:val="18"/>
              </w:rPr>
            </w:pPr>
            <w:r>
              <w:rPr>
                <w:rFonts w:ascii="Arial" w:hAnsi="Arial" w:cs="Arial"/>
                <w:b/>
                <w:sz w:val="18"/>
                <w:szCs w:val="18"/>
                <w:lang w:val="mn-MN"/>
              </w:rPr>
              <w:t>Гадаадын засгийн газрын эзэмшил бүхий аж ахуйн нэгжийн хөрөнгө оруулалт</w:t>
            </w:r>
            <w:r>
              <w:rPr>
                <w:rFonts w:ascii="Arial" w:hAnsi="Arial" w:cs="Arial"/>
                <w:b/>
                <w:sz w:val="18"/>
                <w:szCs w:val="18"/>
              </w:rPr>
              <w:t>.</w:t>
            </w:r>
            <w:r>
              <w:rPr>
                <w:rFonts w:ascii="Arial" w:hAnsi="Arial" w:cs="Arial"/>
                <w:sz w:val="18"/>
                <w:szCs w:val="18"/>
              </w:rPr>
              <w:t xml:space="preserve"> </w:t>
            </w:r>
            <w:r>
              <w:rPr>
                <w:rFonts w:ascii="Arial" w:hAnsi="Arial" w:cs="Arial"/>
                <w:sz w:val="18"/>
                <w:szCs w:val="18"/>
                <w:lang w:val="mn-MN"/>
              </w:rPr>
              <w:t>Хэрвээ гадаадын засгийн газар нь хөрөнгө оруулагчийн 33 эсвэл түүнээс дээш хувийг эзэлж байвал тусгай үйл явц шаардагдана. Эдгээр хөрөнгө оруулагчдын хувьд, бү</w:t>
            </w:r>
            <w:r w:rsidR="002404C9">
              <w:rPr>
                <w:rFonts w:ascii="Arial" w:hAnsi="Arial" w:cs="Arial"/>
                <w:sz w:val="18"/>
                <w:szCs w:val="18"/>
                <w:lang w:val="mn-MN"/>
              </w:rPr>
              <w:t>ртгэлийг төрийн агентлаг</w:t>
            </w:r>
            <w:r>
              <w:rPr>
                <w:rFonts w:ascii="Arial" w:hAnsi="Arial" w:cs="Arial"/>
                <w:sz w:val="18"/>
                <w:szCs w:val="18"/>
                <w:lang w:val="mn-MN"/>
              </w:rPr>
              <w:t xml:space="preserve">д өгөх бөгөөд түүний </w:t>
            </w:r>
            <w:r>
              <w:rPr>
                <w:rFonts w:ascii="Arial" w:hAnsi="Arial" w:cs="Arial"/>
                <w:sz w:val="18"/>
                <w:szCs w:val="18"/>
              </w:rPr>
              <w:t xml:space="preserve">(i) </w:t>
            </w:r>
            <w:r>
              <w:rPr>
                <w:rFonts w:ascii="Arial" w:hAnsi="Arial" w:cs="Arial"/>
                <w:sz w:val="18"/>
                <w:szCs w:val="18"/>
                <w:lang w:val="mn-MN"/>
              </w:rPr>
              <w:t>үндэсний аюулгүй байдал</w:t>
            </w:r>
            <w:r>
              <w:rPr>
                <w:rFonts w:ascii="Arial" w:hAnsi="Arial" w:cs="Arial"/>
                <w:sz w:val="18"/>
                <w:szCs w:val="18"/>
              </w:rPr>
              <w:t xml:space="preserve">, (ii) </w:t>
            </w:r>
            <w:r>
              <w:rPr>
                <w:rFonts w:ascii="Arial" w:hAnsi="Arial" w:cs="Arial"/>
                <w:sz w:val="18"/>
                <w:szCs w:val="18"/>
                <w:lang w:val="mn-MN"/>
              </w:rPr>
              <w:t>зах зээл дээрх өрсөлдөөн</w:t>
            </w:r>
            <w:r>
              <w:rPr>
                <w:rFonts w:ascii="Arial" w:hAnsi="Arial" w:cs="Arial"/>
                <w:sz w:val="18"/>
                <w:szCs w:val="18"/>
              </w:rPr>
              <w:t xml:space="preserve">, (iii) </w:t>
            </w:r>
            <w:r>
              <w:rPr>
                <w:rFonts w:ascii="Arial" w:hAnsi="Arial" w:cs="Arial"/>
                <w:sz w:val="18"/>
                <w:szCs w:val="18"/>
                <w:lang w:val="mn-MN"/>
              </w:rPr>
              <w:t>засгийн газрын төсөв болон бодлогуудад хэрхэн нөлөө үзүүлж байгааг авч үзнэ</w:t>
            </w:r>
            <w:r>
              <w:rPr>
                <w:rFonts w:ascii="Arial" w:hAnsi="Arial" w:cs="Arial"/>
                <w:sz w:val="18"/>
                <w:szCs w:val="18"/>
              </w:rPr>
              <w:t xml:space="preserve">. </w:t>
            </w:r>
            <w:r>
              <w:rPr>
                <w:rFonts w:ascii="Arial" w:hAnsi="Arial" w:cs="Arial"/>
                <w:sz w:val="18"/>
                <w:szCs w:val="18"/>
                <w:lang w:val="mn-MN"/>
              </w:rPr>
              <w:t xml:space="preserve">Уг шийдвэрийг бүртгэлийг авсны дараа 45 хоногийн дотор төрийн агентлаг нь гаргана. </w:t>
            </w:r>
          </w:p>
          <w:p w14:paraId="151EEF31" w14:textId="77777777" w:rsidR="008003C7" w:rsidRDefault="008003C7">
            <w:pPr>
              <w:pStyle w:val="ListParagraph"/>
              <w:rPr>
                <w:rFonts w:ascii="Arial" w:hAnsi="Arial" w:cs="Arial"/>
                <w:b/>
                <w:sz w:val="18"/>
                <w:szCs w:val="18"/>
              </w:rPr>
            </w:pPr>
          </w:p>
          <w:p w14:paraId="5ECAE432" w14:textId="0177B04E" w:rsidR="008003C7" w:rsidRDefault="008003C7" w:rsidP="008003C7">
            <w:pPr>
              <w:pStyle w:val="ListParagraph"/>
              <w:numPr>
                <w:ilvl w:val="0"/>
                <w:numId w:val="30"/>
              </w:numPr>
              <w:jc w:val="both"/>
              <w:rPr>
                <w:rFonts w:ascii="Arial" w:hAnsi="Arial" w:cs="Arial"/>
                <w:sz w:val="18"/>
                <w:szCs w:val="18"/>
              </w:rPr>
            </w:pPr>
            <w:r>
              <w:rPr>
                <w:rFonts w:ascii="Arial" w:hAnsi="Arial" w:cs="Arial"/>
                <w:b/>
                <w:sz w:val="18"/>
                <w:szCs w:val="18"/>
                <w:lang w:val="mn-MN"/>
              </w:rPr>
              <w:t>Татварыг тогтворжуулах</w:t>
            </w:r>
            <w:r>
              <w:rPr>
                <w:rFonts w:ascii="Arial" w:hAnsi="Arial" w:cs="Arial"/>
                <w:sz w:val="18"/>
                <w:szCs w:val="18"/>
              </w:rPr>
              <w:t xml:space="preserve">. </w:t>
            </w:r>
            <w:r>
              <w:rPr>
                <w:rFonts w:ascii="Arial" w:hAnsi="Arial" w:cs="Arial"/>
                <w:sz w:val="18"/>
                <w:szCs w:val="18"/>
                <w:lang w:val="mn-MN"/>
              </w:rPr>
              <w:t>Уг хууль нь татварын дөрвөн төрөлд татварыг тогтворжуулах заалтыг оруулсан</w:t>
            </w:r>
            <w:r>
              <w:rPr>
                <w:rFonts w:ascii="Arial" w:hAnsi="Arial" w:cs="Arial"/>
                <w:sz w:val="18"/>
                <w:szCs w:val="18"/>
              </w:rPr>
              <w:t xml:space="preserve">: </w:t>
            </w:r>
            <w:r>
              <w:rPr>
                <w:rFonts w:ascii="Arial" w:hAnsi="Arial" w:cs="Arial"/>
                <w:sz w:val="18"/>
                <w:szCs w:val="18"/>
                <w:lang w:val="mn-MN"/>
              </w:rPr>
              <w:t>ААНОАТ, Гаалийн татвар, НӨАТ, болон АМНАТ</w:t>
            </w:r>
            <w:r>
              <w:rPr>
                <w:rFonts w:ascii="Arial" w:hAnsi="Arial" w:cs="Arial"/>
                <w:sz w:val="18"/>
                <w:szCs w:val="18"/>
              </w:rPr>
              <w:t xml:space="preserve">. </w:t>
            </w:r>
            <w:r>
              <w:rPr>
                <w:rFonts w:ascii="Arial" w:hAnsi="Arial" w:cs="Arial"/>
                <w:sz w:val="18"/>
                <w:szCs w:val="18"/>
                <w:lang w:val="mn-MN"/>
              </w:rPr>
              <w:t>Татварыг тогтворжуулах зорилгоор, тодорхой шаардлагуудыг хангасан хөрөнгө оруулалтад тогтвор</w:t>
            </w:r>
            <w:r w:rsidR="00807EE9">
              <w:rPr>
                <w:rFonts w:ascii="Arial" w:hAnsi="Arial" w:cs="Arial"/>
                <w:sz w:val="18"/>
                <w:szCs w:val="18"/>
                <w:lang w:val="mn-MN"/>
              </w:rPr>
              <w:t>ж</w:t>
            </w:r>
            <w:r>
              <w:rPr>
                <w:rFonts w:ascii="Arial" w:hAnsi="Arial" w:cs="Arial"/>
                <w:sz w:val="18"/>
                <w:szCs w:val="18"/>
                <w:lang w:val="mn-MN"/>
              </w:rPr>
              <w:t>уулах сертификатыг олгоно жишээ нь, шинэ ажлын байр эсвэл шинэ технологи бий болгож байгаа хөрөнгө оруулалт</w:t>
            </w:r>
            <w:r>
              <w:rPr>
                <w:rFonts w:ascii="Arial" w:hAnsi="Arial" w:cs="Arial"/>
                <w:sz w:val="18"/>
                <w:szCs w:val="18"/>
              </w:rPr>
              <w:t>.</w:t>
            </w:r>
            <w:r>
              <w:rPr>
                <w:rFonts w:ascii="Arial" w:hAnsi="Arial" w:cs="Arial"/>
                <w:sz w:val="18"/>
                <w:szCs w:val="18"/>
                <w:lang w:val="mn-MN"/>
              </w:rPr>
              <w:t xml:space="preserve"> Татварын тогтворжуулалтаар дөрвөн төрлийн татварын хувийг сертификатын үргэлжлэх хугацаанд өсгөхгүй бөгөөд сертификат бүхий хөрөнгө оруулагчид эдгээр татварын хувиуд буурахаас ашиг хүртэж болно.Тогтворжуулах сертификатын хугацаа нь салбар, хөрөнгө оруулалтын хэмжээ болон байршилаас өөр өөр байх бөгөөд таван бүсэд хуваагдана. Уул уурхай, хүнд аж үйлдвэрлэл болон дэд бүтцийн салбаруудад хөрөнгө оруулалтын хэмжээнээс </w:t>
            </w:r>
            <w:r>
              <w:rPr>
                <w:rFonts w:ascii="Arial" w:hAnsi="Arial" w:cs="Arial"/>
                <w:sz w:val="18"/>
                <w:szCs w:val="18"/>
              </w:rPr>
              <w:t>(</w:t>
            </w:r>
            <w:r>
              <w:rPr>
                <w:rFonts w:ascii="Arial" w:hAnsi="Arial" w:cs="Arial"/>
                <w:sz w:val="18"/>
                <w:szCs w:val="18"/>
                <w:lang w:val="mn-MN"/>
              </w:rPr>
              <w:t>30 тэрбум төгрөгөөс эхлэн</w:t>
            </w:r>
            <w:r>
              <w:rPr>
                <w:rFonts w:ascii="Arial" w:hAnsi="Arial" w:cs="Arial"/>
                <w:sz w:val="18"/>
                <w:szCs w:val="18"/>
              </w:rPr>
              <w:t>)</w:t>
            </w:r>
            <w:r>
              <w:rPr>
                <w:rFonts w:ascii="Arial" w:hAnsi="Arial" w:cs="Arial"/>
                <w:sz w:val="18"/>
                <w:szCs w:val="18"/>
                <w:lang w:val="mn-MN"/>
              </w:rPr>
              <w:t xml:space="preserve"> хамаарч 18 жил хүртэл татварын тогтворжуулалт байна. Өөр салбаруудын хөрөнгө оруулалт нь хөрөнгө оруулалтын хэмжээ </w:t>
            </w:r>
            <w:r>
              <w:rPr>
                <w:rFonts w:ascii="Arial" w:hAnsi="Arial" w:cs="Arial"/>
                <w:sz w:val="18"/>
                <w:szCs w:val="18"/>
              </w:rPr>
              <w:t>(</w:t>
            </w:r>
            <w:r>
              <w:rPr>
                <w:rFonts w:ascii="Arial" w:hAnsi="Arial" w:cs="Arial"/>
                <w:sz w:val="18"/>
                <w:szCs w:val="18"/>
                <w:lang w:val="mn-MN"/>
              </w:rPr>
              <w:t>10 тэрбум төгрөөс эхлэн</w:t>
            </w:r>
            <w:r>
              <w:rPr>
                <w:rFonts w:ascii="Arial" w:hAnsi="Arial" w:cs="Arial"/>
                <w:sz w:val="18"/>
                <w:szCs w:val="18"/>
              </w:rPr>
              <w:t>)</w:t>
            </w:r>
            <w:r>
              <w:rPr>
                <w:rFonts w:ascii="Arial" w:hAnsi="Arial" w:cs="Arial"/>
                <w:sz w:val="18"/>
                <w:szCs w:val="18"/>
                <w:lang w:val="mn-MN"/>
              </w:rPr>
              <w:t xml:space="preserve"> болон бүс нутгаас хамаарч татварын тогтворжуулалт нь 15 жил хүртэл байна. Тодорхой шалгууруудыг хангасан хөрөнгө оруулалтын хувьд татварыг тогтворжуулах хугацаа нь </w:t>
            </w:r>
            <w:r>
              <w:rPr>
                <w:rFonts w:ascii="Arial" w:hAnsi="Arial" w:cs="Arial"/>
                <w:sz w:val="18"/>
                <w:szCs w:val="18"/>
              </w:rPr>
              <w:t>1.5</w:t>
            </w:r>
            <w:r>
              <w:rPr>
                <w:rFonts w:ascii="Arial" w:hAnsi="Arial" w:cs="Arial"/>
                <w:sz w:val="18"/>
                <w:szCs w:val="18"/>
                <w:lang w:val="mn-MN"/>
              </w:rPr>
              <w:t xml:space="preserve"> дахин урт байна, жишээ нь импортыг орлуулагч эсвэл экспортод чиглэсэн бүтээгдэхүүн үйлдвэрлэгч эсвэл 500 тэрбум төгрөгөөс дээш хөрөнгө оруулалт</w:t>
            </w:r>
            <w:r>
              <w:rPr>
                <w:rFonts w:ascii="Arial" w:hAnsi="Arial" w:cs="Arial"/>
                <w:sz w:val="18"/>
                <w:szCs w:val="18"/>
              </w:rPr>
              <w:t>.</w:t>
            </w:r>
          </w:p>
          <w:p w14:paraId="28A13140" w14:textId="77777777" w:rsidR="008003C7" w:rsidRDefault="008003C7">
            <w:pPr>
              <w:pStyle w:val="ListParagraph"/>
              <w:rPr>
                <w:rFonts w:ascii="Arial" w:hAnsi="Arial" w:cs="Arial"/>
                <w:sz w:val="18"/>
                <w:szCs w:val="18"/>
              </w:rPr>
            </w:pPr>
          </w:p>
          <w:p w14:paraId="4AEB2AFB" w14:textId="77777777" w:rsidR="008003C7" w:rsidRDefault="008003C7" w:rsidP="008003C7">
            <w:pPr>
              <w:pStyle w:val="ListParagraph"/>
              <w:numPr>
                <w:ilvl w:val="0"/>
                <w:numId w:val="30"/>
              </w:numPr>
              <w:jc w:val="both"/>
              <w:rPr>
                <w:rFonts w:ascii="Arial" w:hAnsi="Arial" w:cs="Arial"/>
                <w:sz w:val="12"/>
                <w:szCs w:val="18"/>
              </w:rPr>
            </w:pPr>
            <w:r>
              <w:rPr>
                <w:rFonts w:ascii="Arial" w:hAnsi="Arial" w:cs="Arial"/>
                <w:b/>
                <w:sz w:val="18"/>
                <w:szCs w:val="18"/>
                <w:lang w:val="mn-MN"/>
              </w:rPr>
              <w:t>Татварын болон татварын бус урамшууллууд</w:t>
            </w:r>
            <w:r>
              <w:rPr>
                <w:rFonts w:ascii="Arial" w:hAnsi="Arial" w:cs="Arial"/>
                <w:b/>
                <w:sz w:val="18"/>
                <w:szCs w:val="18"/>
              </w:rPr>
              <w:t xml:space="preserve">. </w:t>
            </w:r>
            <w:r>
              <w:rPr>
                <w:rFonts w:ascii="Arial" w:hAnsi="Arial" w:cs="Arial"/>
                <w:sz w:val="18"/>
                <w:szCs w:val="18"/>
                <w:lang w:val="mn-MN"/>
              </w:rPr>
              <w:t>Татварын хөнгөлөлт болон урамшууллууд байх боловч татварын урамшууллын дэлгэрэнгүйг холбогдох татварын хуулиар цаашид зааж өгөхөөр болсон. Импортын техникийн тоног төхөөрөмжүүд нь гаалийн татвар болон НӨАТ</w:t>
            </w:r>
            <w:r>
              <w:rPr>
                <w:rFonts w:ascii="Arial" w:hAnsi="Arial" w:cs="Arial"/>
                <w:sz w:val="18"/>
                <w:szCs w:val="18"/>
              </w:rPr>
              <w:t>-</w:t>
            </w:r>
            <w:r>
              <w:rPr>
                <w:rFonts w:ascii="Arial" w:hAnsi="Arial" w:cs="Arial"/>
                <w:sz w:val="18"/>
                <w:szCs w:val="18"/>
                <w:lang w:val="mn-MN"/>
              </w:rPr>
              <w:t xml:space="preserve">аас чөлөөлөгдөх боловч барилгын ажлын үед тэг хувьтай болох талтай. Холбогдох хуулийн зохицуулалтаар татварын бус урамшууллыг заагаагүй. </w:t>
            </w:r>
          </w:p>
          <w:p w14:paraId="3ADCCB02" w14:textId="77777777" w:rsidR="008003C7" w:rsidRDefault="008003C7">
            <w:pPr>
              <w:pStyle w:val="ListParagraph"/>
              <w:rPr>
                <w:rFonts w:ascii="Arial" w:hAnsi="Arial" w:cs="Arial"/>
                <w:sz w:val="18"/>
                <w:szCs w:val="18"/>
              </w:rPr>
            </w:pPr>
          </w:p>
          <w:p w14:paraId="4364CDD0" w14:textId="621B3EE8" w:rsidR="008003C7" w:rsidRDefault="008003C7" w:rsidP="008003C7">
            <w:pPr>
              <w:pStyle w:val="ListParagraph"/>
              <w:numPr>
                <w:ilvl w:val="0"/>
                <w:numId w:val="30"/>
              </w:numPr>
              <w:jc w:val="both"/>
              <w:rPr>
                <w:rFonts w:ascii="Arial" w:hAnsi="Arial" w:cs="Arial"/>
                <w:sz w:val="18"/>
                <w:szCs w:val="18"/>
              </w:rPr>
            </w:pPr>
            <w:r>
              <w:rPr>
                <w:rFonts w:ascii="Arial" w:hAnsi="Arial" w:cs="Arial"/>
                <w:b/>
                <w:bCs/>
                <w:sz w:val="18"/>
                <w:szCs w:val="24"/>
                <w:lang w:val="mn-MN"/>
              </w:rPr>
              <w:t>Хөрөнгө оруулалтын гэрээ болон хамгаалалт</w:t>
            </w:r>
            <w:r>
              <w:rPr>
                <w:rFonts w:ascii="Arial" w:hAnsi="Arial" w:cs="Arial"/>
                <w:b/>
                <w:bCs/>
                <w:sz w:val="18"/>
                <w:szCs w:val="24"/>
              </w:rPr>
              <w:t xml:space="preserve">. </w:t>
            </w:r>
            <w:r>
              <w:rPr>
                <w:rFonts w:ascii="Arial" w:hAnsi="Arial" w:cs="Arial"/>
                <w:bCs/>
                <w:sz w:val="18"/>
                <w:szCs w:val="24"/>
                <w:lang w:val="mn-MN"/>
              </w:rPr>
              <w:t>Монгол улсын засгийн газар нь хэрвээ хөрөнгө оруулагчийн хүсэлт нь бизнесийн үйл ажиллагааны орчинг тогтворжуу</w:t>
            </w:r>
            <w:r w:rsidR="00807EE9">
              <w:rPr>
                <w:rFonts w:ascii="Arial" w:hAnsi="Arial" w:cs="Arial"/>
                <w:bCs/>
                <w:sz w:val="18"/>
                <w:szCs w:val="24"/>
                <w:lang w:val="mn-MN"/>
              </w:rPr>
              <w:t>лах зорилготой хүсэлтийг тавьж</w:t>
            </w:r>
            <w:r>
              <w:rPr>
                <w:rFonts w:ascii="Arial" w:hAnsi="Arial" w:cs="Arial"/>
                <w:bCs/>
                <w:sz w:val="18"/>
                <w:szCs w:val="24"/>
                <w:lang w:val="mn-MN"/>
              </w:rPr>
              <w:t xml:space="preserve"> 500 тэрбумаас дээш хөрөнгө оруулалтыг хийхээр бол уг хөрөнгө оруулагчтай гэрээ байгуулна. Уг хууль бараг бүхий л стандарт баталгаануудыг багтаасан бөгөөд энэ утгаараа Гадаадын хөрөнгө оруулалтын тухай хуулиас </w:t>
            </w:r>
            <w:r>
              <w:rPr>
                <w:rFonts w:ascii="Arial" w:hAnsi="Arial" w:cs="Arial"/>
                <w:bCs/>
                <w:sz w:val="18"/>
                <w:szCs w:val="24"/>
              </w:rPr>
              <w:t xml:space="preserve">(1993) </w:t>
            </w:r>
            <w:r>
              <w:rPr>
                <w:rFonts w:ascii="Arial" w:hAnsi="Arial" w:cs="Arial"/>
                <w:bCs/>
                <w:sz w:val="18"/>
                <w:szCs w:val="24"/>
                <w:lang w:val="mn-MN"/>
              </w:rPr>
              <w:t xml:space="preserve">илүү нарийн боловсруулагдсан. Мөн олон улсын болон дотоодын арбитрт хандах боломжтой болсон. </w:t>
            </w:r>
          </w:p>
          <w:p w14:paraId="4C86B961" w14:textId="77777777" w:rsidR="008003C7" w:rsidRDefault="008003C7">
            <w:pPr>
              <w:autoSpaceDE w:val="0"/>
              <w:autoSpaceDN w:val="0"/>
              <w:adjustRightInd w:val="0"/>
              <w:jc w:val="both"/>
              <w:rPr>
                <w:rFonts w:ascii="Arial" w:hAnsi="Arial" w:cs="Arial"/>
                <w:sz w:val="18"/>
                <w:szCs w:val="18"/>
              </w:rPr>
            </w:pPr>
            <w:r>
              <w:rPr>
                <w:rFonts w:ascii="Arial" w:hAnsi="Arial" w:cs="Arial"/>
                <w:color w:val="000000"/>
                <w:sz w:val="18"/>
                <w:szCs w:val="18"/>
                <w:lang w:val="mn-MN"/>
              </w:rPr>
              <w:lastRenderedPageBreak/>
              <w:t xml:space="preserve">Уг хууль нь ССҮАЯБААНГХОЗТХуулиас эерэг ахиц болгосон учир нь энэ нь үйл явцыг нэлээд хэмжээгээр хөнгөвчилсөн мөн татварын дарамт болон хөрөнгө оруулагчийг хамгаалах чиглэлээр илүү тогтвортой орчинг бий болгосон. Хөрөнгө оруулалттай холбоотой хууль тогтоомжид цаашид хоорондоо уялдаатай сайжралтыг бий болговол шинэ хөрөнгө оруулалтын хуулиар бий болсон эерэг үр дүнг улам нэмэгдүүлнэ. </w:t>
            </w:r>
          </w:p>
          <w:p w14:paraId="0D481EE8" w14:textId="52D58833" w:rsidR="008003C7" w:rsidRDefault="008003C7">
            <w:pPr>
              <w:rPr>
                <w:rFonts w:ascii="Arial" w:hAnsi="Arial" w:cs="Arial"/>
                <w:sz w:val="20"/>
                <w:szCs w:val="18"/>
              </w:rPr>
            </w:pPr>
            <w:r>
              <w:rPr>
                <w:rFonts w:ascii="Arial" w:hAnsi="Arial" w:cs="Arial"/>
                <w:sz w:val="16"/>
                <w:szCs w:val="18"/>
                <w:lang w:val="mn-MN"/>
              </w:rPr>
              <w:t>Эх үүсвэр</w:t>
            </w:r>
            <w:r>
              <w:rPr>
                <w:rFonts w:ascii="Arial" w:hAnsi="Arial" w:cs="Arial"/>
                <w:sz w:val="16"/>
                <w:szCs w:val="18"/>
              </w:rPr>
              <w:t xml:space="preserve">: </w:t>
            </w:r>
            <w:r>
              <w:rPr>
                <w:rFonts w:ascii="Arial" w:hAnsi="Arial" w:cs="Arial"/>
                <w:sz w:val="16"/>
                <w:szCs w:val="18"/>
                <w:lang w:val="mn-MN"/>
              </w:rPr>
              <w:t>ДБ мэргэжилтнүүд</w:t>
            </w:r>
          </w:p>
        </w:tc>
      </w:tr>
      <w:tr w:rsidR="008003C7" w14:paraId="24377E1D" w14:textId="77777777" w:rsidTr="00630B23">
        <w:trPr>
          <w:gridAfter w:val="1"/>
          <w:wAfter w:w="72" w:type="dxa"/>
        </w:trPr>
        <w:tc>
          <w:tcPr>
            <w:tcW w:w="9576" w:type="dxa"/>
            <w:tcBorders>
              <w:top w:val="single" w:sz="4" w:space="0" w:color="auto"/>
              <w:left w:val="single" w:sz="4" w:space="0" w:color="auto"/>
              <w:bottom w:val="single" w:sz="4" w:space="0" w:color="auto"/>
              <w:right w:val="single" w:sz="4" w:space="0" w:color="auto"/>
            </w:tcBorders>
          </w:tcPr>
          <w:p w14:paraId="2591EEB5" w14:textId="77777777" w:rsidR="008003C7" w:rsidRDefault="008003C7">
            <w:pPr>
              <w:pStyle w:val="Caption"/>
              <w:keepNext/>
              <w:rPr>
                <w:rFonts w:ascii="Arial" w:hAnsi="Arial" w:cs="Arial"/>
              </w:rPr>
            </w:pPr>
            <w:bookmarkStart w:id="80" w:name="_Toc371339047"/>
            <w:r>
              <w:rPr>
                <w:rFonts w:ascii="Arial" w:hAnsi="Arial" w:cs="Arial"/>
                <w:lang w:val="mn-MN"/>
              </w:rPr>
              <w:lastRenderedPageBreak/>
              <w:t xml:space="preserve">Хайрцаг </w:t>
            </w:r>
            <w:r>
              <w:fldChar w:fldCharType="begin"/>
            </w:r>
            <w:r>
              <w:rPr>
                <w:rFonts w:ascii="Arial" w:hAnsi="Arial" w:cs="Arial"/>
              </w:rPr>
              <w:instrText xml:space="preserve"> SEQ Box \* ARABIC </w:instrText>
            </w:r>
            <w:r>
              <w:fldChar w:fldCharType="separate"/>
            </w:r>
            <w:r>
              <w:rPr>
                <w:rFonts w:ascii="Arial" w:hAnsi="Arial" w:cs="Arial"/>
                <w:noProof/>
              </w:rPr>
              <w:t>8</w:t>
            </w:r>
            <w:r>
              <w:fldChar w:fldCharType="end"/>
            </w:r>
            <w:r>
              <w:rPr>
                <w:rFonts w:ascii="Arial" w:hAnsi="Arial" w:cs="Arial"/>
              </w:rPr>
              <w:t xml:space="preserve">. </w:t>
            </w:r>
            <w:r>
              <w:rPr>
                <w:rFonts w:ascii="Arial" w:hAnsi="Arial" w:cs="Arial"/>
                <w:lang w:val="mn-MN"/>
              </w:rPr>
              <w:t>Монгол улс 2014 Бизнес хийх тайланд бизнес хийхийг хялбаруулах тал дээр амжилт гаргасан</w:t>
            </w:r>
            <w:bookmarkEnd w:id="80"/>
          </w:p>
          <w:p w14:paraId="3170DF5D" w14:textId="4A4935A7" w:rsidR="008003C7" w:rsidRDefault="008003C7">
            <w:pPr>
              <w:jc w:val="both"/>
              <w:rPr>
                <w:rFonts w:ascii="Arial" w:hAnsi="Arial" w:cs="Arial"/>
                <w:sz w:val="18"/>
                <w:szCs w:val="18"/>
              </w:rPr>
            </w:pPr>
            <w:r>
              <w:rPr>
                <w:rFonts w:ascii="Arial" w:hAnsi="Arial" w:cs="Arial"/>
                <w:b/>
                <w:sz w:val="18"/>
                <w:szCs w:val="18"/>
                <w:lang w:val="mn-MN"/>
              </w:rPr>
              <w:t>Бизнес хийх тайлангийн талаархи танилцуулга</w:t>
            </w:r>
            <w:r>
              <w:rPr>
                <w:rFonts w:ascii="Arial" w:hAnsi="Arial" w:cs="Arial"/>
                <w:b/>
                <w:sz w:val="18"/>
                <w:szCs w:val="18"/>
              </w:rPr>
              <w:t xml:space="preserve">. </w:t>
            </w:r>
            <w:r>
              <w:rPr>
                <w:rFonts w:ascii="Arial" w:hAnsi="Arial" w:cs="Arial"/>
                <w:i/>
                <w:sz w:val="18"/>
                <w:szCs w:val="18"/>
                <w:lang w:val="mn-MN"/>
              </w:rPr>
              <w:t xml:space="preserve">Бизнес хийх </w:t>
            </w:r>
            <w:r>
              <w:rPr>
                <w:rFonts w:ascii="Arial" w:hAnsi="Arial" w:cs="Arial"/>
                <w:sz w:val="18"/>
                <w:szCs w:val="18"/>
                <w:lang w:val="mn-MN"/>
              </w:rPr>
              <w:t>судалгаа нь Дэлхийн банкны дөрвөн чухал тайлангуудын нэг бөгөөд 2003 онд</w:t>
            </w:r>
            <w:r w:rsidR="00807EE9">
              <w:rPr>
                <w:rFonts w:ascii="Arial" w:hAnsi="Arial" w:cs="Arial"/>
                <w:sz w:val="18"/>
                <w:szCs w:val="18"/>
                <w:lang w:val="mn-MN"/>
              </w:rPr>
              <w:t xml:space="preserve"> хийж</w:t>
            </w:r>
            <w:r>
              <w:rPr>
                <w:rFonts w:ascii="Arial" w:hAnsi="Arial" w:cs="Arial"/>
                <w:sz w:val="18"/>
                <w:szCs w:val="18"/>
                <w:lang w:val="mn-MN"/>
              </w:rPr>
              <w:t xml:space="preserve"> анх удаа Бизнес Хийх </w:t>
            </w:r>
            <w:r>
              <w:rPr>
                <w:rFonts w:ascii="Arial" w:hAnsi="Arial" w:cs="Arial"/>
                <w:sz w:val="18"/>
                <w:szCs w:val="18"/>
              </w:rPr>
              <w:t>2004</w:t>
            </w:r>
            <w:r>
              <w:rPr>
                <w:rFonts w:ascii="Arial" w:hAnsi="Arial" w:cs="Arial"/>
                <w:sz w:val="18"/>
                <w:szCs w:val="18"/>
                <w:lang w:val="mn-MN"/>
              </w:rPr>
              <w:t xml:space="preserve"> тайланг нийтлүүлж байжээ</w:t>
            </w:r>
            <w:r>
              <w:rPr>
                <w:rFonts w:ascii="Arial" w:hAnsi="Arial" w:cs="Arial"/>
                <w:sz w:val="18"/>
                <w:szCs w:val="18"/>
              </w:rPr>
              <w:t>.</w:t>
            </w:r>
            <w:r>
              <w:rPr>
                <w:rFonts w:ascii="Arial" w:hAnsi="Arial" w:cs="Arial"/>
                <w:sz w:val="18"/>
                <w:szCs w:val="18"/>
                <w:lang w:val="mn-MN"/>
              </w:rPr>
              <w:t xml:space="preserve"> </w:t>
            </w:r>
            <w:r>
              <w:rPr>
                <w:rFonts w:ascii="Arial" w:hAnsi="Arial" w:cs="Arial"/>
                <w:i/>
                <w:sz w:val="18"/>
                <w:szCs w:val="18"/>
                <w:lang w:val="mn-MN"/>
              </w:rPr>
              <w:t>Бизнес хийх</w:t>
            </w:r>
            <w:r>
              <w:rPr>
                <w:rFonts w:ascii="Arial" w:hAnsi="Arial" w:cs="Arial"/>
                <w:sz w:val="18"/>
                <w:szCs w:val="18"/>
                <w:lang w:val="mn-MN"/>
              </w:rPr>
              <w:t xml:space="preserve"> тайлан нь жижиг дунд аж ахуйн нэгжүүдэд хамаарч буй зохицуулалтыг тэдгээрийн үйл ажиллагааны мөчлөгөөр </w:t>
            </w:r>
            <w:r>
              <w:rPr>
                <w:rFonts w:ascii="Arial" w:hAnsi="Arial" w:cs="Arial"/>
                <w:sz w:val="18"/>
                <w:szCs w:val="18"/>
              </w:rPr>
              <w:t>11</w:t>
            </w:r>
            <w:r>
              <w:rPr>
                <w:rFonts w:ascii="Arial" w:hAnsi="Arial" w:cs="Arial"/>
                <w:sz w:val="18"/>
                <w:szCs w:val="18"/>
                <w:lang w:val="mn-MN"/>
              </w:rPr>
              <w:t xml:space="preserve"> хэсэгт авч үздэг</w:t>
            </w:r>
            <w:r>
              <w:rPr>
                <w:rFonts w:ascii="Arial" w:hAnsi="Arial" w:cs="Arial"/>
                <w:sz w:val="18"/>
                <w:szCs w:val="18"/>
              </w:rPr>
              <w:t xml:space="preserve">: </w:t>
            </w:r>
            <w:r>
              <w:rPr>
                <w:rFonts w:ascii="Arial" w:hAnsi="Arial" w:cs="Arial"/>
                <w:sz w:val="18"/>
                <w:szCs w:val="18"/>
                <w:lang w:val="mn-MN"/>
              </w:rPr>
              <w:t>бизнесээ эхлүүлэх, барилгын зөвшөөрөх авах, цахилгаан эрчим хүчээ авах, өмчөө бүртгүүлэх, зээл авах, хөрөнгө оруулагчдыг хамгаалах, татвараа төлөх, хилээр дамжуулж худалдаа хийх, гэрээ хэлэлцээр хийх, төлбөрийн чадваргүй байдлыг шийдэх болон ажиллагсад авах</w:t>
            </w:r>
            <w:r>
              <w:rPr>
                <w:rFonts w:ascii="Arial" w:hAnsi="Arial" w:cs="Arial"/>
                <w:sz w:val="18"/>
                <w:szCs w:val="18"/>
              </w:rPr>
              <w:t xml:space="preserve">. </w:t>
            </w:r>
          </w:p>
          <w:p w14:paraId="737C78DD" w14:textId="759C2CAB" w:rsidR="008003C7" w:rsidRDefault="008003C7">
            <w:pPr>
              <w:jc w:val="both"/>
              <w:rPr>
                <w:rFonts w:ascii="Arial" w:hAnsi="Arial" w:cs="Arial"/>
                <w:sz w:val="18"/>
                <w:szCs w:val="18"/>
              </w:rPr>
            </w:pPr>
            <w:r>
              <w:rPr>
                <w:rFonts w:ascii="Arial" w:hAnsi="Arial" w:cs="Arial"/>
                <w:sz w:val="18"/>
                <w:szCs w:val="18"/>
                <w:lang w:val="mn-MN"/>
              </w:rPr>
              <w:t>Эдгээр хэсгүүдийг хоёр төрлийн үзүүлэлтээр авч үзнэ. Нэгдүгээр төрлийн үзүүлэлт нь зохицуулалтын үйл ажиллагааны төвөгтэй байдал болон өртөгийг хэмждэг</w:t>
            </w:r>
            <w:r>
              <w:rPr>
                <w:rFonts w:ascii="Arial" w:hAnsi="Arial" w:cs="Arial"/>
                <w:sz w:val="18"/>
                <w:szCs w:val="18"/>
              </w:rPr>
              <w:t>—</w:t>
            </w:r>
            <w:r>
              <w:rPr>
                <w:rFonts w:ascii="Arial" w:hAnsi="Arial" w:cs="Arial"/>
                <w:sz w:val="18"/>
                <w:szCs w:val="18"/>
                <w:lang w:val="mn-MN"/>
              </w:rPr>
              <w:t xml:space="preserve">тухайн орон нутгийн аж ахуй хэрэглэгч нийтлэг ажил гүйлгээг тухайлбал компанитай нэгдэх эсвэл эрчим хүчтэй холбох зэрэг үйл ажиллагааг холбогдох дүрэм зохицуулалтын дагуу хийж дуусгах </w:t>
            </w:r>
            <w:r w:rsidR="00807EE9">
              <w:rPr>
                <w:rFonts w:ascii="Arial" w:hAnsi="Arial" w:cs="Arial"/>
                <w:sz w:val="18"/>
                <w:szCs w:val="18"/>
                <w:lang w:val="mn-MN"/>
              </w:rPr>
              <w:t xml:space="preserve">хугацааны </w:t>
            </w:r>
            <w:r>
              <w:rPr>
                <w:rFonts w:ascii="Arial" w:hAnsi="Arial" w:cs="Arial"/>
                <w:sz w:val="18"/>
                <w:szCs w:val="18"/>
                <w:lang w:val="mn-MN"/>
              </w:rPr>
              <w:t>үр ашгийг нь үнэлдэг. Хоёрдох төрлийн үзүүлэлтүүд нь хууль эрхзүйн институциудын хүчин чадлыг хэмждэг</w:t>
            </w:r>
            <w:r>
              <w:rPr>
                <w:rFonts w:ascii="Arial" w:hAnsi="Arial" w:cs="Arial"/>
                <w:sz w:val="18"/>
                <w:szCs w:val="18"/>
              </w:rPr>
              <w:t>—</w:t>
            </w:r>
            <w:r>
              <w:rPr>
                <w:rFonts w:ascii="Arial" w:hAnsi="Arial" w:cs="Arial"/>
                <w:sz w:val="18"/>
                <w:szCs w:val="18"/>
                <w:lang w:val="mn-MN"/>
              </w:rPr>
              <w:t xml:space="preserve">энэ нь дотоодын бизнесийн хуулиудын онцлог хэв шинжүүдийг үнэлдэг, жишээ нь хөрөнгө оруулагчдыг хамгаалах эсвэл зээл авах зэрэгт. Эдгээр жишээнүүдэд хэв шинжүүдэд өндөр үнэлгээг авах тусмаа хөрөнгө оруулагчид эсвэл хамгаалагдсан зээлдэгчдэд хүчтэй хамгаалалт байгааг илэрхийлнэ. </w:t>
            </w:r>
          </w:p>
          <w:p w14:paraId="6D9DE008" w14:textId="227BD665" w:rsidR="008003C7" w:rsidRPr="00630B23" w:rsidRDefault="008003C7" w:rsidP="00630B23">
            <w:pPr>
              <w:snapToGrid w:val="0"/>
              <w:spacing w:after="40"/>
              <w:jc w:val="both"/>
              <w:rPr>
                <w:rFonts w:ascii="Arial" w:hAnsi="Arial" w:cs="Arial"/>
                <w:sz w:val="18"/>
                <w:szCs w:val="18"/>
                <w:lang w:val="mn-MN"/>
              </w:rPr>
            </w:pPr>
            <w:r>
              <w:rPr>
                <w:rFonts w:ascii="Arial" w:hAnsi="Arial" w:cs="Arial"/>
                <w:sz w:val="18"/>
                <w:szCs w:val="18"/>
                <w:lang w:val="mn-MN"/>
              </w:rPr>
              <w:t xml:space="preserve">Бизнес хийхэд хялбаршуулахад нийт зэрэглэлийг хийхэд арван зүйлийг оруулсан. Бизнес хийхийг хялбаршуулсан индекс нь эдийн засгуудыг </w:t>
            </w:r>
            <w:r>
              <w:rPr>
                <w:rFonts w:ascii="Arial" w:hAnsi="Arial" w:cs="Arial"/>
                <w:sz w:val="18"/>
                <w:szCs w:val="18"/>
              </w:rPr>
              <w:t>1-</w:t>
            </w:r>
            <w:r>
              <w:rPr>
                <w:rFonts w:ascii="Arial" w:hAnsi="Arial" w:cs="Arial"/>
                <w:sz w:val="18"/>
                <w:szCs w:val="18"/>
                <w:lang w:val="mn-MN"/>
              </w:rPr>
              <w:t>ээс</w:t>
            </w:r>
            <w:r>
              <w:rPr>
                <w:rFonts w:ascii="Arial" w:hAnsi="Arial" w:cs="Arial"/>
                <w:sz w:val="18"/>
                <w:szCs w:val="18"/>
              </w:rPr>
              <w:t xml:space="preserve"> 189</w:t>
            </w:r>
            <w:r>
              <w:rPr>
                <w:rFonts w:ascii="Arial" w:hAnsi="Arial" w:cs="Arial"/>
                <w:sz w:val="18"/>
                <w:szCs w:val="18"/>
                <w:lang w:val="mn-MN"/>
              </w:rPr>
              <w:t xml:space="preserve"> хүртэл зэрэглэсэн</w:t>
            </w:r>
            <w:r>
              <w:rPr>
                <w:rFonts w:ascii="Arial" w:hAnsi="Arial" w:cs="Arial"/>
                <w:sz w:val="18"/>
                <w:szCs w:val="18"/>
              </w:rPr>
              <w:t xml:space="preserve">. </w:t>
            </w:r>
            <w:r>
              <w:rPr>
                <w:rFonts w:ascii="Arial" w:hAnsi="Arial" w:cs="Arial"/>
                <w:sz w:val="18"/>
                <w:szCs w:val="18"/>
                <w:lang w:val="mn-MN"/>
              </w:rPr>
              <w:t xml:space="preserve">Улс орон бүрт зэрэглэл нь </w:t>
            </w:r>
            <w:r>
              <w:rPr>
                <w:rFonts w:ascii="Arial" w:hAnsi="Arial" w:cs="Arial"/>
                <w:i/>
                <w:sz w:val="18"/>
                <w:szCs w:val="18"/>
                <w:lang w:val="mn-MN"/>
              </w:rPr>
              <w:t xml:space="preserve">Бизнес </w:t>
            </w:r>
            <w:r w:rsidRPr="00630B23">
              <w:rPr>
                <w:rFonts w:ascii="Arial" w:hAnsi="Arial" w:cs="Arial"/>
                <w:sz w:val="18"/>
                <w:szCs w:val="18"/>
                <w:lang w:val="mn-MN"/>
              </w:rPr>
              <w:t xml:space="preserve">хийх 2014 </w:t>
            </w:r>
            <w:r>
              <w:rPr>
                <w:rFonts w:ascii="Arial" w:hAnsi="Arial" w:cs="Arial"/>
                <w:sz w:val="18"/>
                <w:szCs w:val="18"/>
                <w:lang w:val="mn-MN"/>
              </w:rPr>
              <w:t>индексэд орсон арван зү</w:t>
            </w:r>
            <w:r w:rsidR="00C76DD8">
              <w:rPr>
                <w:rFonts w:ascii="Arial" w:hAnsi="Arial" w:cs="Arial"/>
                <w:sz w:val="18"/>
                <w:szCs w:val="18"/>
                <w:lang w:val="mn-MN"/>
              </w:rPr>
              <w:t>й</w:t>
            </w:r>
            <w:r>
              <w:rPr>
                <w:rFonts w:ascii="Arial" w:hAnsi="Arial" w:cs="Arial"/>
                <w:sz w:val="18"/>
                <w:szCs w:val="18"/>
                <w:lang w:val="mn-MN"/>
              </w:rPr>
              <w:t xml:space="preserve">л тус бүрд авсан зэрэглэлийн хувийн энгийн дунджаар тооцсон. </w:t>
            </w:r>
          </w:p>
          <w:p w14:paraId="49BBCF5F" w14:textId="77777777" w:rsidR="008003C7" w:rsidRDefault="008003C7">
            <w:pPr>
              <w:snapToGrid w:val="0"/>
              <w:spacing w:after="40"/>
              <w:jc w:val="both"/>
              <w:rPr>
                <w:rFonts w:ascii="Arial" w:hAnsi="Arial" w:cs="Arial"/>
                <w:sz w:val="18"/>
                <w:szCs w:val="18"/>
              </w:rPr>
            </w:pPr>
            <w:r w:rsidRPr="00630B23">
              <w:rPr>
                <w:rFonts w:ascii="Arial" w:hAnsi="Arial" w:cs="Arial"/>
                <w:sz w:val="18"/>
                <w:szCs w:val="18"/>
                <w:lang w:val="mn-MN"/>
              </w:rPr>
              <w:t>Монгол улс нь Бизнес хийх 2014 тайланд нийт 189 орнуудаас бизнесийг хялбаршуулсан зэрэглэлээр 76th дугаар</w:t>
            </w:r>
            <w:r>
              <w:rPr>
                <w:rFonts w:ascii="Arial" w:hAnsi="Arial" w:cs="Arial"/>
                <w:b/>
                <w:sz w:val="18"/>
                <w:szCs w:val="18"/>
                <w:lang w:val="mn-MN"/>
              </w:rPr>
              <w:t xml:space="preserve"> байрт орж байгаа нь 2013 оны тайлангаас 4 зэрэглэлээр сайжирсан байна. </w:t>
            </w:r>
            <w:r>
              <w:rPr>
                <w:rFonts w:ascii="Arial" w:hAnsi="Arial" w:cs="Arial"/>
                <w:sz w:val="18"/>
                <w:szCs w:val="18"/>
                <w:lang w:val="mn-MN"/>
              </w:rPr>
              <w:t>Энэхүү тайлангаар Монгол улсыг 2012 оны 6 сарын 1</w:t>
            </w:r>
            <w:r>
              <w:rPr>
                <w:rFonts w:ascii="Arial" w:hAnsi="Arial" w:cs="Arial"/>
                <w:sz w:val="18"/>
                <w:szCs w:val="18"/>
              </w:rPr>
              <w:t>-</w:t>
            </w:r>
            <w:r>
              <w:rPr>
                <w:rFonts w:ascii="Arial" w:hAnsi="Arial" w:cs="Arial"/>
                <w:sz w:val="18"/>
                <w:szCs w:val="18"/>
                <w:lang w:val="mn-MN"/>
              </w:rPr>
              <w:t>ээс 2013 оны 6 сарын 1 хүртэл бизнесийг хийхэд хялбар болгоход гурван төрлийн зохицуулалтын шинэчлэл хийснийг хүлээн зөвшөөрсөн байна</w:t>
            </w:r>
            <w:r>
              <w:rPr>
                <w:rFonts w:ascii="Arial" w:hAnsi="Arial" w:cs="Arial"/>
                <w:sz w:val="18"/>
                <w:szCs w:val="18"/>
              </w:rPr>
              <w:t xml:space="preserve">: (i) </w:t>
            </w:r>
            <w:r>
              <w:rPr>
                <w:rFonts w:ascii="Arial" w:hAnsi="Arial" w:cs="Arial"/>
                <w:sz w:val="18"/>
                <w:szCs w:val="18"/>
                <w:lang w:val="mn-MN"/>
              </w:rPr>
              <w:t>бизнесээ эхлүүлэх</w:t>
            </w:r>
            <w:r>
              <w:rPr>
                <w:rFonts w:ascii="Arial" w:hAnsi="Arial" w:cs="Arial"/>
                <w:sz w:val="18"/>
                <w:szCs w:val="18"/>
              </w:rPr>
              <w:t xml:space="preserve">, (ii) </w:t>
            </w:r>
            <w:r>
              <w:rPr>
                <w:rFonts w:ascii="Arial" w:hAnsi="Arial" w:cs="Arial"/>
                <w:sz w:val="18"/>
                <w:szCs w:val="18"/>
                <w:lang w:val="mn-MN"/>
              </w:rPr>
              <w:t>барилгын зөвшөөрөл авахад</w:t>
            </w:r>
            <w:r>
              <w:rPr>
                <w:rFonts w:ascii="Arial" w:hAnsi="Arial" w:cs="Arial"/>
                <w:sz w:val="18"/>
                <w:szCs w:val="18"/>
              </w:rPr>
              <w:t xml:space="preserve">, </w:t>
            </w:r>
            <w:r>
              <w:rPr>
                <w:rFonts w:ascii="Arial" w:hAnsi="Arial" w:cs="Arial"/>
                <w:sz w:val="18"/>
                <w:szCs w:val="18"/>
                <w:lang w:val="mn-MN"/>
              </w:rPr>
              <w:t>мөн</w:t>
            </w:r>
            <w:r>
              <w:rPr>
                <w:rFonts w:ascii="Arial" w:hAnsi="Arial" w:cs="Arial"/>
                <w:sz w:val="18"/>
                <w:szCs w:val="18"/>
              </w:rPr>
              <w:t xml:space="preserve"> (iii) </w:t>
            </w:r>
            <w:r>
              <w:rPr>
                <w:rFonts w:ascii="Arial" w:hAnsi="Arial" w:cs="Arial"/>
                <w:sz w:val="18"/>
                <w:szCs w:val="18"/>
                <w:lang w:val="mn-MN"/>
              </w:rPr>
              <w:t>цахилгаан эрчим хүчтэй холбох</w:t>
            </w:r>
            <w:r>
              <w:rPr>
                <w:rFonts w:ascii="Arial" w:hAnsi="Arial" w:cs="Arial"/>
                <w:sz w:val="18"/>
                <w:szCs w:val="18"/>
              </w:rPr>
              <w:t>.</w:t>
            </w:r>
            <w:r>
              <w:rPr>
                <w:rFonts w:ascii="Arial" w:hAnsi="Arial" w:cs="Arial"/>
                <w:sz w:val="18"/>
                <w:szCs w:val="18"/>
                <w:lang w:val="mn-MN"/>
              </w:rPr>
              <w:t xml:space="preserve"> Монгол улсад компаний статусыг авах, нотариатаар баталгаажуулах, шинэ компанийг татварын албанд бүртгүүлэх шаардлага зэргийг олон шаардлагуудыг байхгүй болгосноор бизнес эхлэхэд хялбар болгосон. Мөн барилгын зөвшөөрлийг авахдаа барилгын техникийн шаардлагыг бага болон дунд хэмжээний эрсдэл бүхий барилгын төслүүдэд улсын байгууллагаар дахин хянах шаардлагыг байхгүй болгож хялбаршуулжээ. Мөн түүнчлэн цахилгаан эрчим хүчийг авахад хялбар болгосон, хэрэглээний дотоод үйл явцыг сайжруулсан</w:t>
            </w:r>
            <w:r>
              <w:rPr>
                <w:rFonts w:ascii="Arial" w:hAnsi="Arial" w:cs="Arial"/>
                <w:sz w:val="18"/>
                <w:szCs w:val="18"/>
              </w:rPr>
              <w:t>,</w:t>
            </w:r>
            <w:r>
              <w:rPr>
                <w:rFonts w:ascii="Arial" w:hAnsi="Arial" w:cs="Arial"/>
                <w:sz w:val="18"/>
                <w:szCs w:val="18"/>
                <w:lang w:val="mn-MN"/>
              </w:rPr>
              <w:t xml:space="preserve"> холболтын үйл явцын янз бүрийн үе шатанд цаг хугацааны хязгаарлалтыг хялбаршуулж, суурилуулах тестэд төлөх төлбөрийг байхгүй болгожээ. </w:t>
            </w:r>
          </w:p>
          <w:p w14:paraId="750B040C" w14:textId="77777777" w:rsidR="008003C7" w:rsidRDefault="008003C7">
            <w:pPr>
              <w:jc w:val="both"/>
              <w:rPr>
                <w:rFonts w:ascii="Arial" w:hAnsi="Arial" w:cs="Arial"/>
                <w:sz w:val="18"/>
                <w:szCs w:val="20"/>
              </w:rPr>
            </w:pPr>
            <w:r>
              <w:rPr>
                <w:rFonts w:ascii="Arial" w:hAnsi="Arial" w:cs="Arial"/>
                <w:b/>
                <w:sz w:val="18"/>
                <w:szCs w:val="18"/>
                <w:lang w:val="mn-MN"/>
              </w:rPr>
              <w:t xml:space="preserve">Бизнесийн зохицуулалтын гурван салбарт шинэчлэл хийгдснээр Монгол улсын хязгаарлалтын үзүүлэлтийн зай 60.2 байснаа </w:t>
            </w:r>
            <w:r>
              <w:rPr>
                <w:rFonts w:ascii="Arial" w:hAnsi="Arial" w:cs="Arial"/>
                <w:b/>
                <w:sz w:val="18"/>
                <w:szCs w:val="18"/>
              </w:rPr>
              <w:t>61.6</w:t>
            </w:r>
            <w:r>
              <w:rPr>
                <w:rFonts w:ascii="Arial" w:hAnsi="Arial" w:cs="Arial"/>
                <w:b/>
                <w:sz w:val="18"/>
                <w:szCs w:val="18"/>
                <w:lang w:val="mn-MN"/>
              </w:rPr>
              <w:t xml:space="preserve"> болж сайжирчээ</w:t>
            </w:r>
            <w:r>
              <w:rPr>
                <w:rFonts w:ascii="Arial" w:hAnsi="Arial" w:cs="Arial"/>
                <w:b/>
                <w:sz w:val="18"/>
                <w:szCs w:val="18"/>
              </w:rPr>
              <w:t>.</w:t>
            </w:r>
            <w:r>
              <w:rPr>
                <w:rFonts w:ascii="Arial" w:hAnsi="Arial" w:cs="Arial"/>
                <w:sz w:val="18"/>
                <w:szCs w:val="20"/>
                <w:lang w:val="mn-MN"/>
              </w:rPr>
              <w:t xml:space="preserve"> </w:t>
            </w:r>
            <w:r>
              <w:rPr>
                <w:rFonts w:ascii="Arial" w:hAnsi="Arial" w:cs="Arial"/>
                <w:i/>
                <w:sz w:val="18"/>
                <w:szCs w:val="20"/>
                <w:lang w:val="mn-MN"/>
              </w:rPr>
              <w:t xml:space="preserve">Бизнес хийх тайлан 2012 </w:t>
            </w:r>
            <w:r>
              <w:rPr>
                <w:rFonts w:ascii="Arial" w:hAnsi="Arial" w:cs="Arial"/>
                <w:i/>
                <w:sz w:val="18"/>
                <w:szCs w:val="20"/>
              </w:rPr>
              <w:t>–</w:t>
            </w:r>
            <w:r>
              <w:rPr>
                <w:rFonts w:ascii="Arial" w:hAnsi="Arial" w:cs="Arial"/>
                <w:i/>
                <w:sz w:val="18"/>
                <w:szCs w:val="20"/>
                <w:lang w:val="mn-MN"/>
              </w:rPr>
              <w:t xml:space="preserve">д </w:t>
            </w:r>
            <w:r>
              <w:rPr>
                <w:rFonts w:ascii="Arial" w:hAnsi="Arial" w:cs="Arial"/>
                <w:sz w:val="18"/>
                <w:szCs w:val="20"/>
                <w:lang w:val="mn-MN"/>
              </w:rPr>
              <w:t xml:space="preserve">хязгаарын хэмжүүрт ойртох хэмжээ гэдэг үзүүлэлтийг бий болгосон бөгөөд энэ нь тухайн орны үйлдвэрлэл эрхлэгчдэд зохицуулалтын орчин хэрхэн сайжирсныг абсалют утгаар нь хэмжиж үзүүлэ бөгөөд үзүүлэлтүүдийг анх цуглуулсан 2003 оноос эхлэн бүх эдийн засгийн хувьд </w:t>
            </w:r>
            <w:r>
              <w:rPr>
                <w:rFonts w:ascii="Arial" w:hAnsi="Arial" w:cs="Arial"/>
                <w:i/>
                <w:sz w:val="18"/>
                <w:szCs w:val="20"/>
                <w:lang w:val="mn-MN"/>
              </w:rPr>
              <w:t xml:space="preserve">Бизнес эрхлэх </w:t>
            </w:r>
            <w:r>
              <w:rPr>
                <w:rFonts w:ascii="Arial" w:hAnsi="Arial" w:cs="Arial"/>
                <w:sz w:val="18"/>
                <w:szCs w:val="20"/>
                <w:lang w:val="mn-MN"/>
              </w:rPr>
              <w:t>тайлангийн үзүүлэлт бүрийн ажиглагдаж байсан хамгийн сайн үзүүлэлтийг харуулж чадах “хязгаар” үзүүлэлтэд нь тухайн эдийн засгийн харьцуулах замаар зайг үзүүлнэ. Уг үзүүлэлтийг 0</w:t>
            </w:r>
            <w:r>
              <w:rPr>
                <w:rFonts w:ascii="Arial" w:hAnsi="Arial" w:cs="Arial"/>
                <w:sz w:val="18"/>
                <w:szCs w:val="20"/>
              </w:rPr>
              <w:t>-</w:t>
            </w:r>
            <w:r>
              <w:rPr>
                <w:rFonts w:ascii="Arial" w:hAnsi="Arial" w:cs="Arial"/>
                <w:sz w:val="18"/>
                <w:szCs w:val="20"/>
                <w:lang w:val="mn-MN"/>
              </w:rPr>
              <w:t xml:space="preserve">100 хооронд нормальжуулах бөгөөд 100 гэдэг нь хязгаарыг үзүүлнэ. </w:t>
            </w:r>
          </w:p>
          <w:p w14:paraId="24819034" w14:textId="1CA591F7" w:rsidR="008003C7" w:rsidRDefault="008003C7">
            <w:pPr>
              <w:spacing w:after="120"/>
              <w:jc w:val="both"/>
              <w:rPr>
                <w:rFonts w:ascii="Arial" w:hAnsi="Arial" w:cs="Arial"/>
                <w:bCs/>
                <w:sz w:val="18"/>
                <w:szCs w:val="18"/>
              </w:rPr>
            </w:pPr>
            <w:r>
              <w:rPr>
                <w:rFonts w:ascii="Arial" w:hAnsi="Arial" w:cs="Arial"/>
                <w:bCs/>
                <w:sz w:val="18"/>
                <w:szCs w:val="18"/>
                <w:lang w:val="mn-MN"/>
              </w:rPr>
              <w:t>Бизнес эрхлэхийг хялбаршуулах тал дээр дэлхийд Сингапур улс хамгийн өндөр зэрэглэлтэй бөгөөд үүний дараагаар Хонг Конг, БНХАУ, Шинэ Зеланд, Малайз болон БНСУлс эхний 10</w:t>
            </w:r>
            <w:r>
              <w:rPr>
                <w:rFonts w:ascii="Arial" w:hAnsi="Arial" w:cs="Arial"/>
                <w:bCs/>
                <w:sz w:val="18"/>
                <w:szCs w:val="18"/>
              </w:rPr>
              <w:t>-</w:t>
            </w:r>
            <w:r>
              <w:rPr>
                <w:rFonts w:ascii="Arial" w:hAnsi="Arial" w:cs="Arial"/>
                <w:bCs/>
                <w:sz w:val="18"/>
                <w:szCs w:val="18"/>
                <w:lang w:val="mn-MN"/>
              </w:rPr>
              <w:t>т орж байна. Энэ жилийн хувьд Филиппин улс хамгийн сайн сайжралт гаргасан дэлхийн 10 орон</w:t>
            </w:r>
            <w:r w:rsidR="00807EE9">
              <w:rPr>
                <w:rFonts w:ascii="Arial" w:hAnsi="Arial" w:cs="Arial"/>
                <w:bCs/>
                <w:sz w:val="18"/>
                <w:szCs w:val="18"/>
                <w:lang w:val="mn-MN"/>
              </w:rPr>
              <w:t>д</w:t>
            </w:r>
            <w:r>
              <w:rPr>
                <w:rFonts w:ascii="Arial" w:hAnsi="Arial" w:cs="Arial"/>
                <w:bCs/>
                <w:sz w:val="18"/>
                <w:szCs w:val="18"/>
                <w:lang w:val="mn-MN"/>
              </w:rPr>
              <w:t xml:space="preserve"> багтсан</w:t>
            </w:r>
            <w:r>
              <w:rPr>
                <w:rFonts w:ascii="Arial" w:hAnsi="Arial" w:cs="Arial"/>
                <w:bCs/>
                <w:sz w:val="18"/>
                <w:szCs w:val="18"/>
              </w:rPr>
              <w:t>—</w:t>
            </w:r>
            <w:r>
              <w:rPr>
                <w:rFonts w:ascii="Arial" w:hAnsi="Arial" w:cs="Arial"/>
                <w:bCs/>
                <w:sz w:val="18"/>
                <w:szCs w:val="18"/>
                <w:lang w:val="mn-MN"/>
              </w:rPr>
              <w:t xml:space="preserve">эдгээр эдийн засагт сүүлийн жилийн хугацаанд бизнесийн зохицуулалтад хамгийн их сайжралтууд гарчээ. Зүүн Ази болон Номхон далайн 25 эдийн засагт, Вьетнам болон БНХАУ нь хамгийн их бизнесийн зохицуулалтын шинэчлэлийг хэрэгжүүлсэн. </w:t>
            </w:r>
            <w:r>
              <w:rPr>
                <w:rFonts w:ascii="Arial" w:hAnsi="Arial" w:cs="Arial"/>
                <w:sz w:val="18"/>
                <w:szCs w:val="18"/>
                <w:lang w:val="mn-MN"/>
              </w:rPr>
              <w:t>Вьетнам энэ хугацаанд хамгийн их буюу 21 шинэчлэлийг хийсэн бол араас нь БНХАУ нь 18 шинэчлэлийг хийжээ. Зүүн Ази болон Номхон далайн 25 эдийн засгийн 15</w:t>
            </w:r>
            <w:r>
              <w:rPr>
                <w:rFonts w:ascii="Arial" w:hAnsi="Arial" w:cs="Arial"/>
                <w:sz w:val="18"/>
                <w:szCs w:val="18"/>
              </w:rPr>
              <w:t>-</w:t>
            </w:r>
            <w:r>
              <w:rPr>
                <w:rFonts w:ascii="Arial" w:hAnsi="Arial" w:cs="Arial"/>
                <w:sz w:val="18"/>
                <w:szCs w:val="18"/>
                <w:lang w:val="mn-MN"/>
              </w:rPr>
              <w:t>д нь 2012 оны 6 сарын 2</w:t>
            </w:r>
            <w:r>
              <w:rPr>
                <w:rFonts w:ascii="Arial" w:hAnsi="Arial" w:cs="Arial"/>
                <w:sz w:val="18"/>
                <w:szCs w:val="18"/>
              </w:rPr>
              <w:t>-</w:t>
            </w:r>
            <w:r>
              <w:rPr>
                <w:rFonts w:ascii="Arial" w:hAnsi="Arial" w:cs="Arial"/>
                <w:sz w:val="18"/>
                <w:szCs w:val="18"/>
                <w:lang w:val="mn-MN"/>
              </w:rPr>
              <w:t>оос 2013 оны 6 сарын 1</w:t>
            </w:r>
            <w:r>
              <w:rPr>
                <w:rFonts w:ascii="Arial" w:hAnsi="Arial" w:cs="Arial"/>
                <w:sz w:val="18"/>
                <w:szCs w:val="18"/>
              </w:rPr>
              <w:t>-</w:t>
            </w:r>
            <w:r>
              <w:rPr>
                <w:rFonts w:ascii="Arial" w:hAnsi="Arial" w:cs="Arial"/>
                <w:sz w:val="18"/>
                <w:szCs w:val="18"/>
                <w:lang w:val="mn-MN"/>
              </w:rPr>
              <w:t>ны хооронд хамгийн бага шинэчлэлийг хийжээ</w:t>
            </w:r>
            <w:r>
              <w:rPr>
                <w:rFonts w:ascii="Arial" w:hAnsi="Arial" w:cs="Arial"/>
                <w:bCs/>
                <w:sz w:val="18"/>
                <w:szCs w:val="18"/>
              </w:rPr>
              <w:t>—</w:t>
            </w:r>
            <w:r>
              <w:rPr>
                <w:rFonts w:ascii="Arial" w:hAnsi="Arial" w:cs="Arial"/>
                <w:bCs/>
                <w:sz w:val="18"/>
                <w:szCs w:val="18"/>
                <w:lang w:val="mn-MN"/>
              </w:rPr>
              <w:t>нийтдээ 25 шинэчлэл</w:t>
            </w:r>
            <w:r>
              <w:rPr>
                <w:rFonts w:ascii="Arial" w:hAnsi="Arial" w:cs="Arial"/>
                <w:bCs/>
                <w:sz w:val="18"/>
                <w:szCs w:val="18"/>
              </w:rPr>
              <w:t xml:space="preserve">. </w:t>
            </w:r>
            <w:r>
              <w:rPr>
                <w:rFonts w:ascii="Arial" w:hAnsi="Arial" w:cs="Arial"/>
                <w:bCs/>
                <w:sz w:val="18"/>
                <w:szCs w:val="18"/>
                <w:lang w:val="mn-MN"/>
              </w:rPr>
              <w:t xml:space="preserve">БНХАУ нь 2005 оноос хойш дэлхийн сайн практикийн ялгааг бууруулах тал дээр ажилласан 20 эдийн засгийн нэгэнд орж байна. Лаос, Тимур Лесте, Малайз, Камбожи, Соломоны арлууд нь энэхүү ялгааг багасгасан эхний 50 улсад багтаж байна. </w:t>
            </w:r>
          </w:p>
          <w:p w14:paraId="40053E65" w14:textId="77777777" w:rsidR="008003C7" w:rsidRDefault="008003C7">
            <w:pPr>
              <w:spacing w:after="120"/>
              <w:jc w:val="both"/>
              <w:rPr>
                <w:rFonts w:ascii="Arial" w:hAnsi="Arial" w:cs="Arial"/>
                <w:bCs/>
                <w:sz w:val="18"/>
                <w:szCs w:val="18"/>
              </w:rPr>
            </w:pPr>
            <w:r>
              <w:rPr>
                <w:rFonts w:ascii="Arial" w:hAnsi="Arial" w:cs="Arial"/>
                <w:bCs/>
                <w:sz w:val="18"/>
                <w:szCs w:val="18"/>
                <w:lang w:val="mn-MN"/>
              </w:rPr>
              <w:t>Эх үүсвэр</w:t>
            </w:r>
            <w:r>
              <w:rPr>
                <w:rFonts w:ascii="Arial" w:hAnsi="Arial" w:cs="Arial"/>
                <w:bCs/>
                <w:sz w:val="18"/>
                <w:szCs w:val="18"/>
              </w:rPr>
              <w:t xml:space="preserve">: </w:t>
            </w:r>
            <w:r>
              <w:rPr>
                <w:rFonts w:ascii="Arial" w:hAnsi="Arial" w:cs="Arial"/>
                <w:bCs/>
                <w:sz w:val="18"/>
                <w:szCs w:val="18"/>
                <w:lang w:val="mn-MN"/>
              </w:rPr>
              <w:t>Бизнес эрхлэх тайлан</w:t>
            </w:r>
            <w:r>
              <w:rPr>
                <w:rFonts w:ascii="Arial" w:hAnsi="Arial" w:cs="Arial"/>
                <w:bCs/>
                <w:sz w:val="18"/>
                <w:szCs w:val="18"/>
              </w:rPr>
              <w:t xml:space="preserve"> 2014, </w:t>
            </w:r>
            <w:r>
              <w:rPr>
                <w:rFonts w:ascii="Arial" w:hAnsi="Arial" w:cs="Arial"/>
                <w:bCs/>
                <w:sz w:val="18"/>
                <w:szCs w:val="18"/>
                <w:lang w:val="mn-MN"/>
              </w:rPr>
              <w:t>Дэлхийн банкны бүлэг</w:t>
            </w:r>
            <w:r>
              <w:rPr>
                <w:rFonts w:ascii="Arial" w:hAnsi="Arial" w:cs="Arial"/>
                <w:bCs/>
                <w:sz w:val="18"/>
                <w:szCs w:val="18"/>
              </w:rPr>
              <w:t xml:space="preserve"> (2013</w:t>
            </w:r>
            <w:r>
              <w:rPr>
                <w:rFonts w:ascii="Arial" w:hAnsi="Arial" w:cs="Arial"/>
                <w:bCs/>
                <w:sz w:val="18"/>
                <w:szCs w:val="18"/>
                <w:lang w:val="mn-MN"/>
              </w:rPr>
              <w:t xml:space="preserve"> оны 10 сар</w:t>
            </w:r>
            <w:r>
              <w:rPr>
                <w:rFonts w:ascii="Arial" w:hAnsi="Arial" w:cs="Arial"/>
                <w:bCs/>
                <w:sz w:val="18"/>
                <w:szCs w:val="18"/>
              </w:rPr>
              <w:t>)</w:t>
            </w:r>
          </w:p>
        </w:tc>
      </w:tr>
      <w:tr w:rsidR="008003C7" w14:paraId="222CFE6A" w14:textId="77777777" w:rsidTr="00630B23">
        <w:tblPrEx>
          <w:shd w:val="clear" w:color="auto" w:fill="984806" w:themeFill="accent6" w:themeFillShade="80"/>
        </w:tblPrEx>
        <w:trPr>
          <w:trHeight w:val="1376"/>
        </w:trPr>
        <w:tc>
          <w:tcPr>
            <w:tcW w:w="9648" w:type="dxa"/>
            <w:gridSpan w:val="2"/>
            <w:shd w:val="clear" w:color="auto" w:fill="984806" w:themeFill="accent6" w:themeFillShade="80"/>
            <w:vAlign w:val="center"/>
          </w:tcPr>
          <w:p w14:paraId="5518F4F5" w14:textId="77777777" w:rsidR="008003C7" w:rsidRDefault="008003C7">
            <w:pPr>
              <w:pStyle w:val="Heading2"/>
              <w:spacing w:before="0"/>
              <w:ind w:left="1260" w:right="702" w:hanging="1170"/>
              <w:rPr>
                <w:rFonts w:ascii="Arial" w:hAnsi="Arial" w:cs="Arial"/>
                <w:color w:val="EEECE1" w:themeColor="background2"/>
                <w:sz w:val="32"/>
              </w:rPr>
            </w:pPr>
            <w:bookmarkStart w:id="81" w:name="_Toc371338282"/>
            <w:r>
              <w:rPr>
                <w:rFonts w:ascii="Arial" w:hAnsi="Arial" w:cs="Arial"/>
                <w:color w:val="EEECE1" w:themeColor="background2"/>
                <w:sz w:val="32"/>
                <w:lang w:val="mn-MN"/>
              </w:rPr>
              <w:lastRenderedPageBreak/>
              <w:t>Бүлэг</w:t>
            </w:r>
            <w:r>
              <w:rPr>
                <w:rFonts w:ascii="Arial" w:hAnsi="Arial" w:cs="Arial"/>
                <w:color w:val="EEECE1" w:themeColor="background2"/>
                <w:sz w:val="32"/>
              </w:rPr>
              <w:t xml:space="preserve"> III. </w:t>
            </w:r>
            <w:r>
              <w:rPr>
                <w:rFonts w:ascii="Arial" w:hAnsi="Arial" w:cs="Arial"/>
                <w:color w:val="EEECE1" w:themeColor="background2"/>
                <w:sz w:val="32"/>
                <w:lang w:val="mn-MN"/>
              </w:rPr>
              <w:t>Эдийн засгийн хөгжлийн ерөнхий үнэлгээ болон бодлогын зөвлөмжүүд</w:t>
            </w:r>
            <w:bookmarkEnd w:id="81"/>
            <w:r>
              <w:rPr>
                <w:rFonts w:ascii="Arial" w:hAnsi="Arial" w:cs="Arial"/>
                <w:color w:val="EEECE1" w:themeColor="background2"/>
                <w:sz w:val="32"/>
                <w:lang w:val="mn-MN"/>
              </w:rPr>
              <w:t xml:space="preserve"> </w:t>
            </w:r>
          </w:p>
          <w:p w14:paraId="397A416E" w14:textId="77777777" w:rsidR="008003C7" w:rsidRDefault="008003C7">
            <w:pPr>
              <w:pStyle w:val="Heading2"/>
              <w:spacing w:before="0"/>
              <w:ind w:left="1440" w:hanging="1440"/>
              <w:rPr>
                <w:rFonts w:cstheme="minorHAnsi"/>
                <w:sz w:val="32"/>
                <w:szCs w:val="20"/>
              </w:rPr>
            </w:pPr>
          </w:p>
        </w:tc>
      </w:tr>
    </w:tbl>
    <w:p w14:paraId="3329001A" w14:textId="77777777" w:rsidR="008003C7" w:rsidRDefault="008003C7" w:rsidP="008003C7">
      <w:pPr>
        <w:pStyle w:val="NoSpacing"/>
      </w:pPr>
    </w:p>
    <w:p w14:paraId="46F5A5E2" w14:textId="77777777" w:rsidR="008003C7" w:rsidRDefault="008003C7" w:rsidP="008003C7">
      <w:pPr>
        <w:autoSpaceDE w:val="0"/>
        <w:autoSpaceDN w:val="0"/>
        <w:adjustRightInd w:val="0"/>
        <w:spacing w:after="0"/>
        <w:jc w:val="both"/>
        <w:rPr>
          <w:rFonts w:ascii="Arial" w:hAnsi="Arial" w:cs="Arial"/>
          <w:i/>
          <w:color w:val="002060"/>
          <w:sz w:val="28"/>
          <w:lang w:eastAsia="ko-KR"/>
        </w:rPr>
      </w:pPr>
    </w:p>
    <w:p w14:paraId="58E9B108" w14:textId="77777777" w:rsidR="008003C7" w:rsidRDefault="008003C7" w:rsidP="008003C7">
      <w:pPr>
        <w:autoSpaceDE w:val="0"/>
        <w:autoSpaceDN w:val="0"/>
        <w:adjustRightInd w:val="0"/>
        <w:spacing w:after="0"/>
        <w:rPr>
          <w:rFonts w:cstheme="minorHAnsi"/>
          <w:b/>
          <w:i/>
          <w:color w:val="002060"/>
          <w:sz w:val="32"/>
          <w:lang w:eastAsia="ko-KR"/>
        </w:rPr>
      </w:pPr>
      <w:r>
        <w:rPr>
          <w:rFonts w:cstheme="minorHAnsi"/>
          <w:b/>
          <w:i/>
          <w:color w:val="002060"/>
          <w:sz w:val="32"/>
          <w:lang w:val="mn-MN" w:eastAsia="ko-KR"/>
        </w:rPr>
        <w:t>Эдийн засаг нь т</w:t>
      </w:r>
      <w:r>
        <w:rPr>
          <w:rFonts w:ascii="Arial" w:hAnsi="Arial" w:cs="Arial"/>
          <w:b/>
          <w:i/>
          <w:color w:val="002060"/>
          <w:sz w:val="32"/>
          <w:lang w:val="mn-MN" w:eastAsia="ko-KR"/>
        </w:rPr>
        <w:t>өлбөрийн тэнцлийн тэнцвэргүй байдал нэмэгдэж байгаа болон эдийн засгийн тодорхой бус байдлаас асуудалтай тулгарч байна</w:t>
      </w:r>
      <w:r>
        <w:rPr>
          <w:rFonts w:cstheme="minorHAnsi"/>
          <w:b/>
          <w:i/>
          <w:color w:val="002060"/>
          <w:sz w:val="32"/>
          <w:lang w:val="mn-MN" w:eastAsia="ko-KR"/>
        </w:rPr>
        <w:t xml:space="preserve"> </w:t>
      </w:r>
      <w:r>
        <w:rPr>
          <w:rFonts w:cstheme="minorHAnsi"/>
          <w:b/>
          <w:i/>
          <w:color w:val="002060"/>
          <w:sz w:val="32"/>
          <w:lang w:eastAsia="ko-KR"/>
        </w:rPr>
        <w:t>…</w:t>
      </w:r>
    </w:p>
    <w:p w14:paraId="18396942" w14:textId="77777777" w:rsidR="008003C7" w:rsidRDefault="008003C7" w:rsidP="008003C7">
      <w:pPr>
        <w:spacing w:before="200"/>
        <w:jc w:val="both"/>
        <w:rPr>
          <w:rFonts w:ascii="Arial" w:hAnsi="Arial" w:cs="Arial"/>
          <w:b/>
          <w:bCs/>
          <w:sz w:val="6"/>
          <w:szCs w:val="18"/>
        </w:rPr>
      </w:pPr>
    </w:p>
    <w:p w14:paraId="6D87CB49" w14:textId="77777777" w:rsidR="008003C7" w:rsidRDefault="008003C7" w:rsidP="008003C7">
      <w:pPr>
        <w:spacing w:before="200"/>
        <w:jc w:val="both"/>
        <w:rPr>
          <w:rFonts w:ascii="Arial" w:hAnsi="Arial" w:cs="Arial"/>
          <w:bCs/>
          <w:sz w:val="20"/>
          <w:szCs w:val="18"/>
        </w:rPr>
      </w:pPr>
      <w:r>
        <w:rPr>
          <w:rFonts w:ascii="Arial" w:hAnsi="Arial" w:cs="Arial"/>
          <w:b/>
          <w:bCs/>
          <w:sz w:val="20"/>
          <w:szCs w:val="18"/>
          <w:lang w:val="mn-MN"/>
        </w:rPr>
        <w:t xml:space="preserve">Монгол улсын эдийн засаг нь сүүлийн хоёр жилд онцгой дэвшил гаргасан бөгөөд дунд хугацааны хэтийн төлөв нь өөдрөг байна. </w:t>
      </w:r>
      <w:r>
        <w:rPr>
          <w:rFonts w:ascii="Arial" w:hAnsi="Arial" w:cs="Arial"/>
          <w:bCs/>
          <w:sz w:val="20"/>
          <w:szCs w:val="18"/>
          <w:lang w:val="mn-MN"/>
        </w:rPr>
        <w:t xml:space="preserve">Сүүлийн хоёр жилийн хугацаанд дэлхийд хамгийн хурдан өсч буй эдийн засаг болж гарч ирсан бөгөөд орлого нэмэгдснээр энэ хугацаанд ядуурлын түвшин 11.3 хуиар буурахад тусалсан. Хэдийгээр гадаад орчин тааламжгүй байгаа ч өсөлт 2013 онд хоёр оронтой тоонд байхаар байна. Уул уурхайн голлох үйлдвэрлэлүүд, зэс, нүүрс болон алтны үйлдвэрлэл нэмэгдэхээр байгаа нь дунд хугацааны хэтийн төлөвийг өөдрөг болгож байна. </w:t>
      </w:r>
    </w:p>
    <w:p w14:paraId="0D8EA636" w14:textId="77777777" w:rsidR="008003C7" w:rsidRDefault="008003C7" w:rsidP="008003C7">
      <w:pPr>
        <w:spacing w:before="200"/>
        <w:jc w:val="both"/>
        <w:rPr>
          <w:rFonts w:ascii="Arial" w:hAnsi="Arial" w:cs="Arial"/>
          <w:bCs/>
          <w:sz w:val="20"/>
          <w:szCs w:val="18"/>
        </w:rPr>
      </w:pPr>
      <w:r>
        <w:rPr>
          <w:rFonts w:ascii="Arial" w:hAnsi="Arial" w:cs="Arial"/>
          <w:b/>
          <w:bCs/>
          <w:sz w:val="20"/>
          <w:szCs w:val="18"/>
          <w:lang w:val="mn-MN"/>
        </w:rPr>
        <w:t xml:space="preserve">Эдийн засаг нь уул уурхайн хэлбэлзэл ихтэй зах зээлийн мөчлөгт илүү өртөмтгий болж байгаа бөгөөд гадаадын дотогшлох урсгалаас илүү хамааралтай боллоо. </w:t>
      </w:r>
      <w:r>
        <w:rPr>
          <w:rFonts w:ascii="Arial" w:hAnsi="Arial" w:cs="Arial"/>
          <w:bCs/>
          <w:sz w:val="20"/>
          <w:szCs w:val="18"/>
          <w:lang w:val="mn-MN"/>
        </w:rPr>
        <w:t xml:space="preserve">2011 онд </w:t>
      </w:r>
      <w:r>
        <w:rPr>
          <w:rFonts w:ascii="Arial" w:hAnsi="Arial" w:cs="Arial"/>
          <w:bCs/>
          <w:sz w:val="20"/>
          <w:szCs w:val="18"/>
        </w:rPr>
        <w:t>17.5</w:t>
      </w:r>
      <w:r>
        <w:rPr>
          <w:rFonts w:ascii="Arial" w:hAnsi="Arial" w:cs="Arial"/>
          <w:bCs/>
          <w:sz w:val="20"/>
          <w:szCs w:val="18"/>
          <w:lang w:val="mn-MN"/>
        </w:rPr>
        <w:t xml:space="preserve"> хувийн өсөлт гаргасан нь гадаадын хөрөнгийн дотогшлох урсгал болон төсвийн тэлэх бодлогын үр дүн байсан. Хоёр оронтой өндөр өсөлт нь гадаад шокод өртөх байдлыг нэмэгдүүлсэн. Импорт бараг жилийн хугацаанд бараг хоёр дахин нэмэгдсэн нь тухайн цаг үед уул уурхайн зах зээл сайн байснаас экспорт 65 хувиас илүү хэмжээтэйгээр нэмэгдсэн нь импорт нь экспортын өсөлтийг даван гарсан. Энэ нь дэлхийн уул уурхайн зах зээлд гэнэтийн уналт болоход их хэмжээний худалдааны алдагдал бий болсныг үзүүлэх бөгөөд гадаад худалдааны алдагдлыг их хэмжээний гадаадын хөрөнгийн дотогшлох урсгалаар нь тогтоон барих боломжтой. Дэлхийн уул уурхайн зах зээлийн байдал хүчтэй сулрахад 2012 онд гадаад нөхцөлд өртөмтгий байдал илт нэмэгдсэн. Дэлхийн нүүрсний зах зээл унаснаар нийт экспорт буурч, 2011 онд бий болсон импортын хүчтэй эрэлт нь 2012 онд урсгал дансны алдагдлыг өсгөж, ДНБ</w:t>
      </w:r>
      <w:r>
        <w:rPr>
          <w:rFonts w:ascii="Arial" w:hAnsi="Arial" w:cs="Arial"/>
          <w:bCs/>
          <w:sz w:val="20"/>
          <w:szCs w:val="18"/>
        </w:rPr>
        <w:t>-</w:t>
      </w:r>
      <w:r>
        <w:rPr>
          <w:rFonts w:ascii="Arial" w:hAnsi="Arial" w:cs="Arial"/>
          <w:bCs/>
          <w:sz w:val="20"/>
          <w:szCs w:val="18"/>
          <w:lang w:val="mn-MN"/>
        </w:rPr>
        <w:t xml:space="preserve">ий 32 хувиас дээш хэмжээнд хүрсэн. Гэвч хэрвээ эдийн засагт их хэмжээний хөрөнгийн дотогшлох урсгал орж урсгал дансны алдагдлыг бүрэн санхүүжүүлж байвал урсгал дансны алдагдал нэмэгдэх нь том эрсдэл бус юм. </w:t>
      </w:r>
    </w:p>
    <w:p w14:paraId="348B0E4E" w14:textId="77777777" w:rsidR="008003C7" w:rsidRDefault="008003C7" w:rsidP="008003C7">
      <w:pPr>
        <w:spacing w:before="200"/>
        <w:jc w:val="both"/>
        <w:rPr>
          <w:rFonts w:ascii="Arial" w:hAnsi="Arial" w:cs="Arial"/>
          <w:bCs/>
          <w:sz w:val="20"/>
          <w:szCs w:val="18"/>
        </w:rPr>
      </w:pPr>
      <w:proofErr w:type="gramStart"/>
      <w:r>
        <w:rPr>
          <w:rFonts w:ascii="Arial" w:hAnsi="Arial" w:cs="Arial"/>
          <w:b/>
          <w:bCs/>
          <w:sz w:val="20"/>
          <w:szCs w:val="18"/>
        </w:rPr>
        <w:t>2013</w:t>
      </w:r>
      <w:r>
        <w:rPr>
          <w:rFonts w:ascii="Arial" w:hAnsi="Arial" w:cs="Arial"/>
          <w:b/>
          <w:bCs/>
          <w:sz w:val="20"/>
          <w:szCs w:val="18"/>
          <w:lang w:val="mn-MN"/>
        </w:rPr>
        <w:t xml:space="preserve"> онд Монгол улсын эдийн засаг нь ГШХО урсгал буурсан, уул уурхайн экспорт сул байгаагаас гадаад тэнцвэргүй байдлаас үүссэн асуудалтай тулгараад байна.</w:t>
      </w:r>
      <w:proofErr w:type="gramEnd"/>
      <w:r>
        <w:rPr>
          <w:rFonts w:ascii="Arial" w:hAnsi="Arial" w:cs="Arial"/>
          <w:b/>
          <w:bCs/>
          <w:sz w:val="20"/>
          <w:szCs w:val="18"/>
          <w:lang w:val="mn-MN"/>
        </w:rPr>
        <w:t xml:space="preserve"> </w:t>
      </w:r>
      <w:r>
        <w:rPr>
          <w:rFonts w:ascii="Arial" w:hAnsi="Arial" w:cs="Arial"/>
          <w:bCs/>
          <w:sz w:val="20"/>
          <w:szCs w:val="18"/>
          <w:lang w:val="mn-MN"/>
        </w:rPr>
        <w:t xml:space="preserve">Хөрөнгийн дотогшлох урсгал буурч байгаа нь урсгал дансны алдагдлын зөвхөн тал хувийг л санхүүжүүлэх боломжтой байна. Төлбөрийн тэнцлийн дарамт нэмэгдэж байгаа нь гадаад валютын нөөц болон гадаад валютын зах зээлд тусч эхэллээ. Гадаад валютын нөөц 2012 оны эцэст хамгийн өндөр түвшинд хүрч байснаас ойролцоогоор 30 хувиар буурчээ. Гадаад нөхцөл байдал муудснаас дотоодын мөнгөн тэмдэгт дарамтад орж, 7 сараас эхлэн их хэмжээний хэлбэлзэлтэй байна. </w:t>
      </w:r>
    </w:p>
    <w:p w14:paraId="55B09203" w14:textId="77777777" w:rsidR="008003C7" w:rsidRDefault="008003C7" w:rsidP="008003C7">
      <w:pPr>
        <w:spacing w:before="200"/>
        <w:jc w:val="both"/>
        <w:rPr>
          <w:rFonts w:ascii="Arial" w:hAnsi="Arial" w:cs="Arial"/>
          <w:bCs/>
          <w:sz w:val="20"/>
          <w:szCs w:val="18"/>
        </w:rPr>
      </w:pPr>
      <w:r>
        <w:rPr>
          <w:rFonts w:ascii="Arial" w:hAnsi="Arial" w:cs="Arial"/>
          <w:b/>
          <w:bCs/>
          <w:sz w:val="20"/>
          <w:szCs w:val="18"/>
          <w:lang w:val="mn-MN"/>
        </w:rPr>
        <w:t xml:space="preserve">Төлбөрийн тэнцэл асуудалтай байгаа нь 2011 оноос хойш эхэлсэн мөчлөгийг дагасан эдийн засгийн удирдлагын үр дүн нь нийт эрэлтийг өсгөснийг мөн илэрхийлж байна. </w:t>
      </w:r>
      <w:r>
        <w:rPr>
          <w:rFonts w:ascii="Arial" w:hAnsi="Arial" w:cs="Arial"/>
          <w:bCs/>
          <w:sz w:val="20"/>
          <w:szCs w:val="18"/>
          <w:lang w:val="mn-MN"/>
        </w:rPr>
        <w:t xml:space="preserve">Уул уурхайгаар эхэлсэн хөгжлийн эхэн үед улс орон худалдааны алдагдал өндөр байдаг талтай учир нь уул уурхайн хөрөнгө оруулалтын тоног төхөөрөмжийг өсөлтийг шаарддаг. Оюу толгойн уурхайн бүтэн хүчин чадал нь </w:t>
      </w:r>
      <w:r>
        <w:rPr>
          <w:rFonts w:ascii="Arial" w:hAnsi="Arial" w:cs="Arial"/>
          <w:bCs/>
          <w:sz w:val="20"/>
          <w:szCs w:val="18"/>
        </w:rPr>
        <w:t xml:space="preserve">– </w:t>
      </w:r>
      <w:r>
        <w:rPr>
          <w:rFonts w:ascii="Arial" w:hAnsi="Arial" w:cs="Arial"/>
          <w:bCs/>
          <w:sz w:val="20"/>
          <w:szCs w:val="18"/>
          <w:lang w:val="mn-MN"/>
        </w:rPr>
        <w:t xml:space="preserve">бүрэн дүүрэн ашиглавал нийт эдийн засгийн өсөлтийн гуравны нэгийг </w:t>
      </w:r>
      <w:r>
        <w:rPr>
          <w:rFonts w:ascii="Arial" w:hAnsi="Arial" w:cs="Arial"/>
          <w:bCs/>
          <w:sz w:val="20"/>
          <w:szCs w:val="18"/>
          <w:lang w:val="mn-MN"/>
        </w:rPr>
        <w:lastRenderedPageBreak/>
        <w:t>бүрдүүлэх боломжтой</w:t>
      </w:r>
      <w:r>
        <w:rPr>
          <w:rFonts w:ascii="Arial" w:hAnsi="Arial" w:cs="Arial"/>
          <w:bCs/>
          <w:sz w:val="20"/>
          <w:szCs w:val="18"/>
        </w:rPr>
        <w:t xml:space="preserve"> –</w:t>
      </w:r>
      <w:r>
        <w:rPr>
          <w:rFonts w:ascii="Arial" w:hAnsi="Arial" w:cs="Arial"/>
          <w:bCs/>
          <w:sz w:val="20"/>
          <w:szCs w:val="18"/>
          <w:lang w:val="mn-MN"/>
        </w:rPr>
        <w:t xml:space="preserve"> боловч түүний далд уурхайн хөрөнгө оруулалт дуусаагүй үед хэрэгжих боломжгүй. Гэвч сүүлийн хоёр жилийн мөчлөгийг дагасан эдийн засгийн удирдлага нь нийт эрэлтийг ихээхэн нэмэгдүүлж гадаад худалдааны ихээхэн тэнцвэргүй байдалд хүргэсэн нь уул уурхайн зах зээлийн сунжирсан уналт бий болж байгаа үед дунд болон урт хугацаанд тогтворгүй байх талтай. </w:t>
      </w:r>
    </w:p>
    <w:p w14:paraId="71DE6876" w14:textId="77777777" w:rsidR="008003C7" w:rsidRDefault="008003C7" w:rsidP="008003C7">
      <w:pPr>
        <w:spacing w:before="200"/>
        <w:jc w:val="both"/>
        <w:rPr>
          <w:rFonts w:ascii="Arial" w:hAnsi="Arial" w:cs="Arial"/>
          <w:bCs/>
          <w:szCs w:val="18"/>
        </w:rPr>
      </w:pPr>
      <w:r>
        <w:rPr>
          <w:rFonts w:ascii="Arial" w:hAnsi="Arial" w:cs="Arial"/>
          <w:b/>
          <w:bCs/>
          <w:sz w:val="20"/>
          <w:szCs w:val="18"/>
          <w:lang w:val="mn-MN"/>
        </w:rPr>
        <w:t xml:space="preserve">Макро эдийн засгийн бодлогууд нь зөвхөн эдийн засгийг болон өсөлтийг урамшуулахад чиглэгдэж байгаа нь төлбөрийн тэнцэл болон инфляцийн дарамтыг нэмэгдүүлж байна. </w:t>
      </w:r>
      <w:r>
        <w:rPr>
          <w:rFonts w:ascii="Arial" w:hAnsi="Arial" w:cs="Arial"/>
          <w:bCs/>
          <w:sz w:val="20"/>
          <w:szCs w:val="18"/>
        </w:rPr>
        <w:t>Сүүлийн хоёр жилд үргэлжлүүлэн хуримтлагдсан төсвийн алдагдлын дараа ч 2013 онд төсвийн бодлого нь тэлэлт өндөртэй хэвээрээ байгаа нь их хэмжээний төсвөөс гадуурхи улсын хөрөнгө оруулалтын зарлагаас үүдэлтэй бөгөөд энэ нь төсвийн алдагдлыг ДНБ-</w:t>
      </w:r>
      <w:r>
        <w:rPr>
          <w:rFonts w:ascii="Arial" w:hAnsi="Arial" w:cs="Arial"/>
          <w:bCs/>
          <w:sz w:val="20"/>
          <w:szCs w:val="18"/>
          <w:lang w:val="mn-MN"/>
        </w:rPr>
        <w:t>ий 12 хувиас илүү түвшинд авчирч байна. Мөнгөний бодлого нь мөн 2013 онд тэлэх болсон бөгөөд ДНБ</w:t>
      </w:r>
      <w:r>
        <w:rPr>
          <w:rFonts w:ascii="Arial" w:hAnsi="Arial" w:cs="Arial"/>
          <w:bCs/>
          <w:sz w:val="20"/>
          <w:szCs w:val="18"/>
        </w:rPr>
        <w:t>-</w:t>
      </w:r>
      <w:r>
        <w:rPr>
          <w:rFonts w:ascii="Arial" w:hAnsi="Arial" w:cs="Arial"/>
          <w:bCs/>
          <w:sz w:val="20"/>
          <w:szCs w:val="18"/>
          <w:lang w:val="mn-MN"/>
        </w:rPr>
        <w:t xml:space="preserve">ий 20 гаран хувьтай тэнцэх хэмжээний мөнгийг төв банкны татаас бүхий зээллэгийн хэлбэрээр салбаруудад оруулсан. Эдгээр тэлэх бодлогууд нь эдийн засгийг эхний хагас жилд хоёр оронтой байлгахад тусалсан боловч дотоодын хүчтэй эрэлтийн өсөлт болон импортоос хэт хамааралтай барилгын салбарын өсөлтөөс бий болсон өсөлт нь төлбөрийн тэнцлийн дарамтын эрчимжүүлж байна. Монгол улсын эдийн засгийн удирдлага нь нэлээд тэлэлт бүхий байсан нь их хэмжээний урсгал дансны алдагдал болон өндөр инфляцид хүргэлээ. </w:t>
      </w:r>
      <w:proofErr w:type="gramStart"/>
      <w:r>
        <w:rPr>
          <w:rFonts w:ascii="Arial" w:hAnsi="Arial" w:cs="Arial"/>
          <w:bCs/>
          <w:sz w:val="20"/>
          <w:szCs w:val="18"/>
        </w:rPr>
        <w:t>(</w:t>
      </w:r>
      <w:r>
        <w:rPr>
          <w:rFonts w:ascii="Arial" w:hAnsi="Arial" w:cs="Arial"/>
          <w:bCs/>
          <w:sz w:val="20"/>
          <w:szCs w:val="18"/>
          <w:lang w:val="mn-MN"/>
        </w:rPr>
        <w:t>Хайрцаг</w:t>
      </w:r>
      <w:r>
        <w:rPr>
          <w:rFonts w:ascii="Arial" w:hAnsi="Arial" w:cs="Arial"/>
          <w:bCs/>
          <w:sz w:val="20"/>
          <w:szCs w:val="18"/>
        </w:rPr>
        <w:t xml:space="preserve"> 9).</w:t>
      </w:r>
      <w:proofErr w:type="gramEnd"/>
    </w:p>
    <w:p w14:paraId="7C5A5BDE" w14:textId="77777777" w:rsidR="008003C7" w:rsidRDefault="008003C7" w:rsidP="008003C7">
      <w:pPr>
        <w:pStyle w:val="ListParagraph"/>
        <w:numPr>
          <w:ilvl w:val="0"/>
          <w:numId w:val="31"/>
        </w:numPr>
        <w:spacing w:before="120" w:after="120"/>
        <w:jc w:val="both"/>
        <w:rPr>
          <w:rFonts w:ascii="Arial" w:hAnsi="Arial" w:cs="Arial"/>
          <w:bCs/>
          <w:sz w:val="20"/>
          <w:szCs w:val="18"/>
        </w:rPr>
      </w:pPr>
      <w:r>
        <w:rPr>
          <w:rFonts w:ascii="Arial" w:hAnsi="Arial" w:cs="Arial"/>
          <w:b/>
          <w:bCs/>
          <w:sz w:val="20"/>
          <w:szCs w:val="18"/>
          <w:lang w:val="mn-MN"/>
        </w:rPr>
        <w:t xml:space="preserve">Одоогийн хэрэгжүүлж байгаа эдийн засгийн сул бодлогууд нь төлбөрийн тэнцлийн дарамт нэмэгдэж байгаа энэ үед тогтворгүй бөгөөд макро эдийн засгийн ирээдүйн тогтвортой байдлыг муутгаж байна. </w:t>
      </w:r>
      <w:r>
        <w:rPr>
          <w:rFonts w:ascii="Arial" w:hAnsi="Arial" w:cs="Arial"/>
          <w:bCs/>
          <w:sz w:val="20"/>
          <w:szCs w:val="18"/>
          <w:lang w:val="mn-MN"/>
        </w:rPr>
        <w:t xml:space="preserve">Засгийн газраас нэмэгдэж байгаа гадаад тэнцвэргүй байдал болон төсвийн санхүүжилтийн ялгааг бууруулах чиглэлээр хэд хэдэн эерэг арга хэмжээг авсан. Гэчв өнөөгийн эдийн засгийн бодлогын хүрээнд, их хэмжээний төлбөрийн тэнцлийн дарамт нь ойрын ирээдүйд ихээр буурахгүй байхаар байгаа нь их хэмжээний импортын эрэлттэй, уул уурхайн зах зээлийн сэргэлт тодорхой бус байдалтай байна. Тухайн бүс нутгийн улс орнуудтай харьцуулбал Монгол улсын эдийн засгийн удирдлага нь их хэмжээний тэлэлтийн байдалтай байгаа нь их хэмжээний урсгал дансны алдагдал болон өндөр инфляцийг бий болгож байна. </w:t>
      </w:r>
      <w:r>
        <w:rPr>
          <w:rFonts w:ascii="Arial" w:hAnsi="Arial" w:cs="Arial"/>
          <w:bCs/>
          <w:sz w:val="20"/>
          <w:szCs w:val="18"/>
        </w:rPr>
        <w:t>(</w:t>
      </w:r>
      <w:r>
        <w:rPr>
          <w:rFonts w:ascii="Arial" w:hAnsi="Arial" w:cs="Arial"/>
          <w:bCs/>
          <w:sz w:val="20"/>
          <w:szCs w:val="18"/>
          <w:lang w:val="mn-MN"/>
        </w:rPr>
        <w:t>Хайрцаг</w:t>
      </w:r>
      <w:r>
        <w:rPr>
          <w:rFonts w:ascii="Arial" w:hAnsi="Arial" w:cs="Arial"/>
          <w:bCs/>
          <w:sz w:val="20"/>
          <w:szCs w:val="18"/>
        </w:rPr>
        <w:t xml:space="preserve"> 9). </w:t>
      </w:r>
      <w:r>
        <w:rPr>
          <w:rFonts w:ascii="Arial" w:hAnsi="Arial" w:cs="Arial"/>
          <w:bCs/>
          <w:sz w:val="20"/>
          <w:szCs w:val="18"/>
          <w:lang w:val="mn-MN"/>
        </w:rPr>
        <w:t xml:space="preserve">Хэрвээ одоогийн тэлэлт, эдийн засгийн сул бодлого үргэлжилбэл төлбөрийн тэнцлийн нэмэгдэж буй дарамт тогтворгүй бөгөөд дунд хугацаанд эдийн засгийн хүчтэй зохицуулалт хийх хэрэгтэй болно. </w:t>
      </w:r>
      <w:r>
        <w:rPr>
          <w:rFonts w:ascii="Arial" w:hAnsi="Arial" w:cs="Arial"/>
          <w:b/>
          <w:bCs/>
          <w:sz w:val="20"/>
          <w:szCs w:val="18"/>
          <w:lang w:val="mn-MN"/>
        </w:rPr>
        <w:t>Өнөөгийн эдийн засгийн бодлогын хүрээнд төлбөрийн тэнцлийн их хэмжээний дарамт үргэлжилэхээр байна</w:t>
      </w:r>
      <w:r>
        <w:rPr>
          <w:rFonts w:ascii="Arial" w:hAnsi="Arial" w:cs="Arial"/>
          <w:bCs/>
          <w:sz w:val="20"/>
          <w:szCs w:val="18"/>
        </w:rPr>
        <w:t xml:space="preserve">: (i) </w:t>
      </w:r>
      <w:r>
        <w:rPr>
          <w:rFonts w:ascii="Arial" w:hAnsi="Arial" w:cs="Arial"/>
          <w:bCs/>
          <w:sz w:val="20"/>
          <w:szCs w:val="18"/>
          <w:lang w:val="mn-MN"/>
        </w:rPr>
        <w:t>импортын эрэлт нь</w:t>
      </w:r>
      <w:r>
        <w:rPr>
          <w:rFonts w:ascii="Arial" w:hAnsi="Arial" w:cs="Arial"/>
          <w:bCs/>
          <w:sz w:val="20"/>
          <w:szCs w:val="18"/>
        </w:rPr>
        <w:t xml:space="preserve">– </w:t>
      </w:r>
      <w:r>
        <w:rPr>
          <w:rFonts w:ascii="Arial" w:hAnsi="Arial" w:cs="Arial"/>
          <w:bCs/>
          <w:sz w:val="20"/>
          <w:szCs w:val="18"/>
          <w:lang w:val="mn-MN"/>
        </w:rPr>
        <w:t xml:space="preserve">одоогоор экспортоос </w:t>
      </w:r>
      <w:r>
        <w:rPr>
          <w:rFonts w:ascii="Arial" w:hAnsi="Arial" w:cs="Arial"/>
          <w:bCs/>
          <w:sz w:val="20"/>
          <w:szCs w:val="18"/>
        </w:rPr>
        <w:t xml:space="preserve">1.6 </w:t>
      </w:r>
      <w:r>
        <w:rPr>
          <w:rFonts w:ascii="Arial" w:hAnsi="Arial" w:cs="Arial"/>
          <w:bCs/>
          <w:sz w:val="20"/>
          <w:szCs w:val="18"/>
          <w:lang w:val="mn-MN"/>
        </w:rPr>
        <w:t xml:space="preserve">дахин илүү байгаа бөгөөд </w:t>
      </w:r>
      <w:r>
        <w:rPr>
          <w:rFonts w:ascii="Arial" w:hAnsi="Arial" w:cs="Arial"/>
          <w:bCs/>
          <w:sz w:val="20"/>
          <w:szCs w:val="18"/>
        </w:rPr>
        <w:t xml:space="preserve">– </w:t>
      </w:r>
      <w:r>
        <w:rPr>
          <w:rFonts w:ascii="Arial" w:hAnsi="Arial" w:cs="Arial"/>
          <w:bCs/>
          <w:sz w:val="20"/>
          <w:szCs w:val="18"/>
          <w:lang w:val="mn-MN"/>
        </w:rPr>
        <w:t>зээлийн хурдац хэвээрээ, МУХБ төсвөөс гадуурхи зарлага нэмэгдэж байгаатай холбоотойгоор хэрэглээ болон барилгын үйл ажиллагаа хурдасвал илүү хурдан өсөх болно</w:t>
      </w:r>
      <w:r>
        <w:rPr>
          <w:rFonts w:ascii="Arial" w:hAnsi="Arial" w:cs="Arial"/>
          <w:bCs/>
          <w:sz w:val="20"/>
          <w:szCs w:val="18"/>
        </w:rPr>
        <w:t xml:space="preserve">; (ii) </w:t>
      </w:r>
      <w:r>
        <w:rPr>
          <w:rFonts w:ascii="Arial" w:hAnsi="Arial" w:cs="Arial"/>
          <w:bCs/>
          <w:sz w:val="20"/>
          <w:szCs w:val="18"/>
          <w:lang w:val="mn-MN"/>
        </w:rPr>
        <w:t>гол нүүрсний уурхайнуудад үйлдвэрлэл нэмэгдэх төлөвлөгөөтэй байгаа тул Хятад улсад нийлүүлэлтийн илүүдэлтэй байгаа болон хүчтэй өрсөлдөөний дүнд нүүрсний экспорт ирэх саруудад сул хэвээрээ байхаар байна</w:t>
      </w:r>
      <w:r>
        <w:rPr>
          <w:rFonts w:ascii="Arial" w:hAnsi="Arial" w:cs="Arial"/>
          <w:bCs/>
          <w:sz w:val="20"/>
          <w:szCs w:val="18"/>
        </w:rPr>
        <w:t xml:space="preserve">; (iii) </w:t>
      </w:r>
      <w:r>
        <w:rPr>
          <w:rFonts w:ascii="Arial" w:hAnsi="Arial" w:cs="Arial"/>
          <w:bCs/>
          <w:sz w:val="20"/>
          <w:szCs w:val="18"/>
          <w:lang w:val="mn-MN"/>
        </w:rPr>
        <w:t>ОТ уурхайгаас үүсэх төлбөрийн тэнцлийн нөлөө ирэх саруудад хязгаарлагдмал байх болно учир нь уурхайн бүрэн хүчин чадлыг түүний хоёрдахь үе шат дууссаны дараа мөн экспортын орлогын нэлээд их хувийг нь уурхайн гадаад хөгжлийн зардлыг эргэн төлөхөд ашиглагдсны дараа гарч ирнэ</w:t>
      </w:r>
      <w:r>
        <w:rPr>
          <w:rFonts w:ascii="Arial" w:hAnsi="Arial" w:cs="Arial"/>
          <w:bCs/>
          <w:sz w:val="20"/>
          <w:szCs w:val="18"/>
        </w:rPr>
        <w:t xml:space="preserve">; (iv) </w:t>
      </w:r>
      <w:r>
        <w:rPr>
          <w:rFonts w:ascii="Arial" w:hAnsi="Arial" w:cs="Arial"/>
          <w:bCs/>
          <w:sz w:val="20"/>
          <w:szCs w:val="18"/>
          <w:lang w:val="mn-MN"/>
        </w:rPr>
        <w:t xml:space="preserve">хэдийгээр шинээр Хөрөнгө оруулалтын хуулийг баталсан ч гадаадын их хэмжээний хөрөнгийн дотогшлох урсгал эргэн бий болоход цаг хугацаа шаардлагатай учир нь боломжит хөрөнгө оруулагчид өөрсдийн бизнесийн төлөвлөлт болон шинэ хөрөнгө оруулалтын амлалтуудад тохируулга хийгдэнэ. </w:t>
      </w:r>
    </w:p>
    <w:p w14:paraId="31834E28" w14:textId="77777777" w:rsidR="008003C7" w:rsidRDefault="008003C7" w:rsidP="008003C7">
      <w:pPr>
        <w:pStyle w:val="ListParagraph"/>
        <w:numPr>
          <w:ilvl w:val="0"/>
          <w:numId w:val="31"/>
        </w:numPr>
        <w:spacing w:before="120" w:after="120"/>
        <w:jc w:val="both"/>
        <w:rPr>
          <w:rFonts w:ascii="Arial" w:hAnsi="Arial" w:cs="Arial"/>
          <w:bCs/>
          <w:sz w:val="20"/>
          <w:szCs w:val="18"/>
        </w:rPr>
      </w:pPr>
      <w:r>
        <w:rPr>
          <w:rFonts w:ascii="Arial" w:hAnsi="Arial" w:cs="Arial"/>
          <w:b/>
          <w:bCs/>
          <w:sz w:val="20"/>
          <w:szCs w:val="18"/>
          <w:lang w:val="mn-MN"/>
        </w:rPr>
        <w:t xml:space="preserve">Төлбөрийн тэнцэл үргэлжлүүлэн муудаж байгаа нь валютын нөөц болон гадаад валютын зах зээлд нэмэлт дарамт бий болгох талтай. </w:t>
      </w:r>
      <w:r>
        <w:rPr>
          <w:rFonts w:ascii="Arial" w:hAnsi="Arial" w:cs="Arial"/>
          <w:bCs/>
          <w:sz w:val="20"/>
          <w:szCs w:val="18"/>
          <w:lang w:val="mn-MN"/>
        </w:rPr>
        <w:t xml:space="preserve">Хэдийгээр гадаад валютын нөөц нь хангалттай түвшинд байгаа ч өнөөгийн байдлаар нөөц буурвал дунд хугацаанд тогтворгүй болох талтай. Хэдийгээр өнөөгийн ханшны сулралт нь импортын эрэлтийг </w:t>
      </w:r>
      <w:r>
        <w:rPr>
          <w:rFonts w:ascii="Arial" w:hAnsi="Arial" w:cs="Arial"/>
          <w:bCs/>
          <w:sz w:val="20"/>
          <w:szCs w:val="18"/>
          <w:lang w:val="mn-MN"/>
        </w:rPr>
        <w:lastRenderedPageBreak/>
        <w:t xml:space="preserve">бууруулах, экспортын өрсөлдөх чадварыг тодорхой хэмжээнд сайжруулахад тустай боловч импортын дотоодын хэрэглээ импортоос хамааралтай байдалд инфляцийн дарамтыг нэмэгдүүлж, банкны салбарын эрүүл байдалд сөрөг эрсдлийг үүсгэх талтай. </w:t>
      </w:r>
    </w:p>
    <w:p w14:paraId="155A2DC6" w14:textId="77777777" w:rsidR="008003C7" w:rsidRDefault="008003C7" w:rsidP="008003C7">
      <w:pPr>
        <w:pStyle w:val="ListParagraph"/>
        <w:numPr>
          <w:ilvl w:val="0"/>
          <w:numId w:val="31"/>
        </w:numPr>
        <w:spacing w:before="120" w:after="120"/>
        <w:jc w:val="both"/>
        <w:rPr>
          <w:rFonts w:ascii="Arial" w:hAnsi="Arial" w:cs="Arial"/>
          <w:bCs/>
          <w:sz w:val="20"/>
          <w:szCs w:val="20"/>
        </w:rPr>
      </w:pPr>
      <w:r>
        <w:rPr>
          <w:rFonts w:ascii="Arial" w:hAnsi="Arial" w:cs="Arial"/>
          <w:b/>
          <w:sz w:val="20"/>
          <w:szCs w:val="18"/>
          <w:lang w:val="mn-MN"/>
        </w:rPr>
        <w:t xml:space="preserve">Төсвийн алдагдал болон улсын өр нэмэгдэж байгаагаас гадаадад байдалд үүсч болох шок болон уул уурхайн салбарын байдалд улам муудах үед удирдах төсвийн орон зай улам багасаж байна. </w:t>
      </w:r>
      <w:r>
        <w:rPr>
          <w:rFonts w:ascii="Arial" w:hAnsi="Arial" w:cs="Arial"/>
          <w:sz w:val="20"/>
          <w:szCs w:val="20"/>
          <w:lang w:val="mn-MN"/>
        </w:rPr>
        <w:t>Улсын өрийн ДНБ</w:t>
      </w:r>
      <w:r>
        <w:rPr>
          <w:rFonts w:ascii="Arial" w:hAnsi="Arial" w:cs="Arial"/>
          <w:sz w:val="20"/>
          <w:szCs w:val="20"/>
        </w:rPr>
        <w:t>-</w:t>
      </w:r>
      <w:r>
        <w:rPr>
          <w:rFonts w:ascii="Arial" w:hAnsi="Arial" w:cs="Arial"/>
          <w:sz w:val="20"/>
          <w:szCs w:val="20"/>
          <w:lang w:val="mn-MN"/>
        </w:rPr>
        <w:t xml:space="preserve">д харьцуулах харьцаа нь 2010 онд 35 хувь байснаа 2012 онд их хэмжээний гадаад өр гаргасан мөн дотоодын өр хуримтлагдснаас уг харьцаа 63 хувьд хүрсэн. Төсвийн чадавхи муудаж байгаа нь эдийн засгийн уналтын үед засгийн газрын гадаад санхүүжилтийг хийх чадавхид хязгаарлагдмал байдал үүснэ учир нь олон улсын санхүүгийн зах зээл нь төсвийн суларч байгаа байдлаас үүдэж илүү өндөр өртэгтэй зээллэгт хүрэх болно. </w:t>
      </w:r>
    </w:p>
    <w:p w14:paraId="3F9AC538" w14:textId="77777777" w:rsidR="008003C7" w:rsidRDefault="008003C7" w:rsidP="008003C7">
      <w:pPr>
        <w:pStyle w:val="ListParagraph"/>
        <w:numPr>
          <w:ilvl w:val="0"/>
          <w:numId w:val="31"/>
        </w:numPr>
        <w:spacing w:before="120" w:after="120"/>
        <w:jc w:val="both"/>
        <w:rPr>
          <w:rFonts w:ascii="Arial" w:hAnsi="Arial" w:cs="Arial"/>
          <w:bCs/>
          <w:szCs w:val="20"/>
        </w:rPr>
      </w:pPr>
      <w:r>
        <w:rPr>
          <w:rFonts w:ascii="Arial" w:hAnsi="Arial" w:cs="Arial"/>
          <w:b/>
          <w:bCs/>
          <w:sz w:val="20"/>
          <w:szCs w:val="20"/>
          <w:lang w:val="mn-MN"/>
        </w:rPr>
        <w:t xml:space="preserve">Хэдийгээр ГШХҮ буурч байгаа үед зээлийн өсөлтийг хадгалж байх нь чухал байсан боловч мөнгөний нэмэлт сулруулалт нь банкны тогтолцооны өртөмтгий байдлыг нэмэгдүүлж, эдийн засгийн тэнцвэргүй байдалд орох талтай. </w:t>
      </w:r>
      <w:r>
        <w:rPr>
          <w:rFonts w:ascii="Arial" w:hAnsi="Arial" w:cs="Arial"/>
          <w:bCs/>
          <w:sz w:val="20"/>
          <w:szCs w:val="20"/>
          <w:lang w:val="mn-MN"/>
        </w:rPr>
        <w:t xml:space="preserve">Хувийн зээлийн өсөлт нь 9 дүгээр сард 48 хувь хүртэл хурдассан нь банкны салбарыг эдийн засгийн учирч болзошгүй уналтад илүү өртөмтгий болгож байна учир нь зээлийн өсөлт нь барилгын болон орон сууцны салбарт төвлөрсөн түүний эдийн засгийн мөчлөгт өртөмтгий байдал хэвээрээ байна. </w:t>
      </w:r>
      <w:r>
        <w:rPr>
          <w:rFonts w:ascii="Arial" w:hAnsi="Arial" w:cs="Arial"/>
          <w:bCs/>
          <w:sz w:val="20"/>
          <w:szCs w:val="20"/>
        </w:rPr>
        <w:t xml:space="preserve">Үүнээс гадна зээлийн хурдацтай өсөлтийн макро эдийн засгийн тогтвортой байдалд үзүүлэх сөрөг нөлөө нь валютын ханшны сулралт хурдасч байгаа, инфляци нэмэгдэж байгаагаар илэрч байх талтай. </w:t>
      </w:r>
      <w:r>
        <w:rPr>
          <w:rFonts w:ascii="Arial" w:hAnsi="Arial" w:cs="Arial"/>
          <w:bCs/>
          <w:sz w:val="20"/>
          <w:szCs w:val="20"/>
          <w:lang w:val="mn-MN"/>
        </w:rPr>
        <w:t xml:space="preserve">Мөнгөний сулруулах хөтөлбөрийг хүрээнд оновчтой зохицуулалтыг бодлогын зээлүүдэд сулруулсан нь банкны зээлжилтэнд ёс суртахууны гажуудлыг нэмэгдүүлж, банкны салбарын ил тод байдлыг муутгана. </w:t>
      </w:r>
    </w:p>
    <w:p w14:paraId="2F8CC957" w14:textId="77777777" w:rsidR="008003C7" w:rsidRDefault="008003C7" w:rsidP="008003C7">
      <w:pPr>
        <w:spacing w:after="0"/>
        <w:jc w:val="both"/>
        <w:rPr>
          <w:rFonts w:ascii="Arial" w:hAnsi="Arial" w:cs="Arial"/>
          <w:bCs/>
          <w:sz w:val="12"/>
          <w:szCs w:val="18"/>
        </w:rPr>
      </w:pPr>
      <w:r>
        <w:rPr>
          <w:rFonts w:ascii="Arial" w:hAnsi="Arial" w:cs="Arial"/>
          <w:b/>
          <w:bCs/>
          <w:sz w:val="20"/>
          <w:szCs w:val="18"/>
          <w:lang w:val="mn-MN"/>
        </w:rPr>
        <w:t xml:space="preserve">Хэрвээ Монгол улсын эдийн засаг нь дэлхийн эдийн засгийн тааламжгүй нөхцөл байдалд өртөж буй байдал нэмэгдвэл сөрөг эрсдэл нь улам өсөхөөр байна. </w:t>
      </w:r>
      <w:r>
        <w:rPr>
          <w:rFonts w:ascii="Arial" w:hAnsi="Arial" w:cs="Arial"/>
          <w:bCs/>
          <w:sz w:val="20"/>
          <w:szCs w:val="18"/>
          <w:lang w:val="mn-MN"/>
        </w:rPr>
        <w:t>Өнөөгийн бодлогуудад, эдгээр гарч болох гадаад шокыг давж гарах бодлогын хавхавчууд хязгаарлагдмал байна, учир нь төлбөрийн тэнцлийн дарамт нэмэгдэж байгаа, төсвийн алдагдал болон улсын өр өсч байгаа мөн инфляци өсч байна. Хятадын эдийн засгийн хөрөнгө оруулалтад чиглэсэн өсөлтөөс илүү хэрэглээнд суурилсан өсөлтөд оновчгүй замаар чиглүүлбэл энэ нь хятадын эдийн засгийн өсөлтөд сөргөөр нөлөөлнө. Хөгжсөн эдийн засгуудад сүүлийн жилүүдэд эрчимтэй хийгдэж байсан тоо хэмжээний сулруулалтыг ойрын ирээдүйд зогсоовол шинээр үүсч буй эдийн засагт орох хөрөнгийн урсгалыг сулруулж, зээлжилтийн өртөгийг нэмэгдүүлнэ. Зарим шинээр үүсч буй орнууд</w:t>
      </w:r>
      <w:r>
        <w:rPr>
          <w:rFonts w:ascii="Arial" w:hAnsi="Arial" w:cs="Arial"/>
          <w:bCs/>
          <w:sz w:val="20"/>
          <w:szCs w:val="18"/>
        </w:rPr>
        <w:t xml:space="preserve">– </w:t>
      </w:r>
      <w:r>
        <w:rPr>
          <w:rFonts w:ascii="Arial" w:hAnsi="Arial" w:cs="Arial"/>
          <w:bCs/>
          <w:sz w:val="20"/>
          <w:szCs w:val="18"/>
          <w:lang w:val="mn-MN"/>
        </w:rPr>
        <w:t>ялангуяа их хэмжээний урсгал дансны алдагдалтай, гадаадын хөрөнгөөс хэт хамаарсан</w:t>
      </w:r>
      <w:r>
        <w:rPr>
          <w:rFonts w:ascii="Arial" w:hAnsi="Arial" w:cs="Arial"/>
          <w:bCs/>
          <w:sz w:val="20"/>
          <w:szCs w:val="18"/>
        </w:rPr>
        <w:t xml:space="preserve"> – </w:t>
      </w:r>
      <w:r>
        <w:rPr>
          <w:rFonts w:ascii="Arial" w:hAnsi="Arial" w:cs="Arial"/>
          <w:bCs/>
          <w:sz w:val="20"/>
          <w:szCs w:val="18"/>
          <w:lang w:val="mn-MN"/>
        </w:rPr>
        <w:t xml:space="preserve">нь хэдийнээ хөрөнгийн хүчтэй гадагшлах урсгалыг амсөөд байгаа бөгөөд сүүлийн саруудад дотоодын валют суларч, дэлхийн санхүүгийн нөхцөл байдал өөрчлөгдөх үед макро эдийн засгийн бодлогын халхавчуудыг бэлтгэж, өөрсдийн хөрөнгө оруулалтынхаа орчинг сайжруулж эхлээд байна. Уул уурхайн зах зээл ойрын ирээдүйд сул хэвээрээ байхаар байгаа нь нийлүүлэлтийн нөхцөл байдал сайн, гол бүтээгдэхүүнүүд, нүүрс болон зэсийг оруулаад экспортлогчдын дунд өрсөлдөөн нэмэгдэж байна. </w:t>
      </w:r>
    </w:p>
    <w:tbl>
      <w:tblPr>
        <w:tblpPr w:leftFromText="180" w:rightFromText="180" w:vertAnchor="text" w:tblpY="1"/>
        <w:tblOverlap w:val="never"/>
        <w:tblW w:w="0" w:type="auto"/>
        <w:tblLook w:val="04A0" w:firstRow="1" w:lastRow="0" w:firstColumn="1" w:lastColumn="0" w:noHBand="0" w:noVBand="1"/>
      </w:tblPr>
      <w:tblGrid>
        <w:gridCol w:w="9576"/>
      </w:tblGrid>
      <w:tr w:rsidR="008003C7" w14:paraId="33F98F93" w14:textId="77777777" w:rsidTr="008003C7">
        <w:tc>
          <w:tcPr>
            <w:tcW w:w="9576" w:type="dxa"/>
            <w:tcBorders>
              <w:top w:val="single" w:sz="4" w:space="0" w:color="auto"/>
              <w:left w:val="single" w:sz="4" w:space="0" w:color="auto"/>
              <w:bottom w:val="single" w:sz="4" w:space="0" w:color="auto"/>
              <w:right w:val="single" w:sz="4" w:space="0" w:color="auto"/>
            </w:tcBorders>
          </w:tcPr>
          <w:p w14:paraId="05F5A84F" w14:textId="77777777" w:rsidR="008003C7" w:rsidRDefault="008003C7">
            <w:pPr>
              <w:pStyle w:val="Caption"/>
              <w:keepNext/>
              <w:rPr>
                <w:rFonts w:ascii="Arial" w:hAnsi="Arial" w:cs="Arial"/>
              </w:rPr>
            </w:pPr>
            <w:bookmarkStart w:id="82" w:name="_Toc371339048"/>
            <w:r>
              <w:rPr>
                <w:rFonts w:ascii="Arial" w:hAnsi="Arial" w:cs="Arial"/>
                <w:lang w:val="mn-MN"/>
              </w:rPr>
              <w:t xml:space="preserve">Хайрцаг </w:t>
            </w:r>
            <w:r>
              <w:rPr>
                <w:rFonts w:ascii="Arial" w:hAnsi="Arial" w:cs="Arial"/>
              </w:rPr>
              <w:fldChar w:fldCharType="begin"/>
            </w:r>
            <w:r>
              <w:rPr>
                <w:rFonts w:ascii="Arial" w:hAnsi="Arial" w:cs="Arial"/>
              </w:rPr>
              <w:instrText xml:space="preserve"> SEQ Box \* ARABIC </w:instrText>
            </w:r>
            <w:r>
              <w:rPr>
                <w:rFonts w:ascii="Arial" w:hAnsi="Arial" w:cs="Arial"/>
              </w:rPr>
              <w:fldChar w:fldCharType="separate"/>
            </w:r>
            <w:r>
              <w:rPr>
                <w:rFonts w:ascii="Arial" w:hAnsi="Arial" w:cs="Arial"/>
                <w:noProof/>
              </w:rPr>
              <w:t>9</w:t>
            </w:r>
            <w:r>
              <w:rPr>
                <w:rFonts w:ascii="Arial" w:hAnsi="Arial" w:cs="Arial"/>
              </w:rPr>
              <w:fldChar w:fldCharType="end"/>
            </w:r>
            <w:r>
              <w:rPr>
                <w:rFonts w:ascii="Arial" w:hAnsi="Arial" w:cs="Arial"/>
              </w:rPr>
              <w:t xml:space="preserve">. </w:t>
            </w:r>
            <w:r>
              <w:rPr>
                <w:rFonts w:ascii="Arial" w:hAnsi="Arial" w:cs="Arial"/>
                <w:lang w:val="mn-MN"/>
              </w:rPr>
              <w:t>Монгол улс болон тус бүс нутагийн орнуудын макро эдийн засгийн бодлогууд</w:t>
            </w:r>
            <w:bookmarkEnd w:id="82"/>
          </w:p>
          <w:p w14:paraId="3C468FB4" w14:textId="77777777" w:rsidR="008003C7" w:rsidRDefault="008003C7">
            <w:pPr>
              <w:spacing w:after="120"/>
              <w:rPr>
                <w:rFonts w:ascii="Arial" w:hAnsi="Arial" w:cs="Arial"/>
                <w:sz w:val="20"/>
              </w:rPr>
            </w:pPr>
            <w:r>
              <w:rPr>
                <w:rFonts w:ascii="Arial" w:hAnsi="Arial" w:cs="Arial"/>
                <w:sz w:val="20"/>
                <w:lang w:val="mn-MN"/>
              </w:rPr>
              <w:t xml:space="preserve">Эдийн засгийн бодлогуудын үнэлгээгээр, Монгол улсын эдийн засгийн бодлогын нөхцөл байдлыг тухайн бүс нутаг дахь орнуудынхтай харьцуулж болно. Энэ хайрцаг нь Зүүн Ази болон Номхон далайн орнуудын бусад орнууд болон Монгол улсын хооронд эдийн засгийн үндсэн параметрүүд болон бодлогын хувьсагчдыг харьцууллаа. </w:t>
            </w:r>
            <w:r>
              <w:rPr>
                <w:rFonts w:ascii="Arial" w:hAnsi="Arial" w:cs="Arial"/>
                <w:sz w:val="20"/>
              </w:rPr>
              <w:t>(</w:t>
            </w:r>
            <w:r>
              <w:rPr>
                <w:rFonts w:ascii="Arial" w:hAnsi="Arial" w:cs="Arial"/>
                <w:sz w:val="20"/>
                <w:lang w:val="mn-MN"/>
              </w:rPr>
              <w:t>Зураг</w:t>
            </w:r>
            <w:r>
              <w:rPr>
                <w:rFonts w:ascii="Arial" w:hAnsi="Arial" w:cs="Arial"/>
                <w:sz w:val="20"/>
              </w:rPr>
              <w:t xml:space="preserve"> 51).</w:t>
            </w:r>
          </w:p>
          <w:p w14:paraId="7A03BE49" w14:textId="77777777" w:rsidR="008003C7" w:rsidRDefault="008003C7">
            <w:pPr>
              <w:spacing w:after="120"/>
              <w:jc w:val="both"/>
              <w:rPr>
                <w:rFonts w:ascii="Arial" w:hAnsi="Arial" w:cs="Arial"/>
                <w:sz w:val="20"/>
              </w:rPr>
            </w:pPr>
            <w:r>
              <w:rPr>
                <w:rFonts w:ascii="Arial" w:hAnsi="Arial" w:cs="Arial"/>
                <w:sz w:val="20"/>
                <w:lang w:val="mn-MN"/>
              </w:rPr>
              <w:t xml:space="preserve">Хэдийгээр Монгол улс бүс нутагтаа хамгийн өндөр өсөлттэй байгаа боловч бусад орнуудтай харьцуулбал их хэмжээний үргэлжилсэн гадаад болон дотоод тэнцвэргүй байдалтай байна. </w:t>
            </w:r>
          </w:p>
          <w:p w14:paraId="7CA7E4D0" w14:textId="77777777" w:rsidR="008003C7" w:rsidRDefault="008003C7" w:rsidP="008003C7">
            <w:pPr>
              <w:pStyle w:val="ListParagraph"/>
              <w:numPr>
                <w:ilvl w:val="0"/>
                <w:numId w:val="32"/>
              </w:numPr>
              <w:spacing w:after="120" w:line="273" w:lineRule="auto"/>
              <w:jc w:val="both"/>
              <w:rPr>
                <w:rFonts w:ascii="Arial" w:hAnsi="Arial" w:cs="Arial"/>
                <w:sz w:val="20"/>
              </w:rPr>
            </w:pPr>
            <w:r>
              <w:rPr>
                <w:rFonts w:ascii="Arial" w:hAnsi="Arial" w:cs="Arial"/>
                <w:sz w:val="20"/>
                <w:lang w:val="mn-MN"/>
              </w:rPr>
              <w:t xml:space="preserve">Сүүлийн гурван жилд тус бүс нутаг дахь бусад орнуудтай харьцуулбал урсгал дансны </w:t>
            </w:r>
            <w:r>
              <w:rPr>
                <w:rFonts w:ascii="Arial" w:hAnsi="Arial" w:cs="Arial"/>
                <w:sz w:val="20"/>
                <w:lang w:val="mn-MN"/>
              </w:rPr>
              <w:lastRenderedPageBreak/>
              <w:t>тэнцлийн ДНБ</w:t>
            </w:r>
            <w:r>
              <w:rPr>
                <w:rFonts w:ascii="Arial" w:hAnsi="Arial" w:cs="Arial"/>
                <w:sz w:val="20"/>
              </w:rPr>
              <w:t>-</w:t>
            </w:r>
            <w:r>
              <w:rPr>
                <w:rFonts w:ascii="Arial" w:hAnsi="Arial" w:cs="Arial"/>
                <w:sz w:val="20"/>
                <w:lang w:val="mn-MN"/>
              </w:rPr>
              <w:t>д харьцуулсан харьцаа нь хамгийн өндөр байсан. Мөн Лаос болон Папуа Шинэ Гвинейн улсуудын урсгал дансны ДНБ</w:t>
            </w:r>
            <w:r>
              <w:rPr>
                <w:rFonts w:ascii="Arial" w:hAnsi="Arial" w:cs="Arial"/>
                <w:sz w:val="20"/>
              </w:rPr>
              <w:t>-</w:t>
            </w:r>
            <w:r>
              <w:rPr>
                <w:rFonts w:ascii="Arial" w:hAnsi="Arial" w:cs="Arial"/>
                <w:sz w:val="20"/>
                <w:lang w:val="mn-MN"/>
              </w:rPr>
              <w:t>д харьцуулах харьцаа нь 15</w:t>
            </w:r>
            <w:r>
              <w:rPr>
                <w:rFonts w:ascii="Arial" w:hAnsi="Arial" w:cs="Arial"/>
                <w:sz w:val="20"/>
              </w:rPr>
              <w:t>-</w:t>
            </w:r>
            <w:r>
              <w:rPr>
                <w:rFonts w:ascii="Arial" w:hAnsi="Arial" w:cs="Arial"/>
                <w:sz w:val="20"/>
                <w:lang w:val="mn-MN"/>
              </w:rPr>
              <w:t>20 хувьд оршиж байна. Бусад эрдэс баялаг экспортлогч орнууд</w:t>
            </w:r>
            <w:r>
              <w:rPr>
                <w:rFonts w:ascii="Arial" w:hAnsi="Arial" w:cs="Arial"/>
                <w:sz w:val="20"/>
              </w:rPr>
              <w:t xml:space="preserve"> (</w:t>
            </w:r>
            <w:r>
              <w:rPr>
                <w:rFonts w:ascii="Arial" w:hAnsi="Arial" w:cs="Arial"/>
                <w:sz w:val="20"/>
                <w:lang w:val="mn-MN"/>
              </w:rPr>
              <w:t>жишээ нь Индонез, Мьяанмар</w:t>
            </w:r>
            <w:r>
              <w:rPr>
                <w:rFonts w:ascii="Arial" w:hAnsi="Arial" w:cs="Arial"/>
                <w:sz w:val="20"/>
              </w:rPr>
              <w:t xml:space="preserve">) </w:t>
            </w:r>
            <w:r>
              <w:rPr>
                <w:rFonts w:ascii="Arial" w:hAnsi="Arial" w:cs="Arial"/>
                <w:sz w:val="20"/>
                <w:lang w:val="mn-MN"/>
              </w:rPr>
              <w:t>зэрэг улсуудад урсгал дансны алдагдал нь муудай байгаа боловч түүний ДНБ</w:t>
            </w:r>
            <w:r>
              <w:rPr>
                <w:rFonts w:ascii="Arial" w:hAnsi="Arial" w:cs="Arial"/>
                <w:sz w:val="20"/>
              </w:rPr>
              <w:t>-</w:t>
            </w:r>
            <w:r>
              <w:rPr>
                <w:rFonts w:ascii="Arial" w:hAnsi="Arial" w:cs="Arial"/>
                <w:sz w:val="20"/>
                <w:lang w:val="mn-MN"/>
              </w:rPr>
              <w:t xml:space="preserve">д харьцуулсан харьцаа нь Монгол эсвэл бусад хоёр оронтой харьцуулбал бага байна. </w:t>
            </w:r>
          </w:p>
          <w:p w14:paraId="5001E7C9" w14:textId="77777777" w:rsidR="008003C7" w:rsidRDefault="008003C7">
            <w:pPr>
              <w:pStyle w:val="ListParagraph"/>
              <w:spacing w:after="120"/>
              <w:jc w:val="both"/>
              <w:rPr>
                <w:rFonts w:ascii="Arial" w:hAnsi="Arial" w:cs="Arial"/>
                <w:sz w:val="20"/>
              </w:rPr>
            </w:pPr>
          </w:p>
          <w:p w14:paraId="7425FD55" w14:textId="77777777" w:rsidR="008003C7" w:rsidRDefault="008003C7" w:rsidP="008003C7">
            <w:pPr>
              <w:pStyle w:val="ListParagraph"/>
              <w:numPr>
                <w:ilvl w:val="0"/>
                <w:numId w:val="32"/>
              </w:numPr>
              <w:spacing w:after="120"/>
              <w:jc w:val="both"/>
              <w:rPr>
                <w:rFonts w:ascii="Arial" w:hAnsi="Arial" w:cs="Arial"/>
                <w:sz w:val="20"/>
              </w:rPr>
            </w:pPr>
            <w:r>
              <w:rPr>
                <w:rFonts w:ascii="Arial" w:hAnsi="Arial" w:cs="Arial"/>
                <w:sz w:val="20"/>
                <w:lang w:val="mn-MN"/>
              </w:rPr>
              <w:t xml:space="preserve">Монгол улсын инфляцийн түвшинд нь бүс нутагтаа Вьетнамаас бусдаас нь хамгийн өндөр байна. Гэвч Вьетнам улсын инфляцийн түвшин нь сүүлийн хоёр жилийн хугацаанд буурах хандлагатай байсан. Индонез улсад инфляци 2013 онд 9.8 хувь байсан нт 2005 оноос хойш анх удаа татаастай байсан түлшний үнийг нэмэгдүүлсэнтэй холбоотой. </w:t>
            </w:r>
          </w:p>
          <w:p w14:paraId="7074949F" w14:textId="77777777" w:rsidR="008003C7" w:rsidRDefault="008003C7">
            <w:pPr>
              <w:pStyle w:val="ListParagraph"/>
              <w:spacing w:after="120"/>
              <w:rPr>
                <w:rFonts w:ascii="Arial" w:hAnsi="Arial" w:cs="Arial"/>
                <w:sz w:val="20"/>
              </w:rPr>
            </w:pPr>
          </w:p>
          <w:p w14:paraId="4376836F" w14:textId="77777777" w:rsidR="008003C7" w:rsidRDefault="008003C7" w:rsidP="008003C7">
            <w:pPr>
              <w:pStyle w:val="ListParagraph"/>
              <w:numPr>
                <w:ilvl w:val="0"/>
                <w:numId w:val="32"/>
              </w:numPr>
              <w:spacing w:after="120"/>
              <w:jc w:val="both"/>
              <w:rPr>
                <w:rFonts w:ascii="Arial" w:hAnsi="Arial" w:cs="Arial"/>
                <w:sz w:val="20"/>
              </w:rPr>
            </w:pPr>
            <w:r>
              <w:rPr>
                <w:rFonts w:ascii="Arial" w:hAnsi="Arial" w:cs="Arial"/>
                <w:sz w:val="20"/>
                <w:lang w:val="mn-MN"/>
              </w:rPr>
              <w:t>Монгол улсын нь сүүлийн гурван жилд их хэмжээний гадаадын хөрөнгө оруулалт буурсан. Монгол улс нь ДНБ</w:t>
            </w:r>
            <w:r>
              <w:rPr>
                <w:rFonts w:ascii="Arial" w:hAnsi="Arial" w:cs="Arial"/>
                <w:sz w:val="20"/>
              </w:rPr>
              <w:t>-</w:t>
            </w:r>
            <w:r>
              <w:rPr>
                <w:rFonts w:ascii="Arial" w:hAnsi="Arial" w:cs="Arial"/>
                <w:sz w:val="20"/>
                <w:lang w:val="mn-MN"/>
              </w:rPr>
              <w:t xml:space="preserve">тэй харьцуулсан ГШХО урсгал нь хамгийн өндөр хувь байсан бол түүний хувь 2011 онд 58 хувь байснаа 2013 онд 20 хувиас доош буухаар байна. </w:t>
            </w:r>
          </w:p>
          <w:p w14:paraId="349D13EA" w14:textId="77777777" w:rsidR="008003C7" w:rsidRDefault="008003C7">
            <w:pPr>
              <w:jc w:val="both"/>
              <w:rPr>
                <w:rFonts w:ascii="Arial" w:hAnsi="Arial" w:cs="Arial"/>
                <w:sz w:val="20"/>
              </w:rPr>
            </w:pPr>
            <w:r>
              <w:rPr>
                <w:rFonts w:ascii="Arial" w:hAnsi="Arial" w:cs="Arial"/>
                <w:sz w:val="20"/>
                <w:lang w:val="mn-MN"/>
              </w:rPr>
              <w:t>Төсвийн болон мөнгөний бодлогын хувьсагчдаас харахад тэлэх бодлогууд нь өндөр өсөлтийг суурь нь байсан бөгөөд их хэмжээний гадаад болон дотоод тэнцвэргүй байдлын ч суррь болжээ. Монгол улсын төсвийн алдагдал сүүлийн хоёр жилд бүс нутагтаа хамгийн өндөр байсан бөгөөд 2013 онд цаашид өсөхөөр байна. Ихэнх орнууд дэлхийн санхүүгийн хямралыг удирдахын тулд бодлогын арга хэмжээг авч хэрэгжүүлж байгаагийн улмаас төсвийн өндөр алдагдалтай байгаа нь түүний ДНБ</w:t>
            </w:r>
            <w:r>
              <w:rPr>
                <w:rFonts w:ascii="Arial" w:hAnsi="Arial" w:cs="Arial"/>
                <w:sz w:val="20"/>
              </w:rPr>
              <w:t>-</w:t>
            </w:r>
            <w:r>
              <w:rPr>
                <w:rFonts w:ascii="Arial" w:hAnsi="Arial" w:cs="Arial"/>
                <w:sz w:val="20"/>
                <w:lang w:val="mn-MN"/>
              </w:rPr>
              <w:t xml:space="preserve">д харьцуулсан харьцаа нь Монгол улсынхаас хамаагүй доогуур байна. Эдийн засгийн параметрүүд болон бодлогы хувьсагчдын бүс нутгийн харьцуулалтаас харахад Монгол улс нь илүү тэлсэн эдийн засгийн бодлогуудаар дамжих илүү өндөр өсөлтөд хүрч байна. Үүний үр дүнд Монгол улс нь бүс нутгийн улсуудтай харьцуулбал их хэмжээний гадаад тэнцвэргүй байдалд орж инфляци өндөр байна. </w:t>
            </w:r>
          </w:p>
          <w:p w14:paraId="0911C2A4" w14:textId="4A54FEFD" w:rsidR="008003C7" w:rsidRDefault="00807EE9" w:rsidP="00630B23">
            <w:pPr>
              <w:pStyle w:val="Caption"/>
              <w:keepNext/>
              <w:spacing w:after="0"/>
            </w:pPr>
            <w:bookmarkStart w:id="83" w:name="_Toc371338658"/>
            <w:r>
              <w:rPr>
                <w:lang w:val="mn-MN"/>
              </w:rPr>
              <w:t>Зураг</w:t>
            </w:r>
            <w:r w:rsidR="008003C7">
              <w:t xml:space="preserve"> </w:t>
            </w:r>
            <w:r w:rsidR="00D05364">
              <w:fldChar w:fldCharType="begin"/>
            </w:r>
            <w:r w:rsidR="00D05364">
              <w:instrText xml:space="preserve"> SEQ Figure \* ARABIC </w:instrText>
            </w:r>
            <w:r w:rsidR="00D05364">
              <w:fldChar w:fldCharType="separate"/>
            </w:r>
            <w:r w:rsidR="008003C7">
              <w:rPr>
                <w:noProof/>
              </w:rPr>
              <w:t>51</w:t>
            </w:r>
            <w:r w:rsidR="00D05364">
              <w:rPr>
                <w:noProof/>
              </w:rPr>
              <w:fldChar w:fldCharType="end"/>
            </w:r>
            <w:r w:rsidR="008003C7">
              <w:t xml:space="preserve">. </w:t>
            </w:r>
            <w:r>
              <w:rPr>
                <w:lang w:val="mn-MN"/>
              </w:rPr>
              <w:t>Эдийн засгийн үндсэн параметрүүд болон бодлоны хувьсагчдаар хийсэн бүс нутагийн харьцуулалт</w:t>
            </w:r>
            <w:bookmarkEnd w:id="83"/>
          </w:p>
          <w:tbl>
            <w:tblPr>
              <w:tblW w:w="0" w:type="auto"/>
              <w:tblBorders>
                <w:top w:val="single" w:sz="4" w:space="0" w:color="C00000"/>
                <w:bottom w:val="single" w:sz="4" w:space="0" w:color="C00000"/>
              </w:tblBorders>
              <w:tblLook w:val="04A0" w:firstRow="1" w:lastRow="0" w:firstColumn="1" w:lastColumn="0" w:noHBand="0" w:noVBand="1"/>
            </w:tblPr>
            <w:tblGrid>
              <w:gridCol w:w="4493"/>
              <w:gridCol w:w="4867"/>
            </w:tblGrid>
            <w:tr w:rsidR="008003C7" w14:paraId="2A6068D7" w14:textId="77777777">
              <w:tc>
                <w:tcPr>
                  <w:tcW w:w="4495" w:type="dxa"/>
                  <w:tcBorders>
                    <w:top w:val="single" w:sz="4" w:space="0" w:color="C00000"/>
                    <w:left w:val="nil"/>
                    <w:bottom w:val="nil"/>
                    <w:right w:val="nil"/>
                  </w:tcBorders>
                </w:tcPr>
                <w:p w14:paraId="78D08D72" w14:textId="0E6D11F0" w:rsidR="008003C7" w:rsidRDefault="00807EE9" w:rsidP="00DD11D4">
                  <w:pPr>
                    <w:framePr w:hSpace="180" w:wrap="around" w:vAnchor="text" w:hAnchor="text" w:y="1"/>
                    <w:spacing w:after="0"/>
                    <w:suppressOverlap/>
                    <w:jc w:val="both"/>
                    <w:rPr>
                      <w:b/>
                      <w:sz w:val="16"/>
                      <w:szCs w:val="16"/>
                    </w:rPr>
                  </w:pPr>
                  <w:r>
                    <w:rPr>
                      <w:b/>
                      <w:sz w:val="16"/>
                      <w:szCs w:val="16"/>
                      <w:lang w:val="mn-MN"/>
                    </w:rPr>
                    <w:t>Бодит ДНБ өсөлт</w:t>
                  </w:r>
                  <w:r w:rsidR="008003C7">
                    <w:rPr>
                      <w:b/>
                      <w:sz w:val="16"/>
                      <w:szCs w:val="16"/>
                    </w:rPr>
                    <w:t xml:space="preserve"> (%)</w:t>
                  </w:r>
                </w:p>
              </w:tc>
              <w:tc>
                <w:tcPr>
                  <w:tcW w:w="4865" w:type="dxa"/>
                  <w:tcBorders>
                    <w:top w:val="single" w:sz="4" w:space="0" w:color="C00000"/>
                    <w:left w:val="nil"/>
                    <w:bottom w:val="nil"/>
                    <w:right w:val="nil"/>
                  </w:tcBorders>
                </w:tcPr>
                <w:p w14:paraId="71642806" w14:textId="288446A7" w:rsidR="008003C7" w:rsidRDefault="00807EE9" w:rsidP="00DD11D4">
                  <w:pPr>
                    <w:framePr w:hSpace="180" w:wrap="around" w:vAnchor="text" w:hAnchor="text" w:y="1"/>
                    <w:spacing w:after="0"/>
                    <w:suppressOverlap/>
                    <w:jc w:val="both"/>
                    <w:rPr>
                      <w:b/>
                      <w:sz w:val="16"/>
                      <w:szCs w:val="16"/>
                    </w:rPr>
                  </w:pPr>
                  <w:r>
                    <w:rPr>
                      <w:b/>
                      <w:sz w:val="16"/>
                      <w:szCs w:val="16"/>
                      <w:lang w:val="mn-MN"/>
                    </w:rPr>
                    <w:t>Урсгал дансны алдагдал</w:t>
                  </w:r>
                  <w:r w:rsidR="008003C7">
                    <w:rPr>
                      <w:b/>
                      <w:sz w:val="16"/>
                      <w:szCs w:val="16"/>
                    </w:rPr>
                    <w:t xml:space="preserve"> (</w:t>
                  </w:r>
                  <w:r>
                    <w:rPr>
                      <w:b/>
                      <w:sz w:val="16"/>
                      <w:szCs w:val="16"/>
                      <w:lang w:val="mn-MN"/>
                    </w:rPr>
                    <w:t>ДНБ-д харьцуулсан харьцаа</w:t>
                  </w:r>
                  <w:r w:rsidR="008003C7">
                    <w:rPr>
                      <w:b/>
                      <w:sz w:val="16"/>
                      <w:szCs w:val="16"/>
                    </w:rPr>
                    <w:t>)</w:t>
                  </w:r>
                </w:p>
              </w:tc>
            </w:tr>
            <w:tr w:rsidR="008003C7" w14:paraId="0D492E67" w14:textId="77777777">
              <w:tc>
                <w:tcPr>
                  <w:tcW w:w="4495" w:type="dxa"/>
                  <w:tcBorders>
                    <w:top w:val="nil"/>
                    <w:left w:val="nil"/>
                    <w:bottom w:val="nil"/>
                    <w:right w:val="nil"/>
                  </w:tcBorders>
                  <w:hideMark/>
                </w:tcPr>
                <w:p w14:paraId="4FA2C0EB" w14:textId="4B04A31A" w:rsidR="008003C7" w:rsidRDefault="008003C7" w:rsidP="00DD11D4">
                  <w:pPr>
                    <w:framePr w:hSpace="180" w:wrap="around" w:vAnchor="text" w:hAnchor="text" w:y="1"/>
                    <w:suppressOverlap/>
                    <w:jc w:val="both"/>
                    <w:rPr>
                      <w:b/>
                      <w:sz w:val="16"/>
                      <w:szCs w:val="16"/>
                    </w:rPr>
                  </w:pPr>
                  <w:r w:rsidRPr="00630B23">
                    <w:rPr>
                      <w:b/>
                      <w:noProof/>
                      <w:sz w:val="16"/>
                      <w:szCs w:val="16"/>
                    </w:rPr>
                    <w:drawing>
                      <wp:inline distT="0" distB="0" distL="0" distR="0" wp14:anchorId="7489C9B2" wp14:editId="2E7EA174">
                        <wp:extent cx="2838450" cy="1727200"/>
                        <wp:effectExtent l="0" t="0" r="0" b="6350"/>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tc>
              <w:tc>
                <w:tcPr>
                  <w:tcW w:w="4865" w:type="dxa"/>
                  <w:tcBorders>
                    <w:top w:val="nil"/>
                    <w:left w:val="nil"/>
                    <w:bottom w:val="nil"/>
                    <w:right w:val="nil"/>
                  </w:tcBorders>
                  <w:hideMark/>
                </w:tcPr>
                <w:p w14:paraId="31CFD5C8" w14:textId="61722902" w:rsidR="008003C7" w:rsidRDefault="008003C7" w:rsidP="00DD11D4">
                  <w:pPr>
                    <w:framePr w:hSpace="180" w:wrap="around" w:vAnchor="text" w:hAnchor="text" w:y="1"/>
                    <w:suppressOverlap/>
                    <w:jc w:val="both"/>
                    <w:rPr>
                      <w:b/>
                      <w:sz w:val="16"/>
                      <w:szCs w:val="16"/>
                    </w:rPr>
                  </w:pPr>
                  <w:r w:rsidRPr="00630B23">
                    <w:rPr>
                      <w:b/>
                      <w:noProof/>
                      <w:sz w:val="16"/>
                      <w:szCs w:val="16"/>
                    </w:rPr>
                    <w:drawing>
                      <wp:inline distT="0" distB="0" distL="0" distR="0" wp14:anchorId="650BAD38" wp14:editId="53F10C50">
                        <wp:extent cx="3048000" cy="1841500"/>
                        <wp:effectExtent l="0" t="0" r="0" b="635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tc>
            </w:tr>
            <w:tr w:rsidR="008003C7" w14:paraId="4E3E274B" w14:textId="77777777">
              <w:tc>
                <w:tcPr>
                  <w:tcW w:w="4495" w:type="dxa"/>
                  <w:tcBorders>
                    <w:top w:val="nil"/>
                    <w:left w:val="nil"/>
                    <w:bottom w:val="nil"/>
                    <w:right w:val="nil"/>
                  </w:tcBorders>
                  <w:hideMark/>
                </w:tcPr>
                <w:p w14:paraId="4B85E99A" w14:textId="253977C9" w:rsidR="008003C7" w:rsidRDefault="00807EE9" w:rsidP="00DD11D4">
                  <w:pPr>
                    <w:framePr w:hSpace="180" w:wrap="around" w:vAnchor="text" w:hAnchor="text" w:y="1"/>
                    <w:spacing w:after="0"/>
                    <w:suppressOverlap/>
                    <w:jc w:val="both"/>
                    <w:rPr>
                      <w:b/>
                      <w:sz w:val="16"/>
                      <w:szCs w:val="16"/>
                    </w:rPr>
                  </w:pPr>
                  <w:r>
                    <w:rPr>
                      <w:b/>
                      <w:sz w:val="16"/>
                      <w:szCs w:val="16"/>
                      <w:lang w:val="mn-MN"/>
                    </w:rPr>
                    <w:t>Инфляцийн түвшин</w:t>
                  </w:r>
                  <w:r w:rsidR="008003C7">
                    <w:rPr>
                      <w:b/>
                      <w:sz w:val="16"/>
                      <w:szCs w:val="16"/>
                    </w:rPr>
                    <w:t xml:space="preserve"> (%)</w:t>
                  </w:r>
                </w:p>
              </w:tc>
              <w:tc>
                <w:tcPr>
                  <w:tcW w:w="4865" w:type="dxa"/>
                  <w:tcBorders>
                    <w:top w:val="nil"/>
                    <w:left w:val="nil"/>
                    <w:bottom w:val="nil"/>
                    <w:right w:val="nil"/>
                  </w:tcBorders>
                  <w:hideMark/>
                </w:tcPr>
                <w:p w14:paraId="6B5F9E05" w14:textId="1079D8F1" w:rsidR="008003C7" w:rsidRDefault="00807EE9" w:rsidP="00DD11D4">
                  <w:pPr>
                    <w:framePr w:hSpace="180" w:wrap="around" w:vAnchor="text" w:hAnchor="text" w:y="1"/>
                    <w:spacing w:after="0"/>
                    <w:suppressOverlap/>
                    <w:jc w:val="both"/>
                    <w:rPr>
                      <w:b/>
                      <w:sz w:val="16"/>
                      <w:szCs w:val="16"/>
                    </w:rPr>
                  </w:pPr>
                  <w:r>
                    <w:rPr>
                      <w:b/>
                      <w:sz w:val="16"/>
                      <w:szCs w:val="16"/>
                      <w:lang w:val="mn-MN"/>
                    </w:rPr>
                    <w:t>ГШХО</w:t>
                  </w:r>
                  <w:r w:rsidR="008003C7">
                    <w:rPr>
                      <w:b/>
                      <w:sz w:val="16"/>
                      <w:szCs w:val="16"/>
                    </w:rPr>
                    <w:t xml:space="preserve"> (</w:t>
                  </w:r>
                  <w:r>
                    <w:rPr>
                      <w:b/>
                      <w:sz w:val="16"/>
                      <w:szCs w:val="16"/>
                      <w:lang w:val="mn-MN"/>
                    </w:rPr>
                    <w:t>ДНБ-д харьцуулсан харьцаа</w:t>
                  </w:r>
                  <w:r w:rsidR="008003C7">
                    <w:rPr>
                      <w:b/>
                      <w:sz w:val="16"/>
                      <w:szCs w:val="16"/>
                    </w:rPr>
                    <w:t>)</w:t>
                  </w:r>
                </w:p>
              </w:tc>
            </w:tr>
            <w:tr w:rsidR="008003C7" w14:paraId="35483525" w14:textId="77777777">
              <w:tc>
                <w:tcPr>
                  <w:tcW w:w="4495" w:type="dxa"/>
                  <w:tcBorders>
                    <w:top w:val="nil"/>
                    <w:left w:val="nil"/>
                    <w:bottom w:val="nil"/>
                    <w:right w:val="nil"/>
                  </w:tcBorders>
                  <w:hideMark/>
                </w:tcPr>
                <w:p w14:paraId="41763D4A" w14:textId="2D0D427F" w:rsidR="008003C7" w:rsidRDefault="008003C7" w:rsidP="00DD11D4">
                  <w:pPr>
                    <w:framePr w:hSpace="180" w:wrap="around" w:vAnchor="text" w:hAnchor="text" w:y="1"/>
                    <w:suppressOverlap/>
                    <w:jc w:val="both"/>
                    <w:rPr>
                      <w:b/>
                      <w:sz w:val="16"/>
                      <w:szCs w:val="16"/>
                    </w:rPr>
                  </w:pPr>
                  <w:r w:rsidRPr="00630B23">
                    <w:rPr>
                      <w:b/>
                      <w:noProof/>
                      <w:sz w:val="16"/>
                      <w:szCs w:val="16"/>
                    </w:rPr>
                    <w:drawing>
                      <wp:inline distT="0" distB="0" distL="0" distR="0" wp14:anchorId="0C012B6B" wp14:editId="6C9EDD4A">
                        <wp:extent cx="2755900" cy="1270000"/>
                        <wp:effectExtent l="0" t="0" r="6350" b="635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tc>
              <w:tc>
                <w:tcPr>
                  <w:tcW w:w="4865" w:type="dxa"/>
                  <w:tcBorders>
                    <w:top w:val="nil"/>
                    <w:left w:val="nil"/>
                    <w:bottom w:val="nil"/>
                    <w:right w:val="nil"/>
                  </w:tcBorders>
                  <w:hideMark/>
                </w:tcPr>
                <w:p w14:paraId="701A1FF0" w14:textId="4F602B43" w:rsidR="008003C7" w:rsidRDefault="008003C7" w:rsidP="00DD11D4">
                  <w:pPr>
                    <w:framePr w:hSpace="180" w:wrap="around" w:vAnchor="text" w:hAnchor="text" w:y="1"/>
                    <w:suppressOverlap/>
                    <w:jc w:val="both"/>
                    <w:rPr>
                      <w:b/>
                      <w:sz w:val="16"/>
                      <w:szCs w:val="16"/>
                    </w:rPr>
                  </w:pPr>
                  <w:r w:rsidRPr="00630B23">
                    <w:rPr>
                      <w:b/>
                      <w:noProof/>
                      <w:sz w:val="16"/>
                      <w:szCs w:val="16"/>
                    </w:rPr>
                    <w:drawing>
                      <wp:inline distT="0" distB="0" distL="0" distR="0" wp14:anchorId="23EB54D5" wp14:editId="5B3984BD">
                        <wp:extent cx="3009900" cy="1162050"/>
                        <wp:effectExtent l="0" t="0" r="0" b="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tc>
            </w:tr>
            <w:tr w:rsidR="008003C7" w14:paraId="0ABDFF81" w14:textId="77777777">
              <w:tc>
                <w:tcPr>
                  <w:tcW w:w="4495" w:type="dxa"/>
                  <w:tcBorders>
                    <w:top w:val="nil"/>
                    <w:left w:val="nil"/>
                    <w:bottom w:val="nil"/>
                    <w:right w:val="nil"/>
                  </w:tcBorders>
                </w:tcPr>
                <w:p w14:paraId="5C0424EA" w14:textId="267F2847" w:rsidR="008003C7" w:rsidRDefault="00807EE9" w:rsidP="00DD11D4">
                  <w:pPr>
                    <w:framePr w:hSpace="180" w:wrap="around" w:vAnchor="text" w:hAnchor="text" w:y="1"/>
                    <w:suppressOverlap/>
                    <w:jc w:val="both"/>
                    <w:rPr>
                      <w:b/>
                      <w:sz w:val="16"/>
                      <w:szCs w:val="16"/>
                    </w:rPr>
                  </w:pPr>
                  <w:r>
                    <w:rPr>
                      <w:b/>
                      <w:sz w:val="16"/>
                      <w:szCs w:val="16"/>
                      <w:lang w:val="mn-MN"/>
                    </w:rPr>
                    <w:lastRenderedPageBreak/>
                    <w:t>Төсвийн алдагдал</w:t>
                  </w:r>
                  <w:r w:rsidR="008003C7">
                    <w:rPr>
                      <w:b/>
                      <w:sz w:val="16"/>
                      <w:szCs w:val="16"/>
                    </w:rPr>
                    <w:t xml:space="preserve"> (</w:t>
                  </w:r>
                  <w:r>
                    <w:rPr>
                      <w:b/>
                      <w:sz w:val="16"/>
                      <w:szCs w:val="16"/>
                      <w:lang w:val="mn-MN"/>
                    </w:rPr>
                    <w:t>ДНБ-д харьцуулсан</w:t>
                  </w:r>
                  <w:r w:rsidR="008003C7">
                    <w:rPr>
                      <w:b/>
                      <w:sz w:val="16"/>
                      <w:szCs w:val="16"/>
                    </w:rPr>
                    <w:t>)</w:t>
                  </w:r>
                </w:p>
              </w:tc>
              <w:tc>
                <w:tcPr>
                  <w:tcW w:w="4865" w:type="dxa"/>
                  <w:tcBorders>
                    <w:top w:val="nil"/>
                    <w:left w:val="nil"/>
                    <w:bottom w:val="nil"/>
                    <w:right w:val="nil"/>
                  </w:tcBorders>
                </w:tcPr>
                <w:p w14:paraId="419BA2B6" w14:textId="06E76A4F" w:rsidR="008003C7" w:rsidRDefault="00807EE9" w:rsidP="00DD11D4">
                  <w:pPr>
                    <w:framePr w:hSpace="180" w:wrap="around" w:vAnchor="text" w:hAnchor="text" w:y="1"/>
                    <w:suppressOverlap/>
                    <w:jc w:val="both"/>
                    <w:rPr>
                      <w:b/>
                      <w:sz w:val="16"/>
                      <w:szCs w:val="16"/>
                    </w:rPr>
                  </w:pPr>
                  <w:r>
                    <w:rPr>
                      <w:b/>
                      <w:sz w:val="16"/>
                      <w:szCs w:val="16"/>
                      <w:lang w:val="mn-MN"/>
                    </w:rPr>
                    <w:t>Дотоодын зээлийн өсөлт</w:t>
                  </w:r>
                  <w:r w:rsidR="008003C7">
                    <w:rPr>
                      <w:b/>
                      <w:sz w:val="16"/>
                      <w:szCs w:val="16"/>
                    </w:rPr>
                    <w:t xml:space="preserve"> (</w:t>
                  </w:r>
                  <w:r>
                    <w:rPr>
                      <w:b/>
                      <w:sz w:val="16"/>
                      <w:szCs w:val="16"/>
                      <w:lang w:val="mn-MN"/>
                    </w:rPr>
                    <w:t>өмнөх оны мөн үетэй харьцуулсан</w:t>
                  </w:r>
                  <w:r w:rsidR="008003C7">
                    <w:rPr>
                      <w:b/>
                      <w:sz w:val="16"/>
                      <w:szCs w:val="16"/>
                    </w:rPr>
                    <w:t>, %)</w:t>
                  </w:r>
                </w:p>
              </w:tc>
            </w:tr>
            <w:tr w:rsidR="008003C7" w14:paraId="6C28B463" w14:textId="77777777">
              <w:tc>
                <w:tcPr>
                  <w:tcW w:w="4495" w:type="dxa"/>
                  <w:tcBorders>
                    <w:top w:val="nil"/>
                    <w:left w:val="nil"/>
                    <w:bottom w:val="single" w:sz="4" w:space="0" w:color="C00000"/>
                    <w:right w:val="nil"/>
                  </w:tcBorders>
                  <w:hideMark/>
                </w:tcPr>
                <w:p w14:paraId="35FFB41B" w14:textId="515C49CE" w:rsidR="008003C7" w:rsidRDefault="008003C7" w:rsidP="00DD11D4">
                  <w:pPr>
                    <w:framePr w:hSpace="180" w:wrap="around" w:vAnchor="text" w:hAnchor="text" w:y="1"/>
                    <w:suppressOverlap/>
                    <w:jc w:val="both"/>
                    <w:rPr>
                      <w:b/>
                      <w:sz w:val="16"/>
                      <w:szCs w:val="16"/>
                    </w:rPr>
                  </w:pPr>
                  <w:r w:rsidRPr="00630B23">
                    <w:rPr>
                      <w:b/>
                      <w:noProof/>
                      <w:sz w:val="16"/>
                      <w:szCs w:val="16"/>
                    </w:rPr>
                    <w:drawing>
                      <wp:inline distT="0" distB="0" distL="0" distR="0" wp14:anchorId="16222242" wp14:editId="36576221">
                        <wp:extent cx="2755900" cy="1847850"/>
                        <wp:effectExtent l="0" t="0" r="6350" b="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tc>
              <w:tc>
                <w:tcPr>
                  <w:tcW w:w="4865" w:type="dxa"/>
                  <w:tcBorders>
                    <w:top w:val="nil"/>
                    <w:left w:val="nil"/>
                    <w:bottom w:val="single" w:sz="4" w:space="0" w:color="C00000"/>
                    <w:right w:val="nil"/>
                  </w:tcBorders>
                  <w:hideMark/>
                </w:tcPr>
                <w:p w14:paraId="2DAD4B26" w14:textId="3D26CC95" w:rsidR="008003C7" w:rsidRDefault="008003C7" w:rsidP="00DD11D4">
                  <w:pPr>
                    <w:keepNext/>
                    <w:framePr w:hSpace="180" w:wrap="around" w:vAnchor="text" w:hAnchor="text" w:y="1"/>
                    <w:suppressOverlap/>
                    <w:jc w:val="both"/>
                    <w:rPr>
                      <w:b/>
                      <w:sz w:val="16"/>
                      <w:szCs w:val="16"/>
                    </w:rPr>
                  </w:pPr>
                  <w:r w:rsidRPr="00630B23">
                    <w:rPr>
                      <w:b/>
                      <w:noProof/>
                      <w:sz w:val="16"/>
                      <w:szCs w:val="16"/>
                    </w:rPr>
                    <w:drawing>
                      <wp:inline distT="0" distB="0" distL="0" distR="0" wp14:anchorId="3688FE44" wp14:editId="77F2EACE">
                        <wp:extent cx="3079750" cy="1790700"/>
                        <wp:effectExtent l="0" t="0" r="6350" b="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tc>
            </w:tr>
          </w:tbl>
          <w:p w14:paraId="709D3405" w14:textId="77777777" w:rsidR="008003C7" w:rsidRDefault="008003C7">
            <w:pPr>
              <w:jc w:val="both"/>
              <w:rPr>
                <w:sz w:val="2"/>
              </w:rPr>
            </w:pPr>
          </w:p>
          <w:p w14:paraId="59E19FF9" w14:textId="0372C014" w:rsidR="008003C7" w:rsidRDefault="00807EE9">
            <w:pPr>
              <w:jc w:val="both"/>
              <w:rPr>
                <w:sz w:val="16"/>
              </w:rPr>
            </w:pPr>
            <w:r>
              <w:rPr>
                <w:sz w:val="16"/>
                <w:lang w:val="mn-MN"/>
              </w:rPr>
              <w:t>Эх үүсвэр</w:t>
            </w:r>
            <w:r w:rsidR="008003C7">
              <w:rPr>
                <w:sz w:val="16"/>
              </w:rPr>
              <w:t xml:space="preserve">: </w:t>
            </w:r>
            <w:r>
              <w:rPr>
                <w:sz w:val="16"/>
                <w:lang w:val="mn-MN"/>
              </w:rPr>
              <w:t>ДБ мэргэжилтнүүдийн тооцоо, ЗАНДБ Бүс нутгийн тойм</w:t>
            </w:r>
            <w:r w:rsidR="008003C7">
              <w:rPr>
                <w:sz w:val="16"/>
              </w:rPr>
              <w:t xml:space="preserve"> (2013</w:t>
            </w:r>
            <w:r>
              <w:rPr>
                <w:sz w:val="16"/>
                <w:lang w:val="mn-MN"/>
              </w:rPr>
              <w:t xml:space="preserve"> оны 10 сар</w:t>
            </w:r>
            <w:r w:rsidR="008003C7">
              <w:rPr>
                <w:sz w:val="16"/>
              </w:rPr>
              <w:t>)</w:t>
            </w:r>
          </w:p>
          <w:p w14:paraId="3FC2EC8C" w14:textId="77777777" w:rsidR="008003C7" w:rsidRDefault="008003C7">
            <w:pPr>
              <w:spacing w:after="120"/>
              <w:jc w:val="both"/>
              <w:rPr>
                <w:rFonts w:cstheme="minorHAnsi"/>
                <w:b/>
                <w:i/>
                <w:color w:val="002060"/>
                <w:sz w:val="10"/>
                <w:lang w:eastAsia="ko-KR"/>
              </w:rPr>
            </w:pPr>
          </w:p>
        </w:tc>
      </w:tr>
    </w:tbl>
    <w:p w14:paraId="0805D6A5" w14:textId="77777777" w:rsidR="008003C7" w:rsidRDefault="008003C7" w:rsidP="008003C7">
      <w:pPr>
        <w:rPr>
          <w:rFonts w:cstheme="minorHAnsi"/>
          <w:b/>
          <w:i/>
          <w:color w:val="002060"/>
          <w:sz w:val="32"/>
          <w:lang w:val="mn-MN" w:eastAsia="ko-KR"/>
        </w:rPr>
      </w:pPr>
    </w:p>
    <w:p w14:paraId="63081C0E" w14:textId="76F289E6" w:rsidR="008003C7" w:rsidRPr="00630B23" w:rsidRDefault="008003C7" w:rsidP="008003C7">
      <w:pPr>
        <w:rPr>
          <w:rFonts w:ascii="Arial" w:hAnsi="Arial" w:cs="Arial"/>
          <w:b/>
          <w:i/>
          <w:color w:val="002060"/>
          <w:sz w:val="32"/>
          <w:lang w:eastAsia="ko-KR"/>
        </w:rPr>
      </w:pPr>
      <w:r w:rsidRPr="00630B23">
        <w:rPr>
          <w:rFonts w:ascii="Arial" w:hAnsi="Arial" w:cs="Arial"/>
          <w:b/>
          <w:i/>
          <w:color w:val="002060"/>
          <w:sz w:val="32"/>
          <w:lang w:val="mn-MN" w:eastAsia="ko-KR"/>
        </w:rPr>
        <w:t xml:space="preserve">Эдийн засгийн бодлогуудыг урт хугацаанд эдийн засгийн тогтвортой </w:t>
      </w:r>
      <w:r w:rsidR="00807EE9" w:rsidRPr="00D61A38">
        <w:rPr>
          <w:rFonts w:ascii="Arial" w:hAnsi="Arial" w:cs="Arial"/>
          <w:b/>
          <w:i/>
          <w:color w:val="002060"/>
          <w:sz w:val="32"/>
          <w:lang w:val="mn-MN" w:eastAsia="ko-KR"/>
        </w:rPr>
        <w:t xml:space="preserve">илүү </w:t>
      </w:r>
      <w:r w:rsidRPr="00807EE9">
        <w:rPr>
          <w:rFonts w:ascii="Arial" w:hAnsi="Arial" w:cs="Arial"/>
          <w:b/>
          <w:i/>
          <w:color w:val="002060"/>
          <w:sz w:val="32"/>
          <w:lang w:val="mn-MN" w:eastAsia="ko-KR"/>
        </w:rPr>
        <w:t xml:space="preserve">байдлыг хангах, тогтвортой хөгжлийг хангахад шилжүүлэх хэрэгтэй </w:t>
      </w:r>
      <w:r w:rsidRPr="00630B23">
        <w:rPr>
          <w:rFonts w:ascii="Arial" w:hAnsi="Arial" w:cs="Arial"/>
          <w:b/>
          <w:i/>
          <w:color w:val="002060"/>
          <w:sz w:val="32"/>
          <w:lang w:eastAsia="ko-KR"/>
        </w:rPr>
        <w:t>…</w:t>
      </w:r>
    </w:p>
    <w:p w14:paraId="4929340E" w14:textId="77777777" w:rsidR="008003C7" w:rsidRDefault="008003C7" w:rsidP="008003C7">
      <w:pPr>
        <w:pStyle w:val="ListParagraph"/>
        <w:ind w:left="0"/>
        <w:rPr>
          <w:rFonts w:ascii="Arial" w:hAnsi="Arial" w:cs="Arial"/>
          <w:b/>
          <w:bCs/>
          <w:i/>
          <w:sz w:val="24"/>
          <w:szCs w:val="18"/>
        </w:rPr>
      </w:pPr>
    </w:p>
    <w:p w14:paraId="4CBED74D" w14:textId="77777777" w:rsidR="008003C7" w:rsidRDefault="008003C7" w:rsidP="008003C7">
      <w:pPr>
        <w:spacing w:before="200"/>
        <w:jc w:val="both"/>
        <w:rPr>
          <w:rFonts w:ascii="Arial" w:hAnsi="Arial" w:cs="Arial"/>
          <w:bCs/>
          <w:sz w:val="20"/>
          <w:szCs w:val="18"/>
        </w:rPr>
      </w:pPr>
      <w:r>
        <w:rPr>
          <w:rFonts w:ascii="Arial" w:hAnsi="Arial" w:cs="Arial"/>
          <w:b/>
          <w:bCs/>
          <w:sz w:val="20"/>
          <w:szCs w:val="18"/>
          <w:lang w:val="mn-MN"/>
        </w:rPr>
        <w:t xml:space="preserve">Дэлхийн эдийн засгийн байдал тодорхойгүй, эдийн засгийн өртөмтгий байдал нэмэгдэж байгаа үед өнөөгийн өсөлтөд чиглэсэн эдийн засгийн бодлогууд нь эдийн засгийн тогтвортой байдал руу чиглэх ёстой. </w:t>
      </w:r>
      <w:r>
        <w:rPr>
          <w:rFonts w:ascii="Arial" w:hAnsi="Arial" w:cs="Arial"/>
          <w:bCs/>
          <w:sz w:val="20"/>
          <w:szCs w:val="18"/>
          <w:lang w:val="mn-MN"/>
        </w:rPr>
        <w:t>Макро эдийн засгийн удирдлагын тэргүүлэх чиглэлүүд нь</w:t>
      </w:r>
      <w:r>
        <w:rPr>
          <w:rFonts w:ascii="Arial" w:hAnsi="Arial" w:cs="Arial"/>
          <w:bCs/>
          <w:sz w:val="20"/>
          <w:szCs w:val="18"/>
        </w:rPr>
        <w:t xml:space="preserve">: (i) </w:t>
      </w:r>
      <w:r>
        <w:rPr>
          <w:rFonts w:ascii="Arial" w:hAnsi="Arial" w:cs="Arial"/>
          <w:bCs/>
          <w:sz w:val="20"/>
          <w:szCs w:val="18"/>
          <w:lang w:val="mn-MN"/>
        </w:rPr>
        <w:t>дотоодын хүчин зүйлээс үүсч буй төлбөрийн тэнцлийн дарамтыг багасгах</w:t>
      </w:r>
      <w:r>
        <w:rPr>
          <w:rFonts w:ascii="Arial" w:hAnsi="Arial" w:cs="Arial"/>
          <w:bCs/>
          <w:sz w:val="20"/>
          <w:szCs w:val="18"/>
        </w:rPr>
        <w:t xml:space="preserve">; (ii) </w:t>
      </w:r>
      <w:r>
        <w:rPr>
          <w:rFonts w:ascii="Arial" w:hAnsi="Arial" w:cs="Arial"/>
          <w:bCs/>
          <w:sz w:val="20"/>
          <w:szCs w:val="18"/>
          <w:lang w:val="mn-MN"/>
        </w:rPr>
        <w:t>тэлэх бодлогуудаас үүдэлтэй макро эдийн засгийн болон санхүүгийн эрсдлүүдэд чиглэсэн</w:t>
      </w:r>
      <w:r>
        <w:rPr>
          <w:rFonts w:ascii="Arial" w:hAnsi="Arial" w:cs="Arial"/>
          <w:bCs/>
          <w:sz w:val="20"/>
          <w:szCs w:val="18"/>
        </w:rPr>
        <w:t xml:space="preserve">; (iii) </w:t>
      </w:r>
      <w:r>
        <w:rPr>
          <w:rFonts w:ascii="Arial" w:hAnsi="Arial" w:cs="Arial"/>
          <w:bCs/>
          <w:sz w:val="20"/>
          <w:szCs w:val="18"/>
          <w:lang w:val="mn-MN"/>
        </w:rPr>
        <w:t>урт хугацаанд тогтвортой өсөлтийг хангах халхавч бодлогуудыг сэргээх</w:t>
      </w:r>
      <w:r>
        <w:rPr>
          <w:rFonts w:ascii="Arial" w:hAnsi="Arial" w:cs="Arial"/>
          <w:bCs/>
          <w:sz w:val="20"/>
          <w:szCs w:val="18"/>
        </w:rPr>
        <w:t xml:space="preserve">.   </w:t>
      </w:r>
    </w:p>
    <w:p w14:paraId="5056731F" w14:textId="77777777" w:rsidR="008003C7" w:rsidRDefault="008003C7" w:rsidP="008003C7">
      <w:pPr>
        <w:pStyle w:val="ListParagraph"/>
        <w:numPr>
          <w:ilvl w:val="0"/>
          <w:numId w:val="33"/>
        </w:numPr>
        <w:spacing w:before="200"/>
        <w:ind w:left="270" w:hanging="270"/>
        <w:jc w:val="both"/>
        <w:rPr>
          <w:rFonts w:ascii="Arial" w:hAnsi="Arial" w:cs="Arial"/>
          <w:bCs/>
          <w:sz w:val="20"/>
          <w:szCs w:val="20"/>
        </w:rPr>
      </w:pPr>
      <w:r>
        <w:rPr>
          <w:rFonts w:ascii="Arial" w:hAnsi="Arial" w:cs="Arial"/>
          <w:b/>
          <w:bCs/>
          <w:sz w:val="20"/>
          <w:szCs w:val="18"/>
          <w:lang w:val="mn-MN"/>
        </w:rPr>
        <w:t>Төсвийн бодлого нь цаашид улам чангарах ёстой бөгөөд төсвийн орон зайг дахин бий болгож эхлэх</w:t>
      </w:r>
      <w:r>
        <w:rPr>
          <w:rFonts w:ascii="Arial" w:hAnsi="Arial" w:cs="Arial"/>
          <w:b/>
          <w:bCs/>
          <w:sz w:val="20"/>
          <w:szCs w:val="20"/>
        </w:rPr>
        <w:t xml:space="preserve">. </w:t>
      </w:r>
      <w:r>
        <w:rPr>
          <w:rFonts w:ascii="Arial" w:hAnsi="Arial" w:cs="Arial"/>
          <w:bCs/>
          <w:sz w:val="20"/>
          <w:szCs w:val="20"/>
          <w:lang w:val="mn-MN"/>
        </w:rPr>
        <w:t>Төсвийн тогтвортой байдлын тухай хууль нь 2013 оноос эхлэн хүчин төгөлдөр болсон бөгөөд илүүдэл зарлагыг тогтоон барих төсвийн зарчмуудыг бий болгож</w:t>
      </w:r>
      <w:r>
        <w:rPr>
          <w:rFonts w:ascii="Arial" w:hAnsi="Arial" w:cs="Arial"/>
          <w:bCs/>
          <w:sz w:val="20"/>
          <w:szCs w:val="20"/>
        </w:rPr>
        <w:t xml:space="preserve"> (</w:t>
      </w:r>
      <w:r>
        <w:rPr>
          <w:rFonts w:ascii="Arial" w:hAnsi="Arial" w:cs="Arial"/>
          <w:bCs/>
          <w:sz w:val="20"/>
          <w:szCs w:val="20"/>
          <w:lang w:val="mn-MN"/>
        </w:rPr>
        <w:t>жишээ нь</w:t>
      </w:r>
      <w:r>
        <w:rPr>
          <w:rFonts w:ascii="Arial" w:hAnsi="Arial" w:cs="Arial"/>
          <w:bCs/>
          <w:sz w:val="20"/>
          <w:szCs w:val="20"/>
        </w:rPr>
        <w:t>,</w:t>
      </w:r>
      <w:r>
        <w:rPr>
          <w:rFonts w:ascii="Arial" w:hAnsi="Arial" w:cs="Arial"/>
          <w:bCs/>
          <w:sz w:val="20"/>
          <w:szCs w:val="20"/>
          <w:lang w:val="mn-MN"/>
        </w:rPr>
        <w:t xml:space="preserve"> тэнцвэржүүлсэн алдагдал ДНБ</w:t>
      </w:r>
      <w:r>
        <w:rPr>
          <w:rFonts w:ascii="Arial" w:hAnsi="Arial" w:cs="Arial"/>
          <w:bCs/>
          <w:sz w:val="20"/>
          <w:szCs w:val="20"/>
        </w:rPr>
        <w:t>-</w:t>
      </w:r>
      <w:r>
        <w:rPr>
          <w:rFonts w:ascii="Arial" w:hAnsi="Arial" w:cs="Arial"/>
          <w:bCs/>
          <w:sz w:val="20"/>
          <w:szCs w:val="20"/>
          <w:lang w:val="mn-MN"/>
        </w:rPr>
        <w:t xml:space="preserve">ий </w:t>
      </w:r>
      <w:r>
        <w:rPr>
          <w:rFonts w:ascii="Arial" w:hAnsi="Arial" w:cs="Arial"/>
          <w:bCs/>
          <w:sz w:val="20"/>
          <w:szCs w:val="20"/>
        </w:rPr>
        <w:t>2 </w:t>
      </w:r>
      <w:r>
        <w:rPr>
          <w:rFonts w:ascii="Arial" w:hAnsi="Arial" w:cs="Arial"/>
          <w:bCs/>
          <w:sz w:val="20"/>
          <w:szCs w:val="20"/>
          <w:lang w:val="mn-MN"/>
        </w:rPr>
        <w:t>хувийн хязгаарт байх</w:t>
      </w:r>
      <w:r>
        <w:rPr>
          <w:rFonts w:ascii="Arial" w:hAnsi="Arial" w:cs="Arial"/>
          <w:bCs/>
          <w:sz w:val="20"/>
          <w:szCs w:val="20"/>
        </w:rPr>
        <w:t xml:space="preserve">) </w:t>
      </w:r>
      <w:r>
        <w:rPr>
          <w:rFonts w:ascii="Arial" w:hAnsi="Arial" w:cs="Arial"/>
          <w:bCs/>
          <w:sz w:val="20"/>
          <w:szCs w:val="20"/>
          <w:lang w:val="mn-MN"/>
        </w:rPr>
        <w:t>мөн төсвийн бодлогыг уул уурхайн зах зээлийн мөчлөгийн хэлбэлзлээс тусгаарлах зорилготой. Саяхан зарлагыг танахаа зарласан нь мэдэгдэхүйц ахиц болсон</w:t>
      </w:r>
      <w:r>
        <w:rPr>
          <w:rFonts w:ascii="Arial" w:hAnsi="Arial" w:cs="Arial"/>
          <w:bCs/>
          <w:sz w:val="20"/>
          <w:szCs w:val="20"/>
        </w:rPr>
        <w:t>;</w:t>
      </w:r>
      <w:r>
        <w:rPr>
          <w:rFonts w:ascii="Arial" w:hAnsi="Arial" w:cs="Arial"/>
          <w:bCs/>
          <w:sz w:val="20"/>
          <w:szCs w:val="20"/>
          <w:lang w:val="mn-MN"/>
        </w:rPr>
        <w:t xml:space="preserve"> боловч их хэмжээний төсвөөс гадуурхи зарлага нь хяналтгүй хэвээрээ үлдлээ. Тэргүүлэх чиглэл нь төсвөөс гадуурхи зарлагыг төсвийн нэг хэсэг гэж хүлээн зөвшөөрч түүнийг ТТБТХуулийн хяналтад байлгах. Ингэснээр нэгдсэн төсөв нь орлогын илүү бодитой таамаглал, үндэслэлтэй зарлагын төлөвлөгөөнд үндэслэн ТТБТХуулийн дүрмүүдийг дагах болно. Төсвийн орон зайг дахин бий болгох нь ирээдүйд гадаад талаас үүдэх гэнэтийн шокын үед мөчлөгийн эсрэг бодлогуудыг явуулахад уян хатан байдлыг хангах төсвийн бодлогод их чухал </w:t>
      </w:r>
      <w:r>
        <w:rPr>
          <w:rFonts w:ascii="Arial" w:hAnsi="Arial" w:cs="Arial"/>
          <w:bCs/>
          <w:sz w:val="20"/>
          <w:szCs w:val="20"/>
        </w:rPr>
        <w:t>(</w:t>
      </w:r>
      <w:r>
        <w:rPr>
          <w:rFonts w:ascii="Arial" w:hAnsi="Arial" w:cs="Arial"/>
          <w:bCs/>
          <w:sz w:val="20"/>
          <w:szCs w:val="20"/>
          <w:lang w:val="mn-MN"/>
        </w:rPr>
        <w:t>жишээ нь, улсын өрийн оновчтой түвшин, төсвийн хадгаламжийг бий болгох</w:t>
      </w:r>
      <w:r>
        <w:rPr>
          <w:rFonts w:ascii="Arial" w:hAnsi="Arial" w:cs="Arial"/>
          <w:bCs/>
          <w:sz w:val="20"/>
          <w:szCs w:val="20"/>
        </w:rPr>
        <w:t>).</w:t>
      </w:r>
    </w:p>
    <w:p w14:paraId="1F8B5769" w14:textId="77777777" w:rsidR="008003C7" w:rsidRDefault="008003C7" w:rsidP="008003C7">
      <w:pPr>
        <w:pStyle w:val="ListParagraph"/>
        <w:spacing w:before="200"/>
        <w:rPr>
          <w:rFonts w:ascii="Arial" w:hAnsi="Arial" w:cs="Arial"/>
          <w:bCs/>
          <w:sz w:val="20"/>
          <w:szCs w:val="18"/>
        </w:rPr>
      </w:pPr>
    </w:p>
    <w:p w14:paraId="3FA5273E" w14:textId="77777777" w:rsidR="008003C7" w:rsidRDefault="008003C7" w:rsidP="008003C7">
      <w:pPr>
        <w:pStyle w:val="ListParagraph"/>
        <w:numPr>
          <w:ilvl w:val="0"/>
          <w:numId w:val="34"/>
        </w:numPr>
        <w:spacing w:before="200"/>
        <w:ind w:left="900" w:hanging="270"/>
        <w:jc w:val="both"/>
        <w:rPr>
          <w:rFonts w:ascii="Arial" w:hAnsi="Arial" w:cs="Arial"/>
          <w:bCs/>
          <w:sz w:val="20"/>
          <w:szCs w:val="18"/>
        </w:rPr>
      </w:pPr>
      <w:r>
        <w:rPr>
          <w:rFonts w:ascii="Arial" w:hAnsi="Arial" w:cs="Arial"/>
          <w:b/>
          <w:bCs/>
          <w:sz w:val="20"/>
          <w:szCs w:val="18"/>
          <w:lang w:val="mn-MN"/>
        </w:rPr>
        <w:t xml:space="preserve">Саяхан төсвийн зарлагыг 2013 болон 2014 онуудад танана гэж зарласан нь илүү тогтвортой төсвийн зам руу чиглэсэн мэдэгдэхүйц алхам боллоо. </w:t>
      </w:r>
      <w:r>
        <w:rPr>
          <w:rFonts w:ascii="Arial" w:hAnsi="Arial" w:cs="Arial"/>
          <w:bCs/>
          <w:sz w:val="20"/>
          <w:szCs w:val="18"/>
          <w:lang w:val="mn-MN"/>
        </w:rPr>
        <w:t xml:space="preserve">Гэвч сайжруулах </w:t>
      </w:r>
      <w:r>
        <w:rPr>
          <w:rFonts w:ascii="Arial" w:hAnsi="Arial" w:cs="Arial"/>
          <w:bCs/>
          <w:sz w:val="20"/>
          <w:szCs w:val="18"/>
          <w:lang w:val="mn-MN"/>
        </w:rPr>
        <w:lastRenderedPageBreak/>
        <w:t>төлөвлөгөө нь албан ёсны төсөвт хязгаарлагдмал байгаа бөгөөд их хэмжээний төсвөөс гадуурхи зарлага нь ний төсвийн алдагдлыг ДНБ</w:t>
      </w:r>
      <w:r>
        <w:rPr>
          <w:rFonts w:ascii="Arial" w:hAnsi="Arial" w:cs="Arial"/>
          <w:bCs/>
          <w:sz w:val="20"/>
          <w:szCs w:val="18"/>
        </w:rPr>
        <w:t>-</w:t>
      </w:r>
      <w:r>
        <w:rPr>
          <w:rFonts w:ascii="Arial" w:hAnsi="Arial" w:cs="Arial"/>
          <w:bCs/>
          <w:sz w:val="20"/>
          <w:szCs w:val="18"/>
          <w:lang w:val="mn-MN"/>
        </w:rPr>
        <w:t xml:space="preserve">и 12 гаран хувьд хүргэж байна. </w:t>
      </w:r>
    </w:p>
    <w:p w14:paraId="3DDF5608" w14:textId="77777777" w:rsidR="008003C7" w:rsidRDefault="008003C7" w:rsidP="008003C7">
      <w:pPr>
        <w:pStyle w:val="ListParagraph"/>
        <w:spacing w:before="200"/>
        <w:ind w:left="900"/>
        <w:jc w:val="both"/>
        <w:rPr>
          <w:rFonts w:ascii="Arial" w:hAnsi="Arial" w:cs="Arial"/>
          <w:bCs/>
          <w:sz w:val="8"/>
          <w:szCs w:val="18"/>
        </w:rPr>
      </w:pPr>
    </w:p>
    <w:p w14:paraId="3BF448F3" w14:textId="77777777" w:rsidR="008003C7" w:rsidRDefault="008003C7" w:rsidP="008003C7">
      <w:pPr>
        <w:pStyle w:val="ListParagraph"/>
        <w:numPr>
          <w:ilvl w:val="0"/>
          <w:numId w:val="34"/>
        </w:numPr>
        <w:spacing w:before="200"/>
        <w:ind w:left="900" w:hanging="270"/>
        <w:jc w:val="both"/>
        <w:rPr>
          <w:rFonts w:ascii="Arial" w:hAnsi="Arial" w:cs="Arial"/>
          <w:bCs/>
          <w:sz w:val="20"/>
          <w:szCs w:val="18"/>
        </w:rPr>
      </w:pPr>
      <w:r>
        <w:rPr>
          <w:rFonts w:ascii="Arial" w:hAnsi="Arial" w:cs="Arial"/>
          <w:b/>
          <w:bCs/>
          <w:sz w:val="20"/>
          <w:szCs w:val="18"/>
          <w:lang w:val="mn-MN"/>
        </w:rPr>
        <w:t xml:space="preserve">Төсвөөс гадуурхи зарлагыг төсвийн нэг хэсэг гэдгийг хүлээн зөвшөөрөх ёстой. </w:t>
      </w:r>
      <w:r>
        <w:rPr>
          <w:rFonts w:ascii="Arial" w:hAnsi="Arial" w:cs="Arial"/>
          <w:bCs/>
          <w:sz w:val="20"/>
          <w:szCs w:val="18"/>
          <w:lang w:val="mn-MN"/>
        </w:rPr>
        <w:t>Засгин газар нь МУХБ</w:t>
      </w:r>
      <w:r>
        <w:rPr>
          <w:rFonts w:ascii="Arial" w:hAnsi="Arial" w:cs="Arial"/>
          <w:bCs/>
          <w:sz w:val="20"/>
          <w:szCs w:val="18"/>
        </w:rPr>
        <w:t>-</w:t>
      </w:r>
      <w:r>
        <w:rPr>
          <w:rFonts w:ascii="Arial" w:hAnsi="Arial" w:cs="Arial"/>
          <w:bCs/>
          <w:sz w:val="20"/>
          <w:szCs w:val="18"/>
          <w:lang w:val="mn-MN"/>
        </w:rPr>
        <w:t>аар дамжуулан зарах зарлагыг жилийн эцэст удаашруулахаар төлөвлөсөн нь эерэг дохио юм. Гэвч Чингис бондоор санхүүжигдэх төсвөөс гадуурхи их хэмжээний зарлага нь ирэх жилд төсвөөс гадуур хэрэгжиннэ мөн энэ нь төсвийн төлөвлөлтийн үр ашгийг бууруулж, Төсвийн тогтвортой байдлын тухай хуулийг үр ашгийг мөн бууруулж байна. Төсвөөс гадуурхи зарлагыг төсвийг сайжруулах төлөвлөгөөнд оруулах ёстой бөгөөд төсвөөс гадуурхи зарлагыг оролцуулаад нийт төсвийн алдагдлыг ТТБТХуулийн хязгаарт оруулах ёстой.</w:t>
      </w:r>
      <w:r>
        <w:rPr>
          <w:rFonts w:ascii="Arial" w:hAnsi="Arial" w:cs="Arial"/>
          <w:bCs/>
          <w:sz w:val="20"/>
          <w:szCs w:val="18"/>
        </w:rPr>
        <w:t xml:space="preserve">  </w:t>
      </w:r>
    </w:p>
    <w:p w14:paraId="259F562A" w14:textId="77777777" w:rsidR="008003C7" w:rsidRDefault="008003C7" w:rsidP="008003C7">
      <w:pPr>
        <w:pStyle w:val="ListParagraph"/>
        <w:spacing w:before="200"/>
        <w:ind w:left="900"/>
        <w:jc w:val="both"/>
        <w:rPr>
          <w:rFonts w:ascii="Arial" w:hAnsi="Arial" w:cs="Arial"/>
          <w:bCs/>
          <w:sz w:val="10"/>
          <w:szCs w:val="18"/>
        </w:rPr>
      </w:pPr>
    </w:p>
    <w:p w14:paraId="6CB95276" w14:textId="77777777" w:rsidR="008003C7" w:rsidRDefault="008003C7" w:rsidP="008003C7">
      <w:pPr>
        <w:pStyle w:val="ListParagraph"/>
        <w:numPr>
          <w:ilvl w:val="0"/>
          <w:numId w:val="34"/>
        </w:numPr>
        <w:spacing w:before="200"/>
        <w:ind w:left="900" w:hanging="270"/>
        <w:jc w:val="both"/>
        <w:rPr>
          <w:rFonts w:ascii="Arial" w:hAnsi="Arial" w:cs="Arial"/>
          <w:bCs/>
          <w:sz w:val="20"/>
          <w:szCs w:val="18"/>
        </w:rPr>
      </w:pPr>
      <w:r>
        <w:rPr>
          <w:rFonts w:ascii="Arial" w:hAnsi="Arial" w:cs="Arial"/>
          <w:b/>
          <w:bCs/>
          <w:sz w:val="20"/>
          <w:szCs w:val="18"/>
          <w:lang w:val="mn-MN"/>
        </w:rPr>
        <w:t xml:space="preserve">Дунд хугацааны төсвийг сайжруулах төлөвлөгөө нь итгэлтэй, бодитой байх замд оруулахад тустай. </w:t>
      </w:r>
      <w:r>
        <w:rPr>
          <w:rFonts w:ascii="Arial" w:hAnsi="Arial" w:cs="Arial"/>
          <w:bCs/>
          <w:sz w:val="20"/>
          <w:szCs w:val="18"/>
          <w:lang w:val="mn-MN"/>
        </w:rPr>
        <w:t xml:space="preserve">Хоёрдахь сан хувилбар нь төсвөөс гадуурхи зарлагыг оруулаад төсвийн алдагдлыг бууруулж энэ жилд ТТБТХуулийн зорилго болох 2 хувьд багтаах. Гэвч дэд бүтцийн хөрөнгө оруулалтыг хийх улс төрийн амлалт өгөгдсөн нөхцөлд энэ зорилго нь улс төрий хувьд төвөгтэй байх талтай. Энэ утгаараа, дунд хугацааны төсвийг сайжруулах стратеги нь нэгдсэн төсвийг </w:t>
      </w:r>
      <w:r>
        <w:rPr>
          <w:rFonts w:ascii="Arial" w:hAnsi="Arial" w:cs="Arial"/>
          <w:bCs/>
          <w:sz w:val="20"/>
          <w:szCs w:val="18"/>
        </w:rPr>
        <w:t>(</w:t>
      </w:r>
      <w:r>
        <w:rPr>
          <w:rFonts w:ascii="Arial" w:hAnsi="Arial" w:cs="Arial"/>
          <w:bCs/>
          <w:sz w:val="20"/>
          <w:szCs w:val="18"/>
          <w:lang w:val="mn-MN"/>
        </w:rPr>
        <w:t>төсвийн болон төсвөөс гадуурхи</w:t>
      </w:r>
      <w:r>
        <w:rPr>
          <w:rFonts w:ascii="Arial" w:hAnsi="Arial" w:cs="Arial"/>
          <w:bCs/>
          <w:sz w:val="20"/>
          <w:szCs w:val="18"/>
        </w:rPr>
        <w:t>)</w:t>
      </w:r>
      <w:r>
        <w:rPr>
          <w:rFonts w:ascii="Arial" w:hAnsi="Arial" w:cs="Arial"/>
          <w:bCs/>
          <w:sz w:val="20"/>
          <w:szCs w:val="18"/>
          <w:lang w:val="mn-MN"/>
        </w:rPr>
        <w:t xml:space="preserve"> аажмаар бууруулж, төсвийн алдагдлыг зорилго бүхий жилд </w:t>
      </w:r>
      <w:r>
        <w:rPr>
          <w:rFonts w:ascii="Arial" w:hAnsi="Arial" w:cs="Arial"/>
          <w:bCs/>
          <w:sz w:val="20"/>
          <w:szCs w:val="18"/>
        </w:rPr>
        <w:t xml:space="preserve">– </w:t>
      </w:r>
      <w:r>
        <w:rPr>
          <w:rFonts w:ascii="Arial" w:hAnsi="Arial" w:cs="Arial"/>
          <w:bCs/>
          <w:sz w:val="20"/>
          <w:szCs w:val="18"/>
          <w:lang w:val="mn-MN"/>
        </w:rPr>
        <w:t>жишээ нь гурван жилийн дараа ТТБТХуулийн зорилго 2 хувьд хүргэх сайн суурь болно</w:t>
      </w:r>
      <w:r>
        <w:rPr>
          <w:rFonts w:ascii="Arial" w:hAnsi="Arial" w:cs="Arial"/>
          <w:bCs/>
          <w:sz w:val="20"/>
          <w:szCs w:val="18"/>
        </w:rPr>
        <w:t>.</w:t>
      </w:r>
      <w:r>
        <w:rPr>
          <w:rFonts w:ascii="Arial" w:hAnsi="Arial" w:cs="Arial"/>
          <w:bCs/>
          <w:sz w:val="20"/>
          <w:szCs w:val="18"/>
          <w:lang w:val="mn-MN"/>
        </w:rPr>
        <w:t xml:space="preserve"> Макро эдийн засгийн таамаглалууд нь төсвийн орлогын хэт өөдрөг төсөөлөл, хэт үрэлгэн зарлагын төлөвлөгөө зохиогдохоос сэргийлж бодитой амьдралтай байх хэрэгтэй. Сангийн яамны Дунд хугацааны төсвийн хүрээ нь дунд хугацааны төсвийг сайжруулах төлөвлөгөөнд сайн суурь нь болох боловч зорилгодоо хүрэхийн тулд түүнийг сайжруулах хэрэгтэй учир нь энэ нь МУХБ зарлагыг оруулдаггүй бөгөөд түүний орлогын таамаглал нь хэт өөдрөг байх талтай байдаг. МУХБ</w:t>
      </w:r>
      <w:r>
        <w:rPr>
          <w:rFonts w:ascii="Arial" w:hAnsi="Arial" w:cs="Arial"/>
          <w:bCs/>
          <w:sz w:val="20"/>
          <w:szCs w:val="18"/>
        </w:rPr>
        <w:t>-</w:t>
      </w:r>
      <w:r>
        <w:rPr>
          <w:rFonts w:ascii="Arial" w:hAnsi="Arial" w:cs="Arial"/>
          <w:bCs/>
          <w:sz w:val="20"/>
          <w:szCs w:val="18"/>
          <w:lang w:val="mn-MN"/>
        </w:rPr>
        <w:t xml:space="preserve">ны зарлага эсвэл засгийн газрын бондоор санхүүжиглэх төслүүдийг ТТБТХуулиар зохицуулж төсвийн зарлагын хэсэг гэдгийг хуулиар зохицуулж төсвөөс гадуурхи төсвийн зарлагыг нэгтгэж болно. </w:t>
      </w:r>
    </w:p>
    <w:p w14:paraId="1C9D6477" w14:textId="77777777" w:rsidR="008003C7" w:rsidRDefault="008003C7" w:rsidP="008003C7">
      <w:pPr>
        <w:pStyle w:val="ListParagraph"/>
        <w:spacing w:before="200"/>
        <w:rPr>
          <w:rFonts w:ascii="Arial" w:hAnsi="Arial" w:cs="Arial"/>
          <w:bCs/>
          <w:sz w:val="10"/>
          <w:szCs w:val="18"/>
        </w:rPr>
      </w:pPr>
    </w:p>
    <w:p w14:paraId="5D23FCC6" w14:textId="77777777" w:rsidR="008003C7" w:rsidRDefault="008003C7" w:rsidP="008003C7">
      <w:pPr>
        <w:pStyle w:val="ListParagraph"/>
        <w:numPr>
          <w:ilvl w:val="0"/>
          <w:numId w:val="34"/>
        </w:numPr>
        <w:spacing w:before="200"/>
        <w:ind w:left="900" w:hanging="270"/>
        <w:jc w:val="both"/>
        <w:rPr>
          <w:rFonts w:ascii="Arial" w:hAnsi="Arial" w:cs="Arial"/>
          <w:bCs/>
          <w:sz w:val="20"/>
          <w:szCs w:val="18"/>
        </w:rPr>
      </w:pPr>
      <w:r>
        <w:rPr>
          <w:rFonts w:ascii="Arial" w:hAnsi="Arial" w:cs="Arial"/>
          <w:b/>
          <w:bCs/>
          <w:sz w:val="20"/>
          <w:szCs w:val="18"/>
          <w:lang w:val="mn-MN"/>
        </w:rPr>
        <w:t xml:space="preserve">Орлогын таамаглалыг бодит үндэслэлээр хийж, улс төрийн нөлөөнөөс тусгаарлах хэрэгтэй. </w:t>
      </w:r>
      <w:r>
        <w:rPr>
          <w:rFonts w:ascii="Arial" w:hAnsi="Arial" w:cs="Arial"/>
          <w:bCs/>
          <w:sz w:val="20"/>
          <w:szCs w:val="18"/>
          <w:lang w:val="mn-MN"/>
        </w:rPr>
        <w:t>Засгийн газраас оруулсан төсвийг сайжруулах төлөвлөгөө болон 2014 оны төсөв нь бодит эдийн засгийн төлөвтэй уялдаатай харагдаж байна. Гэвч өнгөрсөн туршлагаас харахад засгийн газраас оруулсан орлогын таамаглал нь их хурлаас хэлэлцэгдэх явцдаа нэмэлт төсвийн хөтөлбөрүүдийг оруулах замаар зарлага нэмэгдэхэд зэрэгцэн богинохон хугацаанд өндөр болох хандлага байдаг. Энэ жилийн хүнд туршлага</w:t>
      </w:r>
      <w:r>
        <w:rPr>
          <w:rFonts w:ascii="Arial" w:hAnsi="Arial" w:cs="Arial"/>
          <w:bCs/>
          <w:sz w:val="20"/>
          <w:szCs w:val="18"/>
        </w:rPr>
        <w:t xml:space="preserve"> – </w:t>
      </w:r>
      <w:r>
        <w:rPr>
          <w:rFonts w:ascii="Arial" w:hAnsi="Arial" w:cs="Arial"/>
          <w:bCs/>
          <w:sz w:val="20"/>
          <w:szCs w:val="18"/>
          <w:lang w:val="mn-MN"/>
        </w:rPr>
        <w:t>төсвийн 15</w:t>
      </w:r>
      <w:r>
        <w:rPr>
          <w:rFonts w:ascii="Arial" w:hAnsi="Arial" w:cs="Arial"/>
          <w:bCs/>
          <w:sz w:val="20"/>
          <w:szCs w:val="18"/>
        </w:rPr>
        <w:t>-</w:t>
      </w:r>
      <w:r>
        <w:rPr>
          <w:rFonts w:ascii="Arial" w:hAnsi="Arial" w:cs="Arial"/>
          <w:bCs/>
          <w:sz w:val="20"/>
          <w:szCs w:val="18"/>
          <w:lang w:val="mn-MN"/>
        </w:rPr>
        <w:t>20 хувийн орлогын дутагдал</w:t>
      </w:r>
      <w:r>
        <w:rPr>
          <w:rFonts w:ascii="Arial" w:hAnsi="Arial" w:cs="Arial"/>
          <w:bCs/>
          <w:sz w:val="20"/>
          <w:szCs w:val="18"/>
        </w:rPr>
        <w:t xml:space="preserve"> – </w:t>
      </w:r>
      <w:r>
        <w:rPr>
          <w:rFonts w:ascii="Arial" w:hAnsi="Arial" w:cs="Arial"/>
          <w:bCs/>
          <w:sz w:val="20"/>
          <w:szCs w:val="18"/>
          <w:lang w:val="mn-MN"/>
        </w:rPr>
        <w:t xml:space="preserve">нь хэт өөдрөгөөр төсөөлөх нь төсвийн төлөвлөгөөний итгэлтэй байдлыг алдагдуулж, тухайн жилийн эдийн засгийн нийт удирдлагыг буруу чиглүүлэх талтай. </w:t>
      </w:r>
    </w:p>
    <w:p w14:paraId="48A52613" w14:textId="77777777" w:rsidR="008003C7" w:rsidRDefault="008003C7" w:rsidP="008003C7">
      <w:pPr>
        <w:pStyle w:val="ListParagraph"/>
        <w:spacing w:before="200"/>
        <w:ind w:left="900" w:hanging="270"/>
        <w:rPr>
          <w:rFonts w:ascii="Arial" w:hAnsi="Arial" w:cs="Arial"/>
          <w:bCs/>
          <w:sz w:val="8"/>
          <w:szCs w:val="18"/>
        </w:rPr>
      </w:pPr>
    </w:p>
    <w:p w14:paraId="02B28132" w14:textId="77777777" w:rsidR="008003C7" w:rsidRDefault="008003C7" w:rsidP="008003C7">
      <w:pPr>
        <w:pStyle w:val="ListParagraph"/>
        <w:numPr>
          <w:ilvl w:val="0"/>
          <w:numId w:val="34"/>
        </w:numPr>
        <w:spacing w:before="200"/>
        <w:ind w:left="900" w:hanging="270"/>
        <w:jc w:val="both"/>
        <w:rPr>
          <w:rFonts w:ascii="Arial" w:hAnsi="Arial" w:cs="Arial"/>
          <w:bCs/>
          <w:sz w:val="20"/>
          <w:szCs w:val="18"/>
        </w:rPr>
      </w:pPr>
      <w:r>
        <w:rPr>
          <w:rFonts w:ascii="Arial" w:hAnsi="Arial" w:cs="Arial"/>
          <w:b/>
          <w:bCs/>
          <w:sz w:val="20"/>
          <w:szCs w:val="18"/>
          <w:lang w:val="mn-MN"/>
        </w:rPr>
        <w:t xml:space="preserve">Урт хугацаанд, төсвийн бодлого нь гарч болон эдийн засгийн хямралыг удирдах бодлогын хавхлагыг барих шаардлагатай. </w:t>
      </w:r>
      <w:r>
        <w:rPr>
          <w:rFonts w:ascii="Arial" w:hAnsi="Arial" w:cs="Arial"/>
          <w:bCs/>
          <w:sz w:val="20"/>
          <w:szCs w:val="18"/>
          <w:lang w:val="mn-MN"/>
        </w:rPr>
        <w:t>Төсвийн хадгаламжтай байх нь засгийн газрыг эдийн засгийн хямралын үед идэвхитэй, мөчлөгийн эсрэг сангийн бодлогыг зээлэхгүйгээр ажиллах боломжийг олгодог</w:t>
      </w:r>
      <w:r>
        <w:rPr>
          <w:rFonts w:ascii="Arial" w:hAnsi="Arial" w:cs="Arial"/>
          <w:bCs/>
          <w:sz w:val="20"/>
          <w:szCs w:val="18"/>
        </w:rPr>
        <w:t xml:space="preserve"> – </w:t>
      </w:r>
      <w:r>
        <w:rPr>
          <w:rFonts w:ascii="Arial" w:hAnsi="Arial" w:cs="Arial"/>
          <w:bCs/>
          <w:sz w:val="20"/>
          <w:szCs w:val="18"/>
          <w:lang w:val="mn-MN"/>
        </w:rPr>
        <w:t xml:space="preserve">зээлэх нь эдийн засгийг хямралтай байх үед нэлээд төвөгтэй байдаг. Сангийн яамны боловсруулж байгаа засгийн газрын баялагийн сангийн хууль нь уул уурхайн орлогын удирдлага болон төсвийн хадгаламжийг үр дүнтэй удирдах институцийн сайн суурь болно. Энэ утгаараа, тэнцвэржүүлсэн алдагдлыг 2 хувийн хязгаарт оруулж тэнцвэржүүлсэн тэнцэл гаргах нь </w:t>
      </w:r>
      <w:r>
        <w:rPr>
          <w:rFonts w:ascii="Arial" w:hAnsi="Arial" w:cs="Arial"/>
          <w:bCs/>
          <w:sz w:val="20"/>
          <w:szCs w:val="18"/>
        </w:rPr>
        <w:t>(</w:t>
      </w:r>
      <w:r>
        <w:rPr>
          <w:rFonts w:ascii="Arial" w:hAnsi="Arial" w:cs="Arial"/>
          <w:bCs/>
          <w:sz w:val="20"/>
          <w:szCs w:val="18"/>
          <w:lang w:val="mn-MN"/>
        </w:rPr>
        <w:t>өөрөөр хэлбэл, тэнцвэржүүлсэн алдагдалгүй</w:t>
      </w:r>
      <w:r>
        <w:rPr>
          <w:rFonts w:ascii="Arial" w:hAnsi="Arial" w:cs="Arial"/>
          <w:bCs/>
          <w:sz w:val="20"/>
          <w:szCs w:val="18"/>
        </w:rPr>
        <w:t xml:space="preserve">) </w:t>
      </w:r>
      <w:r>
        <w:rPr>
          <w:rFonts w:ascii="Arial" w:hAnsi="Arial" w:cs="Arial"/>
          <w:bCs/>
          <w:sz w:val="20"/>
          <w:szCs w:val="18"/>
          <w:lang w:val="mn-MN"/>
        </w:rPr>
        <w:t xml:space="preserve">урт хугацаандаа уул уурхайн орлого нь тэнцвэржүүлсэн орлогоос дээш үед төсвийн хадгаламжийг бй болгох замаар сайн эхлэл нь болдог. </w:t>
      </w:r>
    </w:p>
    <w:p w14:paraId="151309EC" w14:textId="77777777" w:rsidR="008003C7" w:rsidRDefault="008003C7" w:rsidP="008003C7">
      <w:pPr>
        <w:pStyle w:val="ListParagraph"/>
        <w:spacing w:before="200"/>
        <w:ind w:left="270"/>
        <w:jc w:val="both"/>
        <w:rPr>
          <w:rFonts w:ascii="Arial" w:hAnsi="Arial" w:cs="Arial"/>
          <w:bCs/>
          <w:sz w:val="20"/>
          <w:szCs w:val="18"/>
        </w:rPr>
      </w:pPr>
    </w:p>
    <w:p w14:paraId="16706367" w14:textId="77777777" w:rsidR="008003C7" w:rsidRDefault="008003C7" w:rsidP="008003C7">
      <w:pPr>
        <w:pStyle w:val="ListParagraph"/>
        <w:numPr>
          <w:ilvl w:val="0"/>
          <w:numId w:val="33"/>
        </w:numPr>
        <w:spacing w:before="200"/>
        <w:ind w:left="270" w:hanging="270"/>
        <w:jc w:val="both"/>
        <w:rPr>
          <w:rFonts w:ascii="Arial" w:hAnsi="Arial" w:cs="Arial"/>
          <w:b/>
          <w:bCs/>
          <w:sz w:val="20"/>
          <w:szCs w:val="18"/>
        </w:rPr>
      </w:pPr>
      <w:r>
        <w:rPr>
          <w:rFonts w:ascii="Arial" w:hAnsi="Arial" w:cs="Arial"/>
          <w:b/>
          <w:bCs/>
          <w:sz w:val="20"/>
          <w:szCs w:val="18"/>
          <w:lang w:val="mn-MN"/>
        </w:rPr>
        <w:lastRenderedPageBreak/>
        <w:t xml:space="preserve">Төсвийн бодлого нь “сайн зарцуулах” тал дээр илүү анхаарлаа хандуулах ёстой. </w:t>
      </w:r>
      <w:r>
        <w:rPr>
          <w:rFonts w:ascii="Arial" w:hAnsi="Arial" w:cs="Arial"/>
          <w:bCs/>
          <w:sz w:val="20"/>
          <w:szCs w:val="18"/>
        </w:rPr>
        <w:t xml:space="preserve">Улсын хөрөнгө оруулалтын зарлагыг огцом нэмэгдүүлэх нь– </w:t>
      </w:r>
      <w:r>
        <w:rPr>
          <w:rFonts w:ascii="Arial" w:hAnsi="Arial" w:cs="Arial"/>
          <w:bCs/>
          <w:sz w:val="20"/>
          <w:szCs w:val="18"/>
          <w:lang w:val="mn-MN"/>
        </w:rPr>
        <w:t>өнгөрсөн арван жилийн хугацаанд хорин долоо дахин нэмэгдсэн нь</w:t>
      </w:r>
      <w:r>
        <w:rPr>
          <w:rFonts w:ascii="Arial" w:hAnsi="Arial" w:cs="Arial"/>
          <w:bCs/>
          <w:sz w:val="20"/>
          <w:szCs w:val="18"/>
        </w:rPr>
        <w:t xml:space="preserve"> – </w:t>
      </w:r>
      <w:r>
        <w:rPr>
          <w:rFonts w:ascii="Arial" w:hAnsi="Arial" w:cs="Arial"/>
          <w:bCs/>
          <w:sz w:val="20"/>
          <w:szCs w:val="18"/>
          <w:lang w:val="mn-MN"/>
        </w:rPr>
        <w:t>улсын хөрөнгө оруулалтын төслүүдийн чанарын талаар асуудал үүсгэж байна. Хэдийгээр хөгжиж буй орнуудад дэд бүтцийн зарлагыг нэмэгдүүлэх нь зайлшгүй чухал боловч түүний хурд нь Засгийн газын төлөвлөлт, хэрэгжилтийн чадавхи, болон эдийн засгийн шингээх чадвартай уялдах ёстой. Төсвөөс баталсан бүх төслүүд нь сайтар боловсруулсан техник эдийн засгийн үндэслэл, хэлбэр, зөв тооцоо судалгааг оруулсан төслийн баримт бичигтэй байх ёстой. Их хурлаар хэлэлцүүлэх явцад шинээр төслүүдийг, тэдгээр нь яаралтай хэрэгжих чухал гэдэг нь батлагдсан, сайн шинжилгээтэй, баримтаар баталгаажсанаас бусад тохиолдолд яаралтайгаар оруулахыг аль болохоор зайлсхийх ёстой,</w:t>
      </w:r>
      <w:r>
        <w:rPr>
          <w:rFonts w:ascii="Arial" w:hAnsi="Arial" w:cs="Arial"/>
          <w:bCs/>
          <w:sz w:val="20"/>
          <w:szCs w:val="18"/>
        </w:rPr>
        <w:t xml:space="preserve">. </w:t>
      </w:r>
    </w:p>
    <w:p w14:paraId="70A22787" w14:textId="77777777" w:rsidR="008003C7" w:rsidRDefault="008003C7" w:rsidP="008003C7">
      <w:pPr>
        <w:pStyle w:val="ListParagraph"/>
        <w:spacing w:before="200"/>
        <w:ind w:left="270"/>
        <w:jc w:val="both"/>
        <w:rPr>
          <w:rFonts w:ascii="Arial" w:hAnsi="Arial" w:cs="Arial"/>
          <w:b/>
          <w:bCs/>
          <w:sz w:val="12"/>
          <w:szCs w:val="18"/>
        </w:rPr>
      </w:pPr>
    </w:p>
    <w:p w14:paraId="17D36054" w14:textId="77777777" w:rsidR="008003C7" w:rsidRDefault="008003C7" w:rsidP="008003C7">
      <w:pPr>
        <w:pStyle w:val="ListParagraph"/>
        <w:numPr>
          <w:ilvl w:val="0"/>
          <w:numId w:val="34"/>
        </w:numPr>
        <w:spacing w:before="200"/>
        <w:jc w:val="both"/>
        <w:rPr>
          <w:rFonts w:ascii="Arial" w:hAnsi="Arial" w:cs="Arial"/>
          <w:bCs/>
          <w:sz w:val="20"/>
          <w:szCs w:val="18"/>
        </w:rPr>
      </w:pPr>
      <w:r>
        <w:rPr>
          <w:rFonts w:ascii="Arial" w:hAnsi="Arial" w:cs="Arial"/>
          <w:b/>
          <w:bCs/>
          <w:sz w:val="20"/>
          <w:szCs w:val="18"/>
          <w:lang w:val="mn-MN"/>
        </w:rPr>
        <w:t xml:space="preserve">Энэ утгаараа, оновчтой дунд хугацааны улсын хөрөнгө оруулалтын төлөвлөгөө нь үндэсний болон салбарын хөгжлийн тэргүүлэх чиглэлийн дагуу бэлтгэгдэж, түүнд хүрэх зам нь байх ёстой. </w:t>
      </w:r>
      <w:r>
        <w:rPr>
          <w:rFonts w:ascii="Arial" w:hAnsi="Arial" w:cs="Arial"/>
          <w:bCs/>
          <w:sz w:val="20"/>
          <w:szCs w:val="18"/>
          <w:lang w:val="mn-MN"/>
        </w:rPr>
        <w:t xml:space="preserve">Уг төлөвлөгөө нь өгөгдсөн цаг хугацаанд хүрэх хөгжлийн зорилтуудыг тодорхой зааж өгөх хэрэгтэй. Улсын хөрөнгө оруулалтын хөтөлбөр нь ТТБТХуулийн хүрээнд дунд хугацааны төсвийн төлөвлөгөөнд авч үзсэн дунд хугацааны оновчтой орлогын төлөвийн хүрээнд бодитой хийгдэх ёстой. Хөгжлийн эхэн үед байгаа улс орны хувьд бүх л зүйл чухал санагдаж байгаа боловч тэргүүлэх чиглэлээр ангилах нь хязгаарлагдмал төсвийн нөөцтэй үед амжилттай хөгжилд чухал. Улсын хөрөнгө оруулалтын хөтөлбөрөөр боловсруулагдсан стратегийн тэргүүлэх чиглэлүүд нь төсвийн хөрөнгийг стратегиар байршуулахад чухал суурь болно. </w:t>
      </w:r>
    </w:p>
    <w:p w14:paraId="23233AC7" w14:textId="77777777" w:rsidR="008003C7" w:rsidRDefault="008003C7" w:rsidP="008003C7">
      <w:pPr>
        <w:pStyle w:val="ListParagraph"/>
        <w:spacing w:before="200"/>
        <w:ind w:left="990"/>
        <w:jc w:val="both"/>
        <w:rPr>
          <w:rFonts w:ascii="Arial" w:hAnsi="Arial" w:cs="Arial"/>
          <w:bCs/>
          <w:sz w:val="10"/>
          <w:szCs w:val="18"/>
        </w:rPr>
      </w:pPr>
    </w:p>
    <w:p w14:paraId="1992A9FB" w14:textId="77777777" w:rsidR="008003C7" w:rsidRDefault="008003C7" w:rsidP="008003C7">
      <w:pPr>
        <w:pStyle w:val="ListParagraph"/>
        <w:numPr>
          <w:ilvl w:val="0"/>
          <w:numId w:val="34"/>
        </w:numPr>
        <w:spacing w:before="200"/>
        <w:ind w:left="900" w:hanging="270"/>
        <w:jc w:val="both"/>
        <w:rPr>
          <w:rFonts w:ascii="Arial" w:hAnsi="Arial" w:cs="Arial"/>
          <w:bCs/>
          <w:sz w:val="20"/>
          <w:szCs w:val="18"/>
        </w:rPr>
      </w:pPr>
      <w:r>
        <w:rPr>
          <w:rFonts w:ascii="Arial" w:hAnsi="Arial" w:cs="Arial"/>
          <w:b/>
          <w:bCs/>
          <w:sz w:val="20"/>
          <w:szCs w:val="18"/>
          <w:lang w:val="mn-MN"/>
        </w:rPr>
        <w:t>Олон салсан улсын хөрөнгө оруулалтын төлөвлөлтийн тогтолцоог сайжруулах хэрэгтэй</w:t>
      </w:r>
      <w:r>
        <w:rPr>
          <w:rFonts w:ascii="Arial" w:hAnsi="Arial" w:cs="Arial"/>
          <w:b/>
          <w:bCs/>
          <w:sz w:val="20"/>
          <w:szCs w:val="18"/>
        </w:rPr>
        <w:t xml:space="preserve">. </w:t>
      </w:r>
      <w:r>
        <w:rPr>
          <w:rFonts w:ascii="Arial" w:hAnsi="Arial" w:cs="Arial"/>
          <w:bCs/>
          <w:sz w:val="20"/>
          <w:szCs w:val="18"/>
          <w:lang w:val="mn-MN"/>
        </w:rPr>
        <w:t>Уг тогтолцоо нь хоёр хэсэгтэй</w:t>
      </w:r>
      <w:r>
        <w:rPr>
          <w:rFonts w:ascii="Arial" w:hAnsi="Arial" w:cs="Arial"/>
          <w:bCs/>
          <w:sz w:val="20"/>
          <w:szCs w:val="18"/>
        </w:rPr>
        <w:t xml:space="preserve">: (i) </w:t>
      </w:r>
      <w:r>
        <w:rPr>
          <w:rFonts w:ascii="Arial" w:hAnsi="Arial" w:cs="Arial"/>
          <w:bCs/>
          <w:sz w:val="20"/>
          <w:szCs w:val="18"/>
          <w:lang w:val="mn-MN"/>
        </w:rPr>
        <w:t>төсвийн доторхи албаны ёсны хөрөнгийн зардал мөн</w:t>
      </w:r>
      <w:r>
        <w:rPr>
          <w:rFonts w:ascii="Arial" w:hAnsi="Arial" w:cs="Arial"/>
          <w:bCs/>
          <w:sz w:val="20"/>
          <w:szCs w:val="18"/>
        </w:rPr>
        <w:t xml:space="preserve"> (ii) </w:t>
      </w:r>
      <w:r>
        <w:rPr>
          <w:rFonts w:ascii="Arial" w:hAnsi="Arial" w:cs="Arial"/>
          <w:bCs/>
          <w:sz w:val="20"/>
          <w:szCs w:val="18"/>
          <w:lang w:val="mn-MN"/>
        </w:rPr>
        <w:t>МУХБ</w:t>
      </w:r>
      <w:r>
        <w:rPr>
          <w:rFonts w:ascii="Arial" w:hAnsi="Arial" w:cs="Arial"/>
          <w:bCs/>
          <w:sz w:val="20"/>
          <w:szCs w:val="18"/>
        </w:rPr>
        <w:t>-</w:t>
      </w:r>
      <w:r>
        <w:rPr>
          <w:rFonts w:ascii="Arial" w:hAnsi="Arial" w:cs="Arial"/>
          <w:bCs/>
          <w:sz w:val="20"/>
          <w:szCs w:val="18"/>
          <w:lang w:val="mn-MN"/>
        </w:rPr>
        <w:t>аар дамжуулах нэмэлт улсын хөрөнгө оруулалтын зарлага</w:t>
      </w:r>
      <w:r>
        <w:rPr>
          <w:rFonts w:ascii="Arial" w:hAnsi="Arial" w:cs="Arial"/>
          <w:bCs/>
          <w:sz w:val="20"/>
          <w:szCs w:val="18"/>
        </w:rPr>
        <w:t>.</w:t>
      </w:r>
      <w:r>
        <w:rPr>
          <w:rFonts w:ascii="Arial" w:hAnsi="Arial" w:cs="Arial"/>
          <w:bCs/>
          <w:sz w:val="20"/>
          <w:szCs w:val="18"/>
          <w:lang w:val="mn-MN"/>
        </w:rPr>
        <w:t xml:space="preserve"> Эдийн засгийн хөгжлийн яам нь энэхүү хоёр хэсгийг үр дүнтэйгээр хянаж байгаа боловч МУХБ</w:t>
      </w:r>
      <w:r>
        <w:rPr>
          <w:rFonts w:ascii="Arial" w:hAnsi="Arial" w:cs="Arial"/>
          <w:bCs/>
          <w:sz w:val="20"/>
          <w:szCs w:val="18"/>
        </w:rPr>
        <w:t>-</w:t>
      </w:r>
      <w:r>
        <w:rPr>
          <w:rFonts w:ascii="Arial" w:hAnsi="Arial" w:cs="Arial"/>
          <w:bCs/>
          <w:sz w:val="20"/>
          <w:szCs w:val="18"/>
          <w:lang w:val="mn-MN"/>
        </w:rPr>
        <w:t>аар дамжиж байгаа улсын хөрөнгө оруулалтын хоёр дахь суваг нь үр дүнтэй төлөвлөлт болон ил тод байдлын хувьд асуудлууд үүсгэж байна. МУХБ нь томоохон улсын хөрөнгө оруулалтын төслүүдийн томоохон санхүүжигч болж байгаа ч төсөв болон МУХБ аль алиныг нь оруулсан үндэсний хөгжлийн төлөвлөгөө алба байна. МУХБ</w:t>
      </w:r>
      <w:r>
        <w:rPr>
          <w:rFonts w:ascii="Arial" w:hAnsi="Arial" w:cs="Arial"/>
          <w:bCs/>
          <w:sz w:val="20"/>
          <w:szCs w:val="18"/>
        </w:rPr>
        <w:t>-</w:t>
      </w:r>
      <w:r>
        <w:rPr>
          <w:rFonts w:ascii="Arial" w:hAnsi="Arial" w:cs="Arial"/>
          <w:bCs/>
          <w:sz w:val="20"/>
          <w:szCs w:val="18"/>
          <w:lang w:val="mn-MN"/>
        </w:rPr>
        <w:t>д ил тод байдал дутагдаж байгаа нь улсын хөрөнгө оруулалтын чанарын асуудал үүсгэж байна. МУХБ нь жилийн хөрөнгө оруулалтын төлөвлөгөө эсвэл түүний үйл явцын талаар аль алиныг нь нийтлүүлдэггүй бөгөөд түүний төслүүд нь төсвийн хөрөнгө оруулалтын төслүүдэд шаардагддаг нарийн худалдан авалт, хянаж шалгах шаардлагууд байхгүй байна. Ил тод байдал болон зохицуулалтгүйгээр, МУХБ</w:t>
      </w:r>
      <w:r>
        <w:rPr>
          <w:rFonts w:ascii="Arial" w:hAnsi="Arial" w:cs="Arial"/>
          <w:bCs/>
          <w:sz w:val="20"/>
          <w:szCs w:val="18"/>
        </w:rPr>
        <w:t>-</w:t>
      </w:r>
      <w:r>
        <w:rPr>
          <w:rFonts w:ascii="Arial" w:hAnsi="Arial" w:cs="Arial"/>
          <w:bCs/>
          <w:sz w:val="20"/>
          <w:szCs w:val="18"/>
          <w:lang w:val="mn-MN"/>
        </w:rPr>
        <w:t xml:space="preserve">ны хөрөнгө оруулалтын хөтөлбөрүүд нв улс төрийн нөлөөнд илүү  автах мөн эдийн засгийн бус ...төслүүдийг багтааж байна. </w:t>
      </w:r>
    </w:p>
    <w:p w14:paraId="2A8FB2D0" w14:textId="77777777" w:rsidR="008003C7" w:rsidRDefault="008003C7" w:rsidP="008003C7">
      <w:pPr>
        <w:pStyle w:val="ListParagraph"/>
        <w:spacing w:before="200"/>
        <w:ind w:left="270" w:hanging="270"/>
        <w:jc w:val="both"/>
        <w:rPr>
          <w:rFonts w:ascii="Arial" w:hAnsi="Arial" w:cs="Arial"/>
          <w:bCs/>
          <w:sz w:val="20"/>
          <w:szCs w:val="18"/>
        </w:rPr>
      </w:pPr>
    </w:p>
    <w:p w14:paraId="65CBAAFB" w14:textId="77777777" w:rsidR="008003C7" w:rsidRDefault="008003C7" w:rsidP="008003C7">
      <w:pPr>
        <w:pStyle w:val="ListParagraph"/>
        <w:numPr>
          <w:ilvl w:val="0"/>
          <w:numId w:val="33"/>
        </w:numPr>
        <w:spacing w:before="200"/>
        <w:ind w:left="270" w:hanging="270"/>
        <w:jc w:val="both"/>
        <w:rPr>
          <w:rFonts w:ascii="Arial" w:hAnsi="Arial" w:cs="Arial"/>
          <w:bCs/>
          <w:sz w:val="20"/>
          <w:szCs w:val="18"/>
        </w:rPr>
      </w:pPr>
      <w:r>
        <w:rPr>
          <w:rFonts w:ascii="Arial" w:hAnsi="Arial" w:cs="Arial"/>
          <w:b/>
          <w:bCs/>
          <w:sz w:val="20"/>
          <w:szCs w:val="18"/>
          <w:lang w:val="mn-MN"/>
        </w:rPr>
        <w:t>Мөнгөний бодлого нь макро эдийн засгийн болон санхүүгийн тогтвортой байдалд чиглэгдэх ёстой</w:t>
      </w:r>
      <w:r>
        <w:rPr>
          <w:rFonts w:ascii="Arial" w:hAnsi="Arial" w:cs="Arial"/>
          <w:b/>
          <w:bCs/>
          <w:sz w:val="20"/>
          <w:szCs w:val="18"/>
        </w:rPr>
        <w:t>.</w:t>
      </w:r>
      <w:r>
        <w:rPr>
          <w:rFonts w:ascii="Arial" w:hAnsi="Arial" w:cs="Arial"/>
          <w:bCs/>
          <w:sz w:val="20"/>
          <w:szCs w:val="18"/>
          <w:lang w:val="mn-MN"/>
        </w:rPr>
        <w:t xml:space="preserve"> Мөнгөний сулруулалт нь энэ жилийн эхэнд зээлийн бууралт гарах нөлөөг багасгахад ашиг тусаа өгсөн боловч сүүлийн саруудад хувийн зээлийн хурдацтай өсөлт нь мөнгөний удидлагуудыг мөнгөний сулралт нь эдийн засгийн үндсэн үзүүлэлтүүд, тур дундаа төлбөрийн тэнцэл болон инфляцид ямар нөлөө үзүүлж байгааг дахин үнэлэх хэрэгтэйг онцолж байна. </w:t>
      </w:r>
    </w:p>
    <w:p w14:paraId="516B3BB8" w14:textId="77777777" w:rsidR="008003C7" w:rsidRDefault="008003C7" w:rsidP="008003C7">
      <w:pPr>
        <w:pStyle w:val="ListParagraph"/>
        <w:spacing w:before="200"/>
        <w:rPr>
          <w:rFonts w:ascii="Arial" w:hAnsi="Arial" w:cs="Arial"/>
          <w:bCs/>
          <w:sz w:val="20"/>
          <w:szCs w:val="18"/>
        </w:rPr>
      </w:pPr>
    </w:p>
    <w:p w14:paraId="19DEE833" w14:textId="77777777" w:rsidR="008003C7" w:rsidRDefault="008003C7" w:rsidP="008003C7">
      <w:pPr>
        <w:pStyle w:val="ListParagraph"/>
        <w:numPr>
          <w:ilvl w:val="0"/>
          <w:numId w:val="35"/>
        </w:numPr>
        <w:spacing w:before="200"/>
        <w:jc w:val="both"/>
        <w:rPr>
          <w:rFonts w:ascii="Arial" w:hAnsi="Arial" w:cs="Arial"/>
          <w:bCs/>
          <w:sz w:val="20"/>
          <w:szCs w:val="18"/>
        </w:rPr>
      </w:pPr>
      <w:r>
        <w:rPr>
          <w:rFonts w:ascii="Arial" w:hAnsi="Arial" w:cs="Arial"/>
          <w:b/>
          <w:bCs/>
          <w:sz w:val="20"/>
          <w:szCs w:val="18"/>
          <w:lang w:val="mn-MN"/>
        </w:rPr>
        <w:t xml:space="preserve">Төлбөрийн тэнцлийн дарамттай байгаа, инфляци өсөх хандлагатай үед удирдлагууд зээлийн өсөлтийг хязгаарлах ёстой. </w:t>
      </w:r>
      <w:r>
        <w:rPr>
          <w:rFonts w:ascii="Arial" w:hAnsi="Arial" w:cs="Arial"/>
          <w:bCs/>
          <w:sz w:val="20"/>
          <w:szCs w:val="18"/>
          <w:lang w:val="mn-MN"/>
        </w:rPr>
        <w:t xml:space="preserve">Мөнгөний бодлогын удирдлагуудын хэрэгжүүлсэн бодлогын зээлийн хөтөлбөрүүд нь зээлийн өсөлтийг нэмэгдүүлсэн энэ нь бодлогын зээлүүд нь хөнгөлөлттэй нөхцөлөөр арилжааны банкуудад шууд өгсөн. Эдгээр бодлогын зээлийн хөтөлбөрүүдийг аажмаар үе шаттайгаар хэрэгжүүлж, аажимдаа дуусгах хэрэгтэй. </w:t>
      </w:r>
    </w:p>
    <w:p w14:paraId="177EA4A7" w14:textId="77777777" w:rsidR="008003C7" w:rsidRDefault="008003C7" w:rsidP="008003C7">
      <w:pPr>
        <w:pStyle w:val="ListParagraph"/>
        <w:spacing w:before="200"/>
        <w:jc w:val="both"/>
        <w:rPr>
          <w:rFonts w:ascii="Arial" w:hAnsi="Arial" w:cs="Arial"/>
          <w:bCs/>
          <w:sz w:val="18"/>
          <w:szCs w:val="18"/>
        </w:rPr>
      </w:pPr>
    </w:p>
    <w:p w14:paraId="707F5004" w14:textId="77777777" w:rsidR="008003C7" w:rsidRDefault="008003C7" w:rsidP="008003C7">
      <w:pPr>
        <w:pStyle w:val="ListParagraph"/>
        <w:numPr>
          <w:ilvl w:val="0"/>
          <w:numId w:val="35"/>
        </w:numPr>
        <w:spacing w:before="200"/>
        <w:jc w:val="both"/>
        <w:rPr>
          <w:rFonts w:ascii="Arial" w:hAnsi="Arial" w:cs="Arial"/>
          <w:bCs/>
          <w:sz w:val="20"/>
          <w:szCs w:val="18"/>
        </w:rPr>
      </w:pPr>
      <w:r>
        <w:rPr>
          <w:rFonts w:ascii="Arial" w:hAnsi="Arial" w:cs="Arial"/>
          <w:b/>
          <w:bCs/>
          <w:sz w:val="20"/>
          <w:szCs w:val="18"/>
          <w:lang w:val="mn-MN"/>
        </w:rPr>
        <w:t xml:space="preserve">Мөнгөний бодлогын удирдлагууд мөнгөний сулруулалтын хурдыг багасгаж байгаа байдал харагдаж байгаа боловч их хэмжээний бодлогын зээлийн хөтөлбөрийг үргэлжлүүлж байгаа үед мөнгөний сулруулалт нь хэвээрээ байхаар байна. </w:t>
      </w:r>
      <w:r>
        <w:rPr>
          <w:rFonts w:ascii="Arial" w:hAnsi="Arial" w:cs="Arial"/>
          <w:color w:val="000000" w:themeColor="text1"/>
          <w:sz w:val="20"/>
          <w:lang w:val="mn-MN"/>
        </w:rPr>
        <w:t xml:space="preserve">Төв банкнаас богино хугацааны хадгаламж хэлбэрээр </w:t>
      </w:r>
      <w:r>
        <w:rPr>
          <w:rFonts w:ascii="Arial" w:hAnsi="Arial" w:cs="Arial"/>
          <w:color w:val="000000" w:themeColor="text1"/>
          <w:sz w:val="20"/>
        </w:rPr>
        <w:t>900</w:t>
      </w:r>
      <w:r>
        <w:rPr>
          <w:rFonts w:ascii="Arial" w:hAnsi="Arial" w:cs="Arial"/>
          <w:color w:val="000000" w:themeColor="text1"/>
          <w:sz w:val="20"/>
          <w:lang w:val="mn-MN"/>
        </w:rPr>
        <w:t xml:space="preserve"> тэрбум төгрөгийг арилжааны банкуудад байршуулсаныг Монголбанкинд 2013 оны сүүлээр эргүүлж өгөх ёстой. Гэвч мөнгөний сулруулах хөтөлбөрийн томоохон хэмжээ нь бодлогын зээлийн хөтөлбөрүүд хэрэгжиж байгаа тохиолдолд хэвээрээ үлдэхээр байна, үүнд Үнийг тогтворжуулах хөтөлбөр, барилгын болон орон сууцыг хөгжүүлэх хөтөлбөр зэрэг. Энэ хоёр хөтөлбөрийн хэмжээ нь мөнгөний сулруулах хөтөлбөрийн 70 гаран хувийг эзэлж байна</w:t>
      </w:r>
      <w:r>
        <w:rPr>
          <w:rFonts w:ascii="Arial" w:hAnsi="Arial" w:cs="Arial"/>
          <w:color w:val="000000" w:themeColor="text1"/>
          <w:sz w:val="20"/>
        </w:rPr>
        <w:t>.</w:t>
      </w:r>
    </w:p>
    <w:p w14:paraId="5F2D8FE1" w14:textId="77777777" w:rsidR="008003C7" w:rsidRDefault="008003C7" w:rsidP="008003C7">
      <w:pPr>
        <w:pStyle w:val="ListParagraph"/>
        <w:spacing w:before="200"/>
        <w:jc w:val="both"/>
        <w:rPr>
          <w:rFonts w:ascii="Arial" w:hAnsi="Arial" w:cs="Arial"/>
          <w:bCs/>
          <w:sz w:val="20"/>
          <w:szCs w:val="18"/>
        </w:rPr>
      </w:pPr>
    </w:p>
    <w:p w14:paraId="71F59043" w14:textId="77777777" w:rsidR="008003C7" w:rsidRDefault="008003C7" w:rsidP="008003C7">
      <w:pPr>
        <w:pStyle w:val="ListParagraph"/>
        <w:numPr>
          <w:ilvl w:val="0"/>
          <w:numId w:val="35"/>
        </w:numPr>
        <w:spacing w:before="200"/>
        <w:jc w:val="both"/>
        <w:rPr>
          <w:rFonts w:ascii="Arial" w:hAnsi="Arial" w:cs="Arial"/>
          <w:bCs/>
          <w:sz w:val="20"/>
          <w:szCs w:val="18"/>
        </w:rPr>
      </w:pPr>
      <w:r>
        <w:rPr>
          <w:rFonts w:ascii="Arial" w:hAnsi="Arial" w:cs="Arial"/>
          <w:b/>
          <w:bCs/>
          <w:sz w:val="20"/>
          <w:szCs w:val="18"/>
          <w:lang w:val="mn-MN"/>
        </w:rPr>
        <w:t>Цаашдаа засгийн газраас тэргүүлэх чиглэлийн хөтөлбөр гэж үзсэн бол нийгмийн зорилготой бодлогын зээлийг төсвийн хүрээнд удирдах ёстой</w:t>
      </w:r>
      <w:r>
        <w:rPr>
          <w:rFonts w:ascii="Arial" w:hAnsi="Arial" w:cs="Arial"/>
          <w:b/>
          <w:bCs/>
          <w:sz w:val="20"/>
          <w:szCs w:val="18"/>
        </w:rPr>
        <w:t>.</w:t>
      </w:r>
      <w:r>
        <w:rPr>
          <w:rFonts w:ascii="Arial" w:hAnsi="Arial" w:cs="Arial"/>
          <w:bCs/>
          <w:sz w:val="20"/>
          <w:szCs w:val="18"/>
        </w:rPr>
        <w:t xml:space="preserve"> Засгийн газрын салбарын яамддын санаачилсан нийгмийн зорилготой бодлогын зээлийн хөтөлбөрүүд нь эдгээр төслүүдийг санхүүжүүлж чадахгүй төсвийн хязгаарлагдмал орлогын улмаас төв банкаар хэрэгжүүлж байна. </w:t>
      </w:r>
      <w:r>
        <w:rPr>
          <w:rFonts w:ascii="Arial" w:hAnsi="Arial" w:cs="Arial"/>
          <w:bCs/>
          <w:sz w:val="20"/>
          <w:szCs w:val="18"/>
          <w:lang w:val="mn-MN"/>
        </w:rPr>
        <w:t>Эдгээр хөтөлбөрүүдэд Үнийг тогтворжуулах хөтөлбөр, барилгын болон орон сууцны хөгжлийн хөтөлбөр орж байна. Төв банкаар дамжин хэрэгжиж байгаа эдгээр төсөв</w:t>
      </w:r>
      <w:r>
        <w:rPr>
          <w:rFonts w:ascii="Arial" w:hAnsi="Arial" w:cs="Arial"/>
          <w:bCs/>
          <w:sz w:val="20"/>
          <w:szCs w:val="18"/>
        </w:rPr>
        <w:t>-</w:t>
      </w:r>
      <w:r>
        <w:rPr>
          <w:rFonts w:ascii="Arial" w:hAnsi="Arial" w:cs="Arial"/>
          <w:bCs/>
          <w:sz w:val="20"/>
          <w:szCs w:val="18"/>
          <w:lang w:val="mn-MN"/>
        </w:rPr>
        <w:t>шиг зарлагын хөтөлбөрүүдэд нь мөнгөний удирдлагуудад төсвийн дарамтыг шилжүүлж, ингэснээр засгийн газрын төсөвт нэмэлт алдагдал үүсгэхээс сэргийлж байгаа ч их хэмжээний мөнгөний сулруулалтын нөлөөг үүсгэж байна</w:t>
      </w:r>
      <w:r>
        <w:rPr>
          <w:rFonts w:ascii="Arial" w:hAnsi="Arial" w:cs="Arial"/>
          <w:bCs/>
          <w:sz w:val="20"/>
          <w:szCs w:val="18"/>
        </w:rPr>
        <w:t>.</w:t>
      </w:r>
    </w:p>
    <w:p w14:paraId="74AC5F42" w14:textId="77777777" w:rsidR="008003C7" w:rsidRDefault="008003C7" w:rsidP="008003C7">
      <w:pPr>
        <w:pStyle w:val="ListParagraph"/>
        <w:rPr>
          <w:rFonts w:ascii="Arial" w:hAnsi="Arial" w:cs="Arial"/>
          <w:bCs/>
          <w:sz w:val="20"/>
          <w:szCs w:val="18"/>
        </w:rPr>
      </w:pPr>
    </w:p>
    <w:p w14:paraId="13CF7006" w14:textId="77777777" w:rsidR="008003C7" w:rsidRDefault="008003C7" w:rsidP="008003C7">
      <w:pPr>
        <w:pStyle w:val="ListParagraph"/>
        <w:numPr>
          <w:ilvl w:val="0"/>
          <w:numId w:val="33"/>
        </w:numPr>
        <w:spacing w:before="200"/>
        <w:ind w:left="270" w:hanging="270"/>
        <w:jc w:val="both"/>
        <w:rPr>
          <w:rFonts w:ascii="Arial" w:hAnsi="Arial" w:cs="Arial"/>
          <w:bCs/>
          <w:sz w:val="20"/>
          <w:szCs w:val="18"/>
        </w:rPr>
      </w:pPr>
      <w:r>
        <w:rPr>
          <w:rFonts w:ascii="Arial" w:hAnsi="Arial" w:cs="Arial"/>
          <w:b/>
          <w:bCs/>
          <w:sz w:val="20"/>
          <w:szCs w:val="18"/>
          <w:lang w:val="mn-MN"/>
        </w:rPr>
        <w:t xml:space="preserve">Банкны тогтолцооны эрүүл байдлыг илүү хүчтэй хянах, шалгаж байх нь чухал. </w:t>
      </w:r>
      <w:r>
        <w:rPr>
          <w:rFonts w:ascii="Arial" w:hAnsi="Arial" w:cs="Arial"/>
          <w:bCs/>
          <w:sz w:val="20"/>
          <w:szCs w:val="18"/>
          <w:lang w:val="mn-MN"/>
        </w:rPr>
        <w:t xml:space="preserve">Хөрөнгийн хүрэлцээтэй байдлыг бэхжүүлэх, энэ оны эхээр Хадгаламжийн Даатгалын Корпорацийг бий болгосон нь сайн ахиц гарсан. Шинээр санхүүгийн салбарын эрсдлийг үүсгэж зээлийн хурдацтай өсөлтөөс зайлсхийхийн тулд зохицуулалтын болон хяналт шалгалтын хүрээг илүү чангатгах хэрэгтэй ялангуяа системийн хувьд чухал банкуудын хөрөнгийн хүрэлцээтэй байдал болон зээлийг гаргах явц, дотоод хяналтад энэ нь илүү шаардлагатай байна. </w:t>
      </w:r>
    </w:p>
    <w:p w14:paraId="18095233" w14:textId="77777777" w:rsidR="008003C7" w:rsidRDefault="008003C7" w:rsidP="008003C7">
      <w:pPr>
        <w:pStyle w:val="ListParagraph"/>
        <w:spacing w:before="200"/>
        <w:ind w:left="270"/>
        <w:jc w:val="both"/>
        <w:rPr>
          <w:rFonts w:ascii="Arial" w:hAnsi="Arial" w:cs="Arial"/>
          <w:bCs/>
          <w:sz w:val="20"/>
          <w:szCs w:val="18"/>
        </w:rPr>
      </w:pPr>
    </w:p>
    <w:p w14:paraId="38A334F6" w14:textId="77777777" w:rsidR="008003C7" w:rsidRDefault="008003C7" w:rsidP="008003C7">
      <w:pPr>
        <w:pStyle w:val="ListParagraph"/>
        <w:numPr>
          <w:ilvl w:val="0"/>
          <w:numId w:val="36"/>
        </w:numPr>
        <w:spacing w:before="200"/>
        <w:ind w:left="720"/>
        <w:jc w:val="both"/>
        <w:rPr>
          <w:rFonts w:ascii="Arial" w:hAnsi="Arial" w:cs="Arial"/>
          <w:bCs/>
          <w:sz w:val="20"/>
          <w:szCs w:val="18"/>
        </w:rPr>
      </w:pPr>
      <w:r>
        <w:rPr>
          <w:rFonts w:ascii="Arial" w:hAnsi="Arial" w:cs="Arial"/>
          <w:b/>
          <w:bCs/>
          <w:sz w:val="20"/>
          <w:szCs w:val="18"/>
          <w:lang w:val="mn-MN"/>
        </w:rPr>
        <w:t xml:space="preserve">Барилгын болон орон сууцны салбард зээлийн өсөлт хурдацтай өсч байхад, банкны тогтолцооны эрүүл байдлыг чангаар хянаж шалгах хэрэгтэй. </w:t>
      </w:r>
      <w:r>
        <w:rPr>
          <w:rFonts w:ascii="Arial" w:hAnsi="Arial" w:cs="Arial"/>
          <w:bCs/>
          <w:sz w:val="20"/>
          <w:szCs w:val="18"/>
          <w:lang w:val="mn-MN"/>
        </w:rPr>
        <w:t xml:space="preserve">Мөнгөний сулруулах хөтөлбөрийн гаргаж байгаа зээлийн </w:t>
      </w:r>
      <w:r>
        <w:rPr>
          <w:rFonts w:ascii="Arial" w:hAnsi="Arial" w:cs="Arial"/>
          <w:bCs/>
          <w:sz w:val="20"/>
          <w:szCs w:val="18"/>
        </w:rPr>
        <w:t>60</w:t>
      </w:r>
      <w:r>
        <w:rPr>
          <w:rFonts w:ascii="Arial" w:hAnsi="Arial" w:cs="Arial"/>
          <w:bCs/>
          <w:sz w:val="20"/>
          <w:szCs w:val="18"/>
          <w:lang w:val="mn-MN"/>
        </w:rPr>
        <w:t xml:space="preserve"> гаран хувь нь барилгын салбарыг дэмжиж байна. Үүний үр дүнд орон сууцны барилга болон орон сууцны түрээсийн үнүүд нэмэгдэж байгаа нь үл хөдлөх хөрөнгийн үнийн хөөсрөлтийн эрсдлийг үзүүлж байна. Банкны салбарын эрүүл байдалд хүчтэй нөлөө үзүүлэх талтай тулд барилгын болон орон сууцны үнүүдийг байнга хянаж байх нь чухал. Дунд орлоготой айлуудын орон сууцны зээллэг нэмэгдэж байгаа тул өрхийн өрийн дарамтыг ч сайтар хянаж байх хэрэгтэй. </w:t>
      </w:r>
    </w:p>
    <w:p w14:paraId="68339150" w14:textId="77777777" w:rsidR="008003C7" w:rsidRDefault="008003C7" w:rsidP="008003C7">
      <w:pPr>
        <w:pStyle w:val="ListParagraph"/>
        <w:spacing w:before="200"/>
        <w:jc w:val="both"/>
        <w:rPr>
          <w:rFonts w:ascii="Arial" w:hAnsi="Arial" w:cs="Arial"/>
          <w:bCs/>
          <w:sz w:val="12"/>
          <w:szCs w:val="18"/>
        </w:rPr>
      </w:pPr>
    </w:p>
    <w:p w14:paraId="1D5AA300" w14:textId="77777777" w:rsidR="008003C7" w:rsidRDefault="008003C7" w:rsidP="008003C7">
      <w:pPr>
        <w:pStyle w:val="ListParagraph"/>
        <w:numPr>
          <w:ilvl w:val="0"/>
          <w:numId w:val="36"/>
        </w:numPr>
        <w:spacing w:before="200"/>
        <w:ind w:left="720"/>
        <w:jc w:val="both"/>
        <w:rPr>
          <w:rFonts w:ascii="Arial" w:hAnsi="Arial" w:cs="Arial"/>
          <w:bCs/>
          <w:sz w:val="20"/>
          <w:szCs w:val="18"/>
        </w:rPr>
      </w:pPr>
      <w:r>
        <w:rPr>
          <w:rFonts w:ascii="Arial" w:hAnsi="Arial" w:cs="Arial"/>
          <w:b/>
          <w:bCs/>
          <w:sz w:val="20"/>
          <w:szCs w:val="18"/>
          <w:lang w:val="mn-MN"/>
        </w:rPr>
        <w:t xml:space="preserve">Бодлогын зээлүүдэд оновтой зохицуулалтыг зөөлрүүлж байгааг байхгүй болгох учир нь ээнэ нь банкны тогтолцоонд зээлийн эрсдлийг муутгах талтай. </w:t>
      </w:r>
      <w:r>
        <w:rPr>
          <w:rFonts w:ascii="Arial" w:hAnsi="Arial" w:cs="Arial"/>
          <w:bCs/>
          <w:sz w:val="20"/>
          <w:szCs w:val="18"/>
          <w:lang w:val="mn-MN"/>
        </w:rPr>
        <w:t xml:space="preserve">Оновчтой зохицуулалтыг зөөллөсөн нь арилжааны банкуудыг энэ бодлогын зээлийн хөтөлбөрүүдийг оролцох урамшуулал болсон. Гэвч энэ нь банкуудын ийм санхүүгийн стрессийг удирдаж чадах санхүүгийн чадварт буруу мэдээллийг бий болгож, нийт банкны тогтолцооны итгэлтэй байдал болон ил тод байдлыг сулруулсан. Хадгаламж банкны саяхны дампуурал нь оновчтой зөв зохицуулалтын чухал байдлыг алдагдуулж байна. </w:t>
      </w:r>
    </w:p>
    <w:p w14:paraId="392BF0EC" w14:textId="77777777" w:rsidR="008003C7" w:rsidRDefault="008003C7" w:rsidP="008003C7">
      <w:pPr>
        <w:pStyle w:val="ListParagraph"/>
        <w:spacing w:before="200"/>
        <w:rPr>
          <w:rFonts w:ascii="Arial" w:hAnsi="Arial" w:cs="Arial"/>
          <w:bCs/>
          <w:sz w:val="12"/>
          <w:szCs w:val="18"/>
        </w:rPr>
      </w:pPr>
    </w:p>
    <w:p w14:paraId="65C650DE" w14:textId="77777777" w:rsidR="008003C7" w:rsidRDefault="008003C7" w:rsidP="008003C7">
      <w:pPr>
        <w:pStyle w:val="ListParagraph"/>
        <w:numPr>
          <w:ilvl w:val="0"/>
          <w:numId w:val="36"/>
        </w:numPr>
        <w:spacing w:before="200"/>
        <w:ind w:left="720"/>
        <w:jc w:val="both"/>
        <w:rPr>
          <w:rFonts w:ascii="Arial" w:hAnsi="Arial" w:cs="Arial"/>
          <w:bCs/>
          <w:sz w:val="20"/>
          <w:szCs w:val="18"/>
        </w:rPr>
      </w:pPr>
      <w:r>
        <w:rPr>
          <w:rFonts w:ascii="Arial" w:hAnsi="Arial" w:cs="Arial"/>
          <w:b/>
          <w:bCs/>
          <w:sz w:val="20"/>
          <w:szCs w:val="18"/>
          <w:lang w:val="mn-MN"/>
        </w:rPr>
        <w:t xml:space="preserve">Валютын ханш суларч байхад гадаад валютаар илэрхийлэгдсэн зээлээс үүсэх эрсдлийг анхааралтайгаар хянах хэрэгтэй. </w:t>
      </w:r>
      <w:r>
        <w:rPr>
          <w:rFonts w:ascii="Arial" w:hAnsi="Arial" w:cs="Arial"/>
          <w:bCs/>
          <w:sz w:val="20"/>
          <w:szCs w:val="18"/>
          <w:lang w:val="mn-MN"/>
        </w:rPr>
        <w:t xml:space="preserve">Гадаад валютын зээлийн хэмжээ болон бүрэлдэхүүний талаар дэлгэрэнгүй мэдээлэл байхгүй ч дотоодын валютын ханш суларч </w:t>
      </w:r>
      <w:r>
        <w:rPr>
          <w:rFonts w:ascii="Arial" w:hAnsi="Arial" w:cs="Arial"/>
          <w:bCs/>
          <w:sz w:val="20"/>
          <w:szCs w:val="18"/>
          <w:lang w:val="mn-MN"/>
        </w:rPr>
        <w:lastRenderedPageBreak/>
        <w:t xml:space="preserve">байгаа энэ үед гадаад валютын зээл нэмэгдэж байгаа нь валютын тэнцвэргүй байдалд хүрч хувийн салбарын зээлдэгчдийн </w:t>
      </w:r>
      <w:r>
        <w:rPr>
          <w:rFonts w:ascii="Arial" w:hAnsi="Arial" w:cs="Arial"/>
          <w:bCs/>
          <w:sz w:val="20"/>
          <w:szCs w:val="18"/>
        </w:rPr>
        <w:t>(</w:t>
      </w:r>
      <w:r>
        <w:rPr>
          <w:rFonts w:ascii="Arial" w:hAnsi="Arial" w:cs="Arial"/>
          <w:bCs/>
          <w:sz w:val="20"/>
          <w:szCs w:val="18"/>
          <w:lang w:val="mn-MN"/>
        </w:rPr>
        <w:t>хамгаалагдаагүй</w:t>
      </w:r>
      <w:r>
        <w:rPr>
          <w:rFonts w:ascii="Arial" w:hAnsi="Arial" w:cs="Arial"/>
          <w:bCs/>
          <w:sz w:val="20"/>
          <w:szCs w:val="18"/>
        </w:rPr>
        <w:t>)</w:t>
      </w:r>
      <w:r>
        <w:rPr>
          <w:rFonts w:ascii="Arial" w:hAnsi="Arial" w:cs="Arial"/>
          <w:bCs/>
          <w:sz w:val="20"/>
          <w:szCs w:val="18"/>
          <w:lang w:val="mn-MN"/>
        </w:rPr>
        <w:t xml:space="preserve"> санхүүгийн дарамтыг үүсгэх талтай. </w:t>
      </w:r>
    </w:p>
    <w:p w14:paraId="04194B44" w14:textId="77777777" w:rsidR="008003C7" w:rsidRDefault="008003C7" w:rsidP="008003C7">
      <w:pPr>
        <w:pStyle w:val="ListParagraph"/>
        <w:rPr>
          <w:rFonts w:ascii="Arial" w:hAnsi="Arial" w:cs="Arial"/>
          <w:bCs/>
          <w:sz w:val="20"/>
          <w:szCs w:val="18"/>
        </w:rPr>
      </w:pPr>
    </w:p>
    <w:p w14:paraId="5969116B" w14:textId="77777777" w:rsidR="008003C7" w:rsidRDefault="008003C7" w:rsidP="008003C7">
      <w:pPr>
        <w:pStyle w:val="ListParagraph"/>
        <w:numPr>
          <w:ilvl w:val="0"/>
          <w:numId w:val="33"/>
        </w:numPr>
        <w:spacing w:before="200"/>
        <w:ind w:left="270" w:hanging="270"/>
        <w:jc w:val="both"/>
        <w:rPr>
          <w:rFonts w:ascii="Arial" w:hAnsi="Arial" w:cs="Arial"/>
          <w:bCs/>
          <w:sz w:val="20"/>
          <w:szCs w:val="18"/>
        </w:rPr>
      </w:pPr>
      <w:r>
        <w:rPr>
          <w:rFonts w:ascii="Arial" w:hAnsi="Arial" w:cs="Arial"/>
          <w:b/>
          <w:bCs/>
          <w:sz w:val="20"/>
          <w:szCs w:val="18"/>
          <w:lang w:val="mn-MN"/>
        </w:rPr>
        <w:t>Хөрөнгө оруулалтын орчинг үргэлжлүүлэн сайжруулах нь чухал</w:t>
      </w:r>
      <w:r>
        <w:rPr>
          <w:rFonts w:ascii="Arial" w:hAnsi="Arial" w:cs="Arial"/>
          <w:b/>
          <w:bCs/>
          <w:sz w:val="20"/>
          <w:szCs w:val="18"/>
        </w:rPr>
        <w:t>.</w:t>
      </w:r>
      <w:r>
        <w:rPr>
          <w:rFonts w:ascii="Arial" w:hAnsi="Arial" w:cs="Arial"/>
          <w:bCs/>
          <w:sz w:val="20"/>
          <w:szCs w:val="18"/>
        </w:rPr>
        <w:t xml:space="preserve"> </w:t>
      </w:r>
      <w:r>
        <w:rPr>
          <w:rFonts w:ascii="Arial" w:hAnsi="Arial" w:cs="Arial"/>
          <w:bCs/>
          <w:sz w:val="20"/>
          <w:szCs w:val="18"/>
          <w:lang w:val="mn-MN"/>
        </w:rPr>
        <w:t>Хөрөнгө оруулалтын орчинд шинэчлэл хийж байгаа нь</w:t>
      </w:r>
      <w:r>
        <w:rPr>
          <w:rFonts w:ascii="Arial" w:hAnsi="Arial" w:cs="Arial"/>
          <w:bCs/>
          <w:sz w:val="20"/>
          <w:szCs w:val="18"/>
        </w:rPr>
        <w:t xml:space="preserve"> – </w:t>
      </w:r>
      <w:r>
        <w:rPr>
          <w:rFonts w:ascii="Arial" w:hAnsi="Arial" w:cs="Arial"/>
          <w:bCs/>
          <w:sz w:val="20"/>
          <w:szCs w:val="18"/>
          <w:lang w:val="mn-MN"/>
        </w:rPr>
        <w:t>энэ нь өмнө нь ГШХО</w:t>
      </w:r>
      <w:r>
        <w:rPr>
          <w:rFonts w:ascii="Arial" w:hAnsi="Arial" w:cs="Arial"/>
          <w:bCs/>
          <w:sz w:val="20"/>
          <w:szCs w:val="18"/>
        </w:rPr>
        <w:t>-</w:t>
      </w:r>
      <w:r>
        <w:rPr>
          <w:rFonts w:ascii="Arial" w:hAnsi="Arial" w:cs="Arial"/>
          <w:bCs/>
          <w:sz w:val="20"/>
          <w:szCs w:val="18"/>
          <w:lang w:val="mn-MN"/>
        </w:rPr>
        <w:t>д гол саад болж байсан нь</w:t>
      </w:r>
      <w:r>
        <w:rPr>
          <w:rFonts w:ascii="Arial" w:hAnsi="Arial" w:cs="Arial"/>
          <w:bCs/>
          <w:sz w:val="20"/>
          <w:szCs w:val="18"/>
        </w:rPr>
        <w:t xml:space="preserve"> – </w:t>
      </w:r>
      <w:r>
        <w:rPr>
          <w:rFonts w:ascii="Arial" w:hAnsi="Arial" w:cs="Arial"/>
          <w:bCs/>
          <w:sz w:val="20"/>
          <w:szCs w:val="18"/>
          <w:lang w:val="mn-MN"/>
        </w:rPr>
        <w:t>хэд хэдэн чухал нөлөөтэй</w:t>
      </w:r>
      <w:r>
        <w:rPr>
          <w:rFonts w:ascii="Arial" w:hAnsi="Arial" w:cs="Arial"/>
          <w:bCs/>
          <w:sz w:val="20"/>
          <w:szCs w:val="18"/>
        </w:rPr>
        <w:t xml:space="preserve">: (i) </w:t>
      </w:r>
      <w:r>
        <w:rPr>
          <w:rFonts w:ascii="Arial" w:hAnsi="Arial" w:cs="Arial"/>
          <w:bCs/>
          <w:sz w:val="20"/>
          <w:szCs w:val="18"/>
          <w:lang w:val="mn-MN"/>
        </w:rPr>
        <w:t>ойрын хугацаанд зах зээлийн сул сентиментыг сайжруулах</w:t>
      </w:r>
      <w:r>
        <w:rPr>
          <w:rFonts w:ascii="Arial" w:hAnsi="Arial" w:cs="Arial"/>
          <w:bCs/>
          <w:sz w:val="20"/>
          <w:szCs w:val="18"/>
        </w:rPr>
        <w:t xml:space="preserve">; </w:t>
      </w:r>
      <w:r>
        <w:rPr>
          <w:rFonts w:ascii="Arial" w:hAnsi="Arial" w:cs="Arial"/>
          <w:bCs/>
          <w:sz w:val="20"/>
          <w:szCs w:val="18"/>
          <w:lang w:val="mn-MN"/>
        </w:rPr>
        <w:t>мөн</w:t>
      </w:r>
      <w:r>
        <w:rPr>
          <w:rFonts w:ascii="Arial" w:hAnsi="Arial" w:cs="Arial"/>
          <w:bCs/>
          <w:sz w:val="20"/>
          <w:szCs w:val="18"/>
        </w:rPr>
        <w:t xml:space="preserve"> (ii) </w:t>
      </w:r>
      <w:r>
        <w:rPr>
          <w:rFonts w:ascii="Arial" w:hAnsi="Arial" w:cs="Arial"/>
          <w:bCs/>
          <w:sz w:val="20"/>
          <w:szCs w:val="18"/>
          <w:lang w:val="mn-MN"/>
        </w:rPr>
        <w:t>урт хугацаанд төлбөрийн тэнцлийн өсч буй дарамтыг бууруулах</w:t>
      </w:r>
      <w:r>
        <w:rPr>
          <w:rFonts w:ascii="Arial" w:hAnsi="Arial" w:cs="Arial"/>
          <w:bCs/>
          <w:sz w:val="20"/>
          <w:szCs w:val="18"/>
        </w:rPr>
        <w:t xml:space="preserve">. </w:t>
      </w:r>
      <w:r>
        <w:rPr>
          <w:rFonts w:ascii="Arial" w:hAnsi="Arial" w:cs="Arial"/>
          <w:bCs/>
          <w:sz w:val="20"/>
          <w:szCs w:val="18"/>
          <w:lang w:val="mn-MN"/>
        </w:rPr>
        <w:t xml:space="preserve">ГШХО их хэмжээгээр буурсан нь энэ жил зах зээлийн итгэх итгэл буурсан гол зүйл байсан. Хөрөнгө оруулалтын зохицуулалтыг итгэлтэй боломжтой байдлаар сайжруулах нь гадаадын хөрөнгө оруулагчдад Монгол улсын эдийн засаг нь урт хугацааны хөрөнгө оруулалтад тогтвортой, таамаглаж болохуйц бизнесийн орчинг бий болгохыг ойлгуулах дохио болно. </w:t>
      </w:r>
    </w:p>
    <w:p w14:paraId="2ECE2C09" w14:textId="77777777" w:rsidR="008003C7" w:rsidRDefault="008003C7" w:rsidP="008003C7">
      <w:pPr>
        <w:pStyle w:val="ListParagraph"/>
        <w:spacing w:before="200"/>
        <w:ind w:left="270"/>
        <w:jc w:val="both"/>
        <w:rPr>
          <w:rFonts w:ascii="Arial" w:hAnsi="Arial" w:cs="Arial"/>
          <w:b/>
          <w:bCs/>
          <w:sz w:val="14"/>
          <w:szCs w:val="18"/>
        </w:rPr>
      </w:pPr>
    </w:p>
    <w:p w14:paraId="367C19E8" w14:textId="77777777" w:rsidR="008003C7" w:rsidRDefault="008003C7" w:rsidP="008003C7">
      <w:pPr>
        <w:pStyle w:val="ListParagraph"/>
        <w:spacing w:before="200"/>
        <w:ind w:left="270"/>
        <w:jc w:val="both"/>
      </w:pPr>
      <w:r>
        <w:rPr>
          <w:rFonts w:ascii="Arial" w:hAnsi="Arial" w:cs="Arial"/>
          <w:b/>
          <w:bCs/>
          <w:sz w:val="20"/>
          <w:szCs w:val="18"/>
          <w:lang w:val="mn-MN"/>
        </w:rPr>
        <w:t xml:space="preserve">Энэ орчныг хүлээн зөвшөөрч Засгийн газраас 10 дугаар сард шинэ Хөрөнгө оруулалтын хуулийг гаргасан нь томоохон ахиц болсон. </w:t>
      </w:r>
      <w:r>
        <w:rPr>
          <w:rFonts w:ascii="Arial" w:hAnsi="Arial" w:cs="Arial"/>
          <w:bCs/>
          <w:sz w:val="20"/>
          <w:szCs w:val="18"/>
          <w:lang w:val="mn-MN"/>
        </w:rPr>
        <w:t xml:space="preserve">Шинэ хөрөнгө оруулалтын хууль нь бизнесийн илүү тааламжтай орчинг бий болгох замаар хөрөнгө оруулагчдын итгэх итгэлийг дахин олоход сайн эхлэлийг тавьсан. Монгол улсад хөрөнгө оруулах төлөвлөгөөг дахин тохируулах, шинэ хөрөнгө оруулалтын амлалт хийхэд цаг хугацаа шаардлагатай бөгөөд жилийн туршид хөрөнгө оруулагчдын итгэл суларсан байхад хөрөнгө оруулалтын шийдвэр гаргахад хугацаа, нөөц хэрэгтэй. Гэвч шинэ хөрөнгө оруулалтын хууль гаргасан нь эерэг эхлэл болсон нь хөрөнгө оруулагчдйн итгэх итгэлийг эргүүлэх олж авах, гадаадын хөрөнгө оруулалтын тогтвортой, хүчтэй урсгалын тогтвортой суурийг бий болгоно, ялангуяа шинэ хуулийг хөрөнгө оруулалтай холбоотой зохицуулалт болон бодлогын арга хэмжээнүүдийг үргэжлүүлэн сайжруулснаар улам идэвхижинэ. </w:t>
      </w:r>
    </w:p>
    <w:p w14:paraId="4A90DBAE" w14:textId="77777777" w:rsidR="00F07AA5" w:rsidRPr="00630B23" w:rsidRDefault="00F07AA5" w:rsidP="00630B23">
      <w:pPr>
        <w:spacing w:before="200" w:line="264" w:lineRule="auto"/>
        <w:jc w:val="both"/>
        <w:rPr>
          <w:rFonts w:ascii="Arial" w:hAnsi="Arial" w:cs="Arial"/>
          <w:bCs/>
          <w:sz w:val="20"/>
          <w:szCs w:val="18"/>
        </w:rPr>
      </w:pPr>
    </w:p>
    <w:p w14:paraId="324880B2" w14:textId="77777777" w:rsidR="00F07AA5" w:rsidRPr="00B246B3" w:rsidRDefault="00F07AA5" w:rsidP="00F07AA5">
      <w:pPr>
        <w:pStyle w:val="ListParagraph"/>
        <w:spacing w:before="200"/>
        <w:ind w:left="270"/>
        <w:jc w:val="both"/>
        <w:rPr>
          <w:rFonts w:ascii="Arial" w:hAnsi="Arial" w:cs="Arial"/>
          <w:bCs/>
          <w:sz w:val="20"/>
          <w:szCs w:val="18"/>
        </w:rPr>
      </w:pPr>
    </w:p>
    <w:p w14:paraId="429A50FA" w14:textId="28EB9161" w:rsidR="00B66544" w:rsidRPr="00473143" w:rsidRDefault="00B66544" w:rsidP="005B7A69">
      <w:pPr>
        <w:pStyle w:val="ListParagraph"/>
        <w:numPr>
          <w:ilvl w:val="0"/>
          <w:numId w:val="15"/>
        </w:numPr>
        <w:spacing w:before="200"/>
        <w:ind w:left="720"/>
        <w:jc w:val="both"/>
        <w:rPr>
          <w:rFonts w:ascii="Arial" w:hAnsi="Arial" w:cs="Arial"/>
          <w:bCs/>
          <w:sz w:val="20"/>
          <w:szCs w:val="18"/>
        </w:rPr>
      </w:pPr>
      <w:r w:rsidRPr="00473143">
        <w:rPr>
          <w:rFonts w:eastAsiaTheme="majorEastAsia" w:cstheme="minorHAnsi"/>
          <w:bCs/>
          <w:sz w:val="8"/>
          <w:szCs w:val="20"/>
          <w:lang w:eastAsia="ko-KR"/>
        </w:rPr>
        <w:br w:type="page"/>
      </w:r>
    </w:p>
    <w:p w14:paraId="352155DF" w14:textId="77777777" w:rsidR="00875508" w:rsidRDefault="00875508" w:rsidP="008066C7">
      <w:pPr>
        <w:spacing w:after="0"/>
        <w:rPr>
          <w:rFonts w:cstheme="minorHAnsi"/>
          <w:sz w:val="18"/>
          <w:szCs w:val="18"/>
        </w:rPr>
      </w:pPr>
    </w:p>
    <w:tbl>
      <w:tblPr>
        <w:tblW w:w="9690" w:type="dxa"/>
        <w:tblInd w:w="-37" w:type="dxa"/>
        <w:shd w:val="clear" w:color="auto" w:fill="984806" w:themeFill="accent6" w:themeFillShade="80"/>
        <w:tblLook w:val="04A0" w:firstRow="1" w:lastRow="0" w:firstColumn="1" w:lastColumn="0" w:noHBand="0" w:noVBand="1"/>
      </w:tblPr>
      <w:tblGrid>
        <w:gridCol w:w="9690"/>
      </w:tblGrid>
      <w:tr w:rsidR="00875508" w:rsidRPr="00B40941" w14:paraId="14E1A650" w14:textId="77777777" w:rsidTr="008066C7">
        <w:trPr>
          <w:trHeight w:val="566"/>
        </w:trPr>
        <w:tc>
          <w:tcPr>
            <w:tcW w:w="9648" w:type="dxa"/>
            <w:shd w:val="clear" w:color="auto" w:fill="984806" w:themeFill="accent6" w:themeFillShade="80"/>
            <w:vAlign w:val="center"/>
          </w:tcPr>
          <w:p w14:paraId="5AE817B0" w14:textId="1B44EAEF" w:rsidR="00875508" w:rsidRPr="00630B23" w:rsidRDefault="00807EE9" w:rsidP="008066C7">
            <w:pPr>
              <w:pStyle w:val="Heading1"/>
              <w:spacing w:before="0"/>
              <w:jc w:val="center"/>
              <w:rPr>
                <w:rFonts w:cstheme="minorHAnsi"/>
                <w:sz w:val="20"/>
                <w:szCs w:val="20"/>
                <w:lang w:val="mn-MN"/>
              </w:rPr>
            </w:pPr>
            <w:bookmarkStart w:id="84" w:name="_Toc371338283"/>
            <w:r>
              <w:rPr>
                <w:rFonts w:cstheme="minorHAnsi"/>
                <w:color w:val="EEECE1" w:themeColor="background2"/>
                <w:lang w:val="mn-MN"/>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Эдийн засгийн гол үзүүлэлтүүд</w:t>
            </w:r>
            <w:bookmarkEnd w:id="84"/>
          </w:p>
        </w:tc>
      </w:tr>
    </w:tbl>
    <w:p w14:paraId="2FB609B4" w14:textId="77777777" w:rsidR="007A5B43" w:rsidRDefault="007A5B43" w:rsidP="00B9580D">
      <w:pPr>
        <w:spacing w:after="0"/>
        <w:rPr>
          <w:rFonts w:cstheme="minorHAnsi"/>
          <w:sz w:val="18"/>
          <w:szCs w:val="18"/>
        </w:rPr>
      </w:pPr>
    </w:p>
    <w:p w14:paraId="759F1288" w14:textId="77777777" w:rsidR="00504CA8" w:rsidRPr="00504CA8" w:rsidRDefault="00504CA8" w:rsidP="00504CA8">
      <w:pPr>
        <w:pStyle w:val="ListParagraph"/>
        <w:spacing w:after="0"/>
        <w:rPr>
          <w:rFonts w:cstheme="minorHAnsi"/>
          <w:b/>
          <w:sz w:val="10"/>
          <w:szCs w:val="18"/>
        </w:rPr>
      </w:pPr>
    </w:p>
    <w:tbl>
      <w:tblPr>
        <w:tblW w:w="0" w:type="auto"/>
        <w:tblLook w:val="04A0" w:firstRow="1" w:lastRow="0" w:firstColumn="1" w:lastColumn="0" w:noHBand="0" w:noVBand="1"/>
      </w:tblPr>
      <w:tblGrid>
        <w:gridCol w:w="8936"/>
        <w:gridCol w:w="640"/>
      </w:tblGrid>
      <w:tr w:rsidR="00BD3C6C" w14:paraId="4DE84DCC" w14:textId="77777777" w:rsidTr="00A43DA5">
        <w:tc>
          <w:tcPr>
            <w:tcW w:w="9576" w:type="dxa"/>
            <w:gridSpan w:val="2"/>
          </w:tcPr>
          <w:tbl>
            <w:tblPr>
              <w:tblW w:w="9144" w:type="dxa"/>
              <w:tblLook w:val="04A0" w:firstRow="1" w:lastRow="0" w:firstColumn="1" w:lastColumn="0" w:noHBand="0" w:noVBand="1"/>
            </w:tblPr>
            <w:tblGrid>
              <w:gridCol w:w="3482"/>
              <w:gridCol w:w="1120"/>
              <w:gridCol w:w="1120"/>
              <w:gridCol w:w="1120"/>
              <w:gridCol w:w="1120"/>
              <w:gridCol w:w="1182"/>
            </w:tblGrid>
            <w:tr w:rsidR="00BD3C6C" w:rsidRPr="00116F5F" w14:paraId="77BD6645" w14:textId="77777777" w:rsidTr="00A43DA5">
              <w:trPr>
                <w:trHeight w:val="255"/>
              </w:trPr>
              <w:tc>
                <w:tcPr>
                  <w:tcW w:w="3482" w:type="dxa"/>
                  <w:tcBorders>
                    <w:top w:val="single" w:sz="4" w:space="0" w:color="auto"/>
                    <w:left w:val="nil"/>
                    <w:bottom w:val="nil"/>
                    <w:right w:val="nil"/>
                  </w:tcBorders>
                  <w:shd w:val="clear" w:color="auto" w:fill="auto"/>
                  <w:noWrap/>
                  <w:vAlign w:val="bottom"/>
                  <w:hideMark/>
                </w:tcPr>
                <w:p w14:paraId="7296EAEE" w14:textId="77777777" w:rsidR="00BD3C6C" w:rsidRPr="00116F5F" w:rsidRDefault="00BD3C6C" w:rsidP="00A43DA5">
                  <w:pPr>
                    <w:spacing w:after="0" w:line="240" w:lineRule="auto"/>
                    <w:rPr>
                      <w:rFonts w:ascii="Calibri" w:eastAsia="Times New Roman" w:hAnsi="Calibri" w:cs="Calibri"/>
                      <w:b/>
                      <w:bCs/>
                      <w:sz w:val="18"/>
                      <w:szCs w:val="18"/>
                      <w:lang w:eastAsia="ko-KR"/>
                    </w:rPr>
                  </w:pPr>
                </w:p>
              </w:tc>
              <w:tc>
                <w:tcPr>
                  <w:tcW w:w="1120" w:type="dxa"/>
                  <w:tcBorders>
                    <w:top w:val="single" w:sz="4" w:space="0" w:color="auto"/>
                    <w:left w:val="nil"/>
                    <w:bottom w:val="single" w:sz="4" w:space="0" w:color="auto"/>
                    <w:right w:val="nil"/>
                  </w:tcBorders>
                  <w:shd w:val="clear" w:color="auto" w:fill="auto"/>
                  <w:noWrap/>
                  <w:vAlign w:val="bottom"/>
                  <w:hideMark/>
                </w:tcPr>
                <w:p w14:paraId="22BFB2A9" w14:textId="77777777" w:rsidR="00BD3C6C" w:rsidRPr="00116F5F" w:rsidRDefault="00BD3C6C" w:rsidP="00A43DA5">
                  <w:pPr>
                    <w:spacing w:after="0" w:line="240" w:lineRule="auto"/>
                    <w:jc w:val="center"/>
                    <w:rPr>
                      <w:rFonts w:ascii="Times New Roman" w:eastAsia="Times New Roman" w:hAnsi="Times New Roman" w:cs="Times New Roman"/>
                      <w:b/>
                      <w:bCs/>
                      <w:sz w:val="20"/>
                      <w:szCs w:val="20"/>
                      <w:lang w:eastAsia="ko-KR"/>
                    </w:rPr>
                  </w:pPr>
                  <w:r w:rsidRPr="00116F5F">
                    <w:rPr>
                      <w:rFonts w:ascii="Times New Roman" w:eastAsia="Times New Roman" w:hAnsi="Times New Roman" w:cs="Times New Roman"/>
                      <w:b/>
                      <w:bCs/>
                      <w:sz w:val="20"/>
                      <w:szCs w:val="20"/>
                      <w:lang w:eastAsia="ko-KR"/>
                    </w:rPr>
                    <w:t>2011</w:t>
                  </w:r>
                </w:p>
              </w:tc>
              <w:tc>
                <w:tcPr>
                  <w:tcW w:w="1120" w:type="dxa"/>
                  <w:tcBorders>
                    <w:top w:val="single" w:sz="4" w:space="0" w:color="auto"/>
                    <w:left w:val="nil"/>
                    <w:bottom w:val="single" w:sz="4" w:space="0" w:color="auto"/>
                    <w:right w:val="nil"/>
                  </w:tcBorders>
                  <w:shd w:val="clear" w:color="auto" w:fill="auto"/>
                  <w:noWrap/>
                  <w:vAlign w:val="bottom"/>
                  <w:hideMark/>
                </w:tcPr>
                <w:p w14:paraId="2F35BD29" w14:textId="77777777" w:rsidR="00BD3C6C" w:rsidRPr="00116F5F" w:rsidRDefault="00BD3C6C" w:rsidP="00A43DA5">
                  <w:pPr>
                    <w:spacing w:after="0" w:line="240" w:lineRule="auto"/>
                    <w:jc w:val="center"/>
                    <w:rPr>
                      <w:rFonts w:ascii="Times New Roman" w:eastAsia="Times New Roman" w:hAnsi="Times New Roman" w:cs="Times New Roman"/>
                      <w:b/>
                      <w:bCs/>
                      <w:sz w:val="20"/>
                      <w:szCs w:val="20"/>
                      <w:lang w:eastAsia="ko-KR"/>
                    </w:rPr>
                  </w:pPr>
                  <w:r w:rsidRPr="00116F5F">
                    <w:rPr>
                      <w:rFonts w:ascii="Times New Roman" w:eastAsia="Times New Roman" w:hAnsi="Times New Roman" w:cs="Times New Roman"/>
                      <w:b/>
                      <w:bCs/>
                      <w:sz w:val="20"/>
                      <w:szCs w:val="20"/>
                      <w:lang w:eastAsia="ko-KR"/>
                    </w:rPr>
                    <w:t>2012</w:t>
                  </w:r>
                </w:p>
              </w:tc>
              <w:tc>
                <w:tcPr>
                  <w:tcW w:w="1120" w:type="dxa"/>
                  <w:tcBorders>
                    <w:top w:val="single" w:sz="4" w:space="0" w:color="auto"/>
                    <w:left w:val="nil"/>
                    <w:bottom w:val="single" w:sz="4" w:space="0" w:color="auto"/>
                    <w:right w:val="nil"/>
                  </w:tcBorders>
                  <w:shd w:val="clear" w:color="auto" w:fill="auto"/>
                  <w:noWrap/>
                  <w:vAlign w:val="bottom"/>
                  <w:hideMark/>
                </w:tcPr>
                <w:p w14:paraId="3BA6977A" w14:textId="3DF58421" w:rsidR="00BD3C6C" w:rsidRPr="00630B23" w:rsidRDefault="00BD3C6C" w:rsidP="00A43DA5">
                  <w:pPr>
                    <w:spacing w:after="0" w:line="240" w:lineRule="auto"/>
                    <w:jc w:val="center"/>
                    <w:rPr>
                      <w:rFonts w:ascii="Times New Roman" w:eastAsia="Times New Roman" w:hAnsi="Times New Roman" w:cs="Times New Roman"/>
                      <w:b/>
                      <w:bCs/>
                      <w:sz w:val="20"/>
                      <w:szCs w:val="20"/>
                      <w:lang w:val="mn-MN" w:eastAsia="ko-KR"/>
                    </w:rPr>
                  </w:pPr>
                  <w:r w:rsidRPr="00116F5F">
                    <w:rPr>
                      <w:rFonts w:ascii="Times New Roman" w:eastAsia="Times New Roman" w:hAnsi="Times New Roman" w:cs="Times New Roman"/>
                      <w:b/>
                      <w:bCs/>
                      <w:sz w:val="20"/>
                      <w:szCs w:val="20"/>
                      <w:lang w:eastAsia="ko-KR"/>
                    </w:rPr>
                    <w:t>2013</w:t>
                  </w:r>
                  <w:r w:rsidR="00C177E7">
                    <w:rPr>
                      <w:rFonts w:ascii="Times New Roman" w:eastAsia="Times New Roman" w:hAnsi="Times New Roman" w:cs="Times New Roman"/>
                      <w:b/>
                      <w:bCs/>
                      <w:sz w:val="20"/>
                      <w:szCs w:val="20"/>
                      <w:lang w:val="mn-MN" w:eastAsia="ko-KR"/>
                    </w:rPr>
                    <w:t>т</w:t>
                  </w:r>
                </w:p>
              </w:tc>
              <w:tc>
                <w:tcPr>
                  <w:tcW w:w="1120" w:type="dxa"/>
                  <w:tcBorders>
                    <w:top w:val="single" w:sz="4" w:space="0" w:color="auto"/>
                    <w:left w:val="nil"/>
                    <w:bottom w:val="single" w:sz="4" w:space="0" w:color="auto"/>
                    <w:right w:val="nil"/>
                  </w:tcBorders>
                  <w:shd w:val="clear" w:color="auto" w:fill="auto"/>
                  <w:noWrap/>
                  <w:vAlign w:val="bottom"/>
                  <w:hideMark/>
                </w:tcPr>
                <w:p w14:paraId="010DE509" w14:textId="0EDAAD66" w:rsidR="00BD3C6C" w:rsidRPr="00630B23" w:rsidRDefault="00BD3C6C" w:rsidP="00A43DA5">
                  <w:pPr>
                    <w:spacing w:after="0" w:line="240" w:lineRule="auto"/>
                    <w:jc w:val="center"/>
                    <w:rPr>
                      <w:rFonts w:ascii="Times New Roman" w:eastAsia="Times New Roman" w:hAnsi="Times New Roman" w:cs="Times New Roman"/>
                      <w:b/>
                      <w:bCs/>
                      <w:sz w:val="20"/>
                      <w:szCs w:val="20"/>
                      <w:lang w:val="mn-MN" w:eastAsia="ko-KR"/>
                    </w:rPr>
                  </w:pPr>
                  <w:r w:rsidRPr="00116F5F">
                    <w:rPr>
                      <w:rFonts w:ascii="Times New Roman" w:eastAsia="Times New Roman" w:hAnsi="Times New Roman" w:cs="Times New Roman"/>
                      <w:b/>
                      <w:bCs/>
                      <w:sz w:val="20"/>
                      <w:szCs w:val="20"/>
                      <w:lang w:eastAsia="ko-KR"/>
                    </w:rPr>
                    <w:t>2014</w:t>
                  </w:r>
                  <w:r w:rsidR="00C177E7">
                    <w:rPr>
                      <w:rFonts w:ascii="Times New Roman" w:eastAsia="Times New Roman" w:hAnsi="Times New Roman" w:cs="Times New Roman"/>
                      <w:b/>
                      <w:bCs/>
                      <w:sz w:val="20"/>
                      <w:szCs w:val="20"/>
                      <w:lang w:val="mn-MN" w:eastAsia="ko-KR"/>
                    </w:rPr>
                    <w:t>т</w:t>
                  </w:r>
                </w:p>
              </w:tc>
              <w:tc>
                <w:tcPr>
                  <w:tcW w:w="1182" w:type="dxa"/>
                  <w:tcBorders>
                    <w:top w:val="single" w:sz="4" w:space="0" w:color="auto"/>
                    <w:left w:val="nil"/>
                    <w:bottom w:val="single" w:sz="4" w:space="0" w:color="auto"/>
                    <w:right w:val="nil"/>
                  </w:tcBorders>
                  <w:shd w:val="clear" w:color="auto" w:fill="auto"/>
                  <w:noWrap/>
                  <w:vAlign w:val="bottom"/>
                  <w:hideMark/>
                </w:tcPr>
                <w:p w14:paraId="0D184936" w14:textId="763AD980" w:rsidR="00BD3C6C" w:rsidRPr="00630B23" w:rsidRDefault="00BD3C6C" w:rsidP="00A43DA5">
                  <w:pPr>
                    <w:spacing w:after="0" w:line="240" w:lineRule="auto"/>
                    <w:jc w:val="center"/>
                    <w:rPr>
                      <w:rFonts w:ascii="Times New Roman" w:eastAsia="Times New Roman" w:hAnsi="Times New Roman" w:cs="Times New Roman"/>
                      <w:b/>
                      <w:bCs/>
                      <w:sz w:val="20"/>
                      <w:szCs w:val="20"/>
                      <w:lang w:val="mn-MN" w:eastAsia="ko-KR"/>
                    </w:rPr>
                  </w:pPr>
                  <w:r w:rsidRPr="00116F5F">
                    <w:rPr>
                      <w:rFonts w:ascii="Times New Roman" w:eastAsia="Times New Roman" w:hAnsi="Times New Roman" w:cs="Times New Roman"/>
                      <w:b/>
                      <w:bCs/>
                      <w:sz w:val="20"/>
                      <w:szCs w:val="20"/>
                      <w:lang w:eastAsia="ko-KR"/>
                    </w:rPr>
                    <w:t>2015</w:t>
                  </w:r>
                  <w:r w:rsidR="00C177E7">
                    <w:rPr>
                      <w:rFonts w:ascii="Times New Roman" w:eastAsia="Times New Roman" w:hAnsi="Times New Roman" w:cs="Times New Roman"/>
                      <w:b/>
                      <w:bCs/>
                      <w:sz w:val="20"/>
                      <w:szCs w:val="20"/>
                      <w:lang w:val="mn-MN" w:eastAsia="ko-KR"/>
                    </w:rPr>
                    <w:t>т</w:t>
                  </w:r>
                </w:p>
              </w:tc>
            </w:tr>
            <w:tr w:rsidR="00807EE9" w:rsidRPr="00116F5F" w14:paraId="37793185" w14:textId="77777777" w:rsidTr="00630B23">
              <w:trPr>
                <w:trHeight w:val="255"/>
              </w:trPr>
              <w:tc>
                <w:tcPr>
                  <w:tcW w:w="3482" w:type="dxa"/>
                  <w:tcBorders>
                    <w:top w:val="nil"/>
                    <w:left w:val="nil"/>
                    <w:bottom w:val="single" w:sz="4" w:space="0" w:color="auto"/>
                    <w:right w:val="nil"/>
                  </w:tcBorders>
                  <w:shd w:val="clear" w:color="auto" w:fill="auto"/>
                  <w:noWrap/>
                  <w:vAlign w:val="bottom"/>
                </w:tcPr>
                <w:p w14:paraId="38095F9D" w14:textId="77777777" w:rsidR="00807EE9" w:rsidRPr="00116F5F" w:rsidRDefault="00807EE9" w:rsidP="00A43DA5">
                  <w:pPr>
                    <w:spacing w:after="0" w:line="240" w:lineRule="auto"/>
                    <w:rPr>
                      <w:rFonts w:ascii="Calibri" w:eastAsia="Times New Roman" w:hAnsi="Calibri" w:cs="Calibri"/>
                      <w:b/>
                      <w:bCs/>
                      <w:sz w:val="18"/>
                      <w:szCs w:val="18"/>
                      <w:lang w:eastAsia="ko-KR"/>
                    </w:rPr>
                  </w:pPr>
                </w:p>
              </w:tc>
              <w:tc>
                <w:tcPr>
                  <w:tcW w:w="1120" w:type="dxa"/>
                  <w:tcBorders>
                    <w:top w:val="single" w:sz="4" w:space="0" w:color="auto"/>
                    <w:left w:val="nil"/>
                    <w:bottom w:val="single" w:sz="4" w:space="0" w:color="auto"/>
                    <w:right w:val="nil"/>
                  </w:tcBorders>
                  <w:shd w:val="clear" w:color="auto" w:fill="auto"/>
                  <w:noWrap/>
                  <w:vAlign w:val="bottom"/>
                </w:tcPr>
                <w:p w14:paraId="5AA5D38A" w14:textId="4AB6ED39" w:rsidR="00807EE9" w:rsidRPr="00630B23" w:rsidRDefault="00807EE9" w:rsidP="00A43DA5">
                  <w:pPr>
                    <w:spacing w:after="0" w:line="240" w:lineRule="auto"/>
                    <w:jc w:val="center"/>
                    <w:rPr>
                      <w:rFonts w:ascii="Times New Roman" w:eastAsia="Times New Roman" w:hAnsi="Times New Roman" w:cs="Times New Roman"/>
                      <w:b/>
                      <w:bCs/>
                      <w:sz w:val="20"/>
                      <w:szCs w:val="20"/>
                      <w:lang w:val="mn-MN" w:eastAsia="ko-KR"/>
                    </w:rPr>
                  </w:pPr>
                  <w:r w:rsidRPr="00C177E7">
                    <w:rPr>
                      <w:rFonts w:ascii="Times New Roman" w:eastAsia="Times New Roman" w:hAnsi="Times New Roman" w:cs="Times New Roman"/>
                      <w:b/>
                      <w:bCs/>
                      <w:sz w:val="20"/>
                      <w:szCs w:val="20"/>
                      <w:lang w:val="mn-MN" w:eastAsia="ko-KR"/>
                    </w:rPr>
                    <w:t>жил</w:t>
                  </w:r>
                </w:p>
              </w:tc>
              <w:tc>
                <w:tcPr>
                  <w:tcW w:w="1120" w:type="dxa"/>
                  <w:tcBorders>
                    <w:top w:val="single" w:sz="4" w:space="0" w:color="auto"/>
                    <w:left w:val="nil"/>
                    <w:bottom w:val="single" w:sz="4" w:space="0" w:color="auto"/>
                    <w:right w:val="nil"/>
                  </w:tcBorders>
                  <w:shd w:val="clear" w:color="auto" w:fill="auto"/>
                  <w:noWrap/>
                </w:tcPr>
                <w:p w14:paraId="26B1363E" w14:textId="66B788EF" w:rsidR="00807EE9" w:rsidRPr="00116F5F" w:rsidRDefault="00807EE9" w:rsidP="00A43DA5">
                  <w:pPr>
                    <w:spacing w:after="0" w:line="240" w:lineRule="auto"/>
                    <w:jc w:val="center"/>
                    <w:rPr>
                      <w:rFonts w:ascii="Times New Roman" w:eastAsia="Times New Roman" w:hAnsi="Times New Roman" w:cs="Times New Roman"/>
                      <w:b/>
                      <w:bCs/>
                      <w:sz w:val="20"/>
                      <w:szCs w:val="20"/>
                      <w:lang w:eastAsia="ko-KR"/>
                    </w:rPr>
                  </w:pPr>
                  <w:r w:rsidRPr="00805789">
                    <w:rPr>
                      <w:rFonts w:ascii="Times New Roman" w:eastAsia="Times New Roman" w:hAnsi="Times New Roman" w:cs="Times New Roman"/>
                      <w:b/>
                      <w:bCs/>
                      <w:sz w:val="20"/>
                      <w:szCs w:val="20"/>
                      <w:lang w:val="mn-MN" w:eastAsia="ko-KR"/>
                    </w:rPr>
                    <w:t>жил</w:t>
                  </w:r>
                </w:p>
              </w:tc>
              <w:tc>
                <w:tcPr>
                  <w:tcW w:w="1120" w:type="dxa"/>
                  <w:tcBorders>
                    <w:top w:val="single" w:sz="4" w:space="0" w:color="auto"/>
                    <w:left w:val="nil"/>
                    <w:bottom w:val="single" w:sz="4" w:space="0" w:color="auto"/>
                    <w:right w:val="nil"/>
                  </w:tcBorders>
                  <w:shd w:val="clear" w:color="auto" w:fill="auto"/>
                  <w:noWrap/>
                </w:tcPr>
                <w:p w14:paraId="777AAB95" w14:textId="2A0D21E0" w:rsidR="00807EE9" w:rsidRPr="00116F5F" w:rsidRDefault="00807EE9" w:rsidP="00A43DA5">
                  <w:pPr>
                    <w:spacing w:after="0" w:line="240" w:lineRule="auto"/>
                    <w:jc w:val="center"/>
                    <w:rPr>
                      <w:rFonts w:ascii="Times New Roman" w:eastAsia="Times New Roman" w:hAnsi="Times New Roman" w:cs="Times New Roman"/>
                      <w:b/>
                      <w:bCs/>
                      <w:sz w:val="20"/>
                      <w:szCs w:val="20"/>
                      <w:lang w:eastAsia="ko-KR"/>
                    </w:rPr>
                  </w:pPr>
                  <w:r w:rsidRPr="00805789">
                    <w:rPr>
                      <w:rFonts w:ascii="Times New Roman" w:eastAsia="Times New Roman" w:hAnsi="Times New Roman" w:cs="Times New Roman"/>
                      <w:b/>
                      <w:bCs/>
                      <w:sz w:val="20"/>
                      <w:szCs w:val="20"/>
                      <w:lang w:val="mn-MN" w:eastAsia="ko-KR"/>
                    </w:rPr>
                    <w:t>жил</w:t>
                  </w:r>
                </w:p>
              </w:tc>
              <w:tc>
                <w:tcPr>
                  <w:tcW w:w="1120" w:type="dxa"/>
                  <w:tcBorders>
                    <w:top w:val="single" w:sz="4" w:space="0" w:color="auto"/>
                    <w:left w:val="nil"/>
                    <w:bottom w:val="single" w:sz="4" w:space="0" w:color="auto"/>
                    <w:right w:val="nil"/>
                  </w:tcBorders>
                  <w:shd w:val="clear" w:color="auto" w:fill="auto"/>
                  <w:noWrap/>
                </w:tcPr>
                <w:p w14:paraId="381562C6" w14:textId="54D95B2D" w:rsidR="00807EE9" w:rsidRPr="00116F5F" w:rsidRDefault="00807EE9" w:rsidP="00A43DA5">
                  <w:pPr>
                    <w:spacing w:after="0" w:line="240" w:lineRule="auto"/>
                    <w:jc w:val="center"/>
                    <w:rPr>
                      <w:rFonts w:ascii="Times New Roman" w:eastAsia="Times New Roman" w:hAnsi="Times New Roman" w:cs="Times New Roman"/>
                      <w:b/>
                      <w:bCs/>
                      <w:sz w:val="20"/>
                      <w:szCs w:val="20"/>
                      <w:lang w:eastAsia="ko-KR"/>
                    </w:rPr>
                  </w:pPr>
                  <w:r w:rsidRPr="00805789">
                    <w:rPr>
                      <w:rFonts w:ascii="Times New Roman" w:eastAsia="Times New Roman" w:hAnsi="Times New Roman" w:cs="Times New Roman"/>
                      <w:b/>
                      <w:bCs/>
                      <w:sz w:val="20"/>
                      <w:szCs w:val="20"/>
                      <w:lang w:val="mn-MN" w:eastAsia="ko-KR"/>
                    </w:rPr>
                    <w:t>жил</w:t>
                  </w:r>
                </w:p>
              </w:tc>
              <w:tc>
                <w:tcPr>
                  <w:tcW w:w="1182" w:type="dxa"/>
                  <w:tcBorders>
                    <w:top w:val="single" w:sz="4" w:space="0" w:color="auto"/>
                    <w:left w:val="nil"/>
                    <w:bottom w:val="single" w:sz="4" w:space="0" w:color="auto"/>
                    <w:right w:val="nil"/>
                  </w:tcBorders>
                  <w:shd w:val="clear" w:color="auto" w:fill="auto"/>
                  <w:noWrap/>
                </w:tcPr>
                <w:p w14:paraId="277B1249" w14:textId="318BAE28" w:rsidR="00807EE9" w:rsidRPr="00116F5F" w:rsidRDefault="00807EE9" w:rsidP="00A43DA5">
                  <w:pPr>
                    <w:spacing w:after="0" w:line="240" w:lineRule="auto"/>
                    <w:jc w:val="center"/>
                    <w:rPr>
                      <w:rFonts w:ascii="Times New Roman" w:eastAsia="Times New Roman" w:hAnsi="Times New Roman" w:cs="Times New Roman"/>
                      <w:b/>
                      <w:bCs/>
                      <w:sz w:val="20"/>
                      <w:szCs w:val="20"/>
                      <w:lang w:eastAsia="ko-KR"/>
                    </w:rPr>
                  </w:pPr>
                  <w:r w:rsidRPr="00805789">
                    <w:rPr>
                      <w:rFonts w:ascii="Times New Roman" w:eastAsia="Times New Roman" w:hAnsi="Times New Roman" w:cs="Times New Roman"/>
                      <w:b/>
                      <w:bCs/>
                      <w:sz w:val="20"/>
                      <w:szCs w:val="20"/>
                      <w:lang w:val="mn-MN" w:eastAsia="ko-KR"/>
                    </w:rPr>
                    <w:t>жил</w:t>
                  </w:r>
                </w:p>
              </w:tc>
            </w:tr>
            <w:tr w:rsidR="00BD3C6C" w:rsidRPr="00116F5F" w14:paraId="6A7363B5" w14:textId="77777777" w:rsidTr="00A43DA5">
              <w:trPr>
                <w:trHeight w:val="255"/>
              </w:trPr>
              <w:tc>
                <w:tcPr>
                  <w:tcW w:w="3482" w:type="dxa"/>
                  <w:tcBorders>
                    <w:top w:val="single" w:sz="4" w:space="0" w:color="auto"/>
                    <w:left w:val="nil"/>
                    <w:bottom w:val="nil"/>
                    <w:right w:val="nil"/>
                  </w:tcBorders>
                  <w:shd w:val="clear" w:color="auto" w:fill="auto"/>
                  <w:noWrap/>
                  <w:vAlign w:val="bottom"/>
                  <w:hideMark/>
                </w:tcPr>
                <w:p w14:paraId="3F6D7B3B" w14:textId="77777777" w:rsidR="00BD3C6C" w:rsidRPr="00116F5F" w:rsidRDefault="00BD3C6C" w:rsidP="00A43DA5">
                  <w:pPr>
                    <w:spacing w:after="0" w:line="240" w:lineRule="auto"/>
                    <w:rPr>
                      <w:rFonts w:ascii="Times New Roman" w:eastAsia="Times New Roman" w:hAnsi="Times New Roman" w:cs="Times New Roman"/>
                      <w:b/>
                      <w:bCs/>
                      <w:sz w:val="20"/>
                      <w:szCs w:val="20"/>
                      <w:lang w:eastAsia="ko-KR"/>
                    </w:rPr>
                  </w:pPr>
                </w:p>
              </w:tc>
              <w:tc>
                <w:tcPr>
                  <w:tcW w:w="1120" w:type="dxa"/>
                  <w:tcBorders>
                    <w:top w:val="single" w:sz="4" w:space="0" w:color="auto"/>
                    <w:left w:val="nil"/>
                    <w:bottom w:val="nil"/>
                    <w:right w:val="nil"/>
                  </w:tcBorders>
                  <w:shd w:val="clear" w:color="auto" w:fill="auto"/>
                  <w:noWrap/>
                  <w:vAlign w:val="bottom"/>
                  <w:hideMark/>
                </w:tcPr>
                <w:p w14:paraId="661D5DF3" w14:textId="77777777" w:rsidR="00BD3C6C" w:rsidRPr="00116F5F" w:rsidRDefault="00BD3C6C" w:rsidP="00A43DA5">
                  <w:pPr>
                    <w:spacing w:after="0" w:line="240" w:lineRule="auto"/>
                    <w:jc w:val="center"/>
                    <w:rPr>
                      <w:rFonts w:ascii="Times New Roman" w:eastAsia="Times New Roman" w:hAnsi="Times New Roman" w:cs="Times New Roman"/>
                      <w:sz w:val="20"/>
                      <w:szCs w:val="20"/>
                      <w:lang w:eastAsia="ko-KR"/>
                    </w:rPr>
                  </w:pPr>
                </w:p>
              </w:tc>
              <w:tc>
                <w:tcPr>
                  <w:tcW w:w="1120" w:type="dxa"/>
                  <w:tcBorders>
                    <w:top w:val="single" w:sz="4" w:space="0" w:color="auto"/>
                    <w:left w:val="nil"/>
                    <w:bottom w:val="nil"/>
                    <w:right w:val="nil"/>
                  </w:tcBorders>
                  <w:shd w:val="clear" w:color="auto" w:fill="auto"/>
                  <w:noWrap/>
                  <w:vAlign w:val="bottom"/>
                  <w:hideMark/>
                </w:tcPr>
                <w:p w14:paraId="0FAA131D" w14:textId="77777777" w:rsidR="00BD3C6C" w:rsidRPr="00116F5F" w:rsidRDefault="00BD3C6C" w:rsidP="00A43DA5">
                  <w:pPr>
                    <w:spacing w:after="0" w:line="240" w:lineRule="auto"/>
                    <w:jc w:val="center"/>
                    <w:rPr>
                      <w:rFonts w:ascii="Times New Roman" w:eastAsia="Times New Roman" w:hAnsi="Times New Roman" w:cs="Times New Roman"/>
                      <w:sz w:val="20"/>
                      <w:szCs w:val="20"/>
                      <w:lang w:eastAsia="ko-KR"/>
                    </w:rPr>
                  </w:pPr>
                </w:p>
              </w:tc>
              <w:tc>
                <w:tcPr>
                  <w:tcW w:w="1120" w:type="dxa"/>
                  <w:tcBorders>
                    <w:top w:val="single" w:sz="4" w:space="0" w:color="auto"/>
                    <w:left w:val="nil"/>
                    <w:bottom w:val="nil"/>
                    <w:right w:val="nil"/>
                  </w:tcBorders>
                  <w:shd w:val="clear" w:color="auto" w:fill="auto"/>
                  <w:noWrap/>
                  <w:vAlign w:val="bottom"/>
                  <w:hideMark/>
                </w:tcPr>
                <w:p w14:paraId="0AABFF3A" w14:textId="77777777" w:rsidR="00BD3C6C" w:rsidRPr="00116F5F" w:rsidRDefault="00BD3C6C" w:rsidP="00A43DA5">
                  <w:pPr>
                    <w:spacing w:after="0" w:line="240" w:lineRule="auto"/>
                    <w:jc w:val="center"/>
                    <w:rPr>
                      <w:rFonts w:ascii="Times New Roman" w:eastAsia="Times New Roman" w:hAnsi="Times New Roman" w:cs="Times New Roman"/>
                      <w:sz w:val="20"/>
                      <w:szCs w:val="20"/>
                      <w:lang w:eastAsia="ko-KR"/>
                    </w:rPr>
                  </w:pPr>
                </w:p>
              </w:tc>
              <w:tc>
                <w:tcPr>
                  <w:tcW w:w="1120" w:type="dxa"/>
                  <w:tcBorders>
                    <w:top w:val="single" w:sz="4" w:space="0" w:color="auto"/>
                    <w:left w:val="nil"/>
                    <w:bottom w:val="nil"/>
                    <w:right w:val="nil"/>
                  </w:tcBorders>
                  <w:shd w:val="clear" w:color="auto" w:fill="auto"/>
                  <w:noWrap/>
                  <w:vAlign w:val="bottom"/>
                  <w:hideMark/>
                </w:tcPr>
                <w:p w14:paraId="036B16B0" w14:textId="77777777" w:rsidR="00BD3C6C" w:rsidRPr="00116F5F" w:rsidRDefault="00BD3C6C" w:rsidP="00A43DA5">
                  <w:pPr>
                    <w:spacing w:after="0" w:line="240" w:lineRule="auto"/>
                    <w:jc w:val="center"/>
                    <w:rPr>
                      <w:rFonts w:ascii="Times New Roman" w:eastAsia="Times New Roman" w:hAnsi="Times New Roman" w:cs="Times New Roman"/>
                      <w:sz w:val="20"/>
                      <w:szCs w:val="20"/>
                      <w:lang w:eastAsia="ko-KR"/>
                    </w:rPr>
                  </w:pPr>
                </w:p>
              </w:tc>
              <w:tc>
                <w:tcPr>
                  <w:tcW w:w="1182" w:type="dxa"/>
                  <w:tcBorders>
                    <w:top w:val="single" w:sz="4" w:space="0" w:color="auto"/>
                    <w:left w:val="nil"/>
                    <w:bottom w:val="nil"/>
                    <w:right w:val="nil"/>
                  </w:tcBorders>
                  <w:shd w:val="clear" w:color="auto" w:fill="auto"/>
                  <w:noWrap/>
                  <w:vAlign w:val="bottom"/>
                  <w:hideMark/>
                </w:tcPr>
                <w:p w14:paraId="3E51FD68" w14:textId="77777777" w:rsidR="00BD3C6C" w:rsidRPr="00116F5F" w:rsidRDefault="00BD3C6C" w:rsidP="00A43DA5">
                  <w:pPr>
                    <w:spacing w:after="0" w:line="240" w:lineRule="auto"/>
                    <w:jc w:val="center"/>
                    <w:rPr>
                      <w:rFonts w:ascii="Times New Roman" w:eastAsia="Times New Roman" w:hAnsi="Times New Roman" w:cs="Times New Roman"/>
                      <w:sz w:val="20"/>
                      <w:szCs w:val="20"/>
                      <w:lang w:eastAsia="ko-KR"/>
                    </w:rPr>
                  </w:pPr>
                </w:p>
              </w:tc>
            </w:tr>
            <w:tr w:rsidR="00BD3C6C" w:rsidRPr="00116F5F" w14:paraId="4795E5F5" w14:textId="77777777" w:rsidTr="00A43DA5">
              <w:trPr>
                <w:trHeight w:val="255"/>
              </w:trPr>
              <w:tc>
                <w:tcPr>
                  <w:tcW w:w="3482" w:type="dxa"/>
                  <w:tcBorders>
                    <w:top w:val="nil"/>
                    <w:left w:val="nil"/>
                    <w:bottom w:val="nil"/>
                    <w:right w:val="nil"/>
                  </w:tcBorders>
                  <w:shd w:val="clear" w:color="auto" w:fill="auto"/>
                  <w:noWrap/>
                  <w:vAlign w:val="bottom"/>
                  <w:hideMark/>
                </w:tcPr>
                <w:p w14:paraId="67C50A4B" w14:textId="56A50215" w:rsidR="00BD3C6C" w:rsidRPr="00630B23" w:rsidRDefault="00C177E7" w:rsidP="00A43DA5">
                  <w:pPr>
                    <w:spacing w:after="0" w:line="240" w:lineRule="auto"/>
                    <w:rPr>
                      <w:rFonts w:ascii="Times New Roman" w:eastAsia="Times New Roman" w:hAnsi="Times New Roman" w:cs="Times New Roman"/>
                      <w:b/>
                      <w:bCs/>
                      <w:sz w:val="20"/>
                      <w:szCs w:val="20"/>
                      <w:lang w:val="mn-MN" w:eastAsia="ko-KR"/>
                    </w:rPr>
                  </w:pPr>
                  <w:r>
                    <w:rPr>
                      <w:rFonts w:ascii="Times New Roman" w:eastAsia="Times New Roman" w:hAnsi="Times New Roman" w:cs="Times New Roman"/>
                      <w:b/>
                      <w:bCs/>
                      <w:sz w:val="20"/>
                      <w:szCs w:val="20"/>
                      <w:lang w:val="mn-MN" w:eastAsia="ko-KR"/>
                    </w:rPr>
                    <w:t>Үйлдвэрлэл болон үнэ</w:t>
                  </w:r>
                </w:p>
              </w:tc>
              <w:tc>
                <w:tcPr>
                  <w:tcW w:w="1120" w:type="dxa"/>
                  <w:tcBorders>
                    <w:top w:val="nil"/>
                    <w:left w:val="nil"/>
                    <w:bottom w:val="nil"/>
                    <w:right w:val="nil"/>
                  </w:tcBorders>
                  <w:shd w:val="clear" w:color="auto" w:fill="auto"/>
                  <w:noWrap/>
                  <w:vAlign w:val="bottom"/>
                  <w:hideMark/>
                </w:tcPr>
                <w:p w14:paraId="0D28BC89" w14:textId="77777777" w:rsidR="00BD3C6C" w:rsidRPr="00116F5F" w:rsidRDefault="00BD3C6C" w:rsidP="00A43DA5">
                  <w:pPr>
                    <w:spacing w:after="0" w:line="240" w:lineRule="auto"/>
                    <w:jc w:val="center"/>
                    <w:rPr>
                      <w:rFonts w:ascii="Times New Roman" w:eastAsia="Times New Roman" w:hAnsi="Times New Roman" w:cs="Times New Roman"/>
                      <w:sz w:val="20"/>
                      <w:szCs w:val="20"/>
                      <w:lang w:eastAsia="ko-KR"/>
                    </w:rPr>
                  </w:pPr>
                </w:p>
              </w:tc>
              <w:tc>
                <w:tcPr>
                  <w:tcW w:w="1120" w:type="dxa"/>
                  <w:tcBorders>
                    <w:top w:val="nil"/>
                    <w:left w:val="nil"/>
                    <w:bottom w:val="nil"/>
                    <w:right w:val="nil"/>
                  </w:tcBorders>
                  <w:shd w:val="clear" w:color="auto" w:fill="auto"/>
                  <w:noWrap/>
                  <w:vAlign w:val="bottom"/>
                  <w:hideMark/>
                </w:tcPr>
                <w:p w14:paraId="6ED58CB6" w14:textId="77777777" w:rsidR="00BD3C6C" w:rsidRPr="00116F5F" w:rsidRDefault="00BD3C6C" w:rsidP="00A43DA5">
                  <w:pPr>
                    <w:spacing w:after="0" w:line="240" w:lineRule="auto"/>
                    <w:jc w:val="center"/>
                    <w:rPr>
                      <w:rFonts w:ascii="Times New Roman" w:eastAsia="Times New Roman" w:hAnsi="Times New Roman" w:cs="Times New Roman"/>
                      <w:sz w:val="20"/>
                      <w:szCs w:val="20"/>
                      <w:lang w:eastAsia="ko-KR"/>
                    </w:rPr>
                  </w:pPr>
                </w:p>
              </w:tc>
              <w:tc>
                <w:tcPr>
                  <w:tcW w:w="1120" w:type="dxa"/>
                  <w:tcBorders>
                    <w:top w:val="nil"/>
                    <w:left w:val="nil"/>
                    <w:bottom w:val="nil"/>
                    <w:right w:val="nil"/>
                  </w:tcBorders>
                  <w:shd w:val="clear" w:color="auto" w:fill="auto"/>
                  <w:noWrap/>
                  <w:vAlign w:val="bottom"/>
                  <w:hideMark/>
                </w:tcPr>
                <w:p w14:paraId="1184241F" w14:textId="77777777" w:rsidR="00BD3C6C" w:rsidRPr="00116F5F" w:rsidRDefault="00BD3C6C" w:rsidP="00A43DA5">
                  <w:pPr>
                    <w:spacing w:after="0" w:line="240" w:lineRule="auto"/>
                    <w:jc w:val="center"/>
                    <w:rPr>
                      <w:rFonts w:ascii="Times New Roman" w:eastAsia="Times New Roman" w:hAnsi="Times New Roman" w:cs="Times New Roman"/>
                      <w:sz w:val="20"/>
                      <w:szCs w:val="20"/>
                      <w:lang w:eastAsia="ko-KR"/>
                    </w:rPr>
                  </w:pPr>
                </w:p>
              </w:tc>
              <w:tc>
                <w:tcPr>
                  <w:tcW w:w="1120" w:type="dxa"/>
                  <w:tcBorders>
                    <w:top w:val="nil"/>
                    <w:left w:val="nil"/>
                    <w:bottom w:val="nil"/>
                    <w:right w:val="nil"/>
                  </w:tcBorders>
                  <w:shd w:val="clear" w:color="auto" w:fill="auto"/>
                  <w:noWrap/>
                  <w:vAlign w:val="bottom"/>
                  <w:hideMark/>
                </w:tcPr>
                <w:p w14:paraId="156A726F" w14:textId="77777777" w:rsidR="00BD3C6C" w:rsidRPr="00116F5F" w:rsidRDefault="00BD3C6C" w:rsidP="00A43DA5">
                  <w:pPr>
                    <w:spacing w:after="0" w:line="240" w:lineRule="auto"/>
                    <w:jc w:val="center"/>
                    <w:rPr>
                      <w:rFonts w:ascii="Times New Roman" w:eastAsia="Times New Roman" w:hAnsi="Times New Roman" w:cs="Times New Roman"/>
                      <w:sz w:val="20"/>
                      <w:szCs w:val="20"/>
                      <w:lang w:eastAsia="ko-KR"/>
                    </w:rPr>
                  </w:pPr>
                </w:p>
              </w:tc>
              <w:tc>
                <w:tcPr>
                  <w:tcW w:w="1182" w:type="dxa"/>
                  <w:tcBorders>
                    <w:top w:val="nil"/>
                    <w:left w:val="nil"/>
                    <w:bottom w:val="nil"/>
                    <w:right w:val="nil"/>
                  </w:tcBorders>
                  <w:shd w:val="clear" w:color="auto" w:fill="auto"/>
                  <w:noWrap/>
                  <w:vAlign w:val="bottom"/>
                  <w:hideMark/>
                </w:tcPr>
                <w:p w14:paraId="2FB4D681" w14:textId="77777777" w:rsidR="00BD3C6C" w:rsidRPr="00116F5F" w:rsidRDefault="00BD3C6C" w:rsidP="00A43DA5">
                  <w:pPr>
                    <w:spacing w:after="0" w:line="240" w:lineRule="auto"/>
                    <w:jc w:val="center"/>
                    <w:rPr>
                      <w:rFonts w:ascii="Times New Roman" w:eastAsia="Times New Roman" w:hAnsi="Times New Roman" w:cs="Times New Roman"/>
                      <w:sz w:val="20"/>
                      <w:szCs w:val="20"/>
                      <w:lang w:eastAsia="ko-KR"/>
                    </w:rPr>
                  </w:pPr>
                </w:p>
              </w:tc>
            </w:tr>
            <w:tr w:rsidR="00BD3C6C" w:rsidRPr="00116F5F" w14:paraId="47C55918" w14:textId="77777777" w:rsidTr="00A43DA5">
              <w:trPr>
                <w:trHeight w:val="255"/>
              </w:trPr>
              <w:tc>
                <w:tcPr>
                  <w:tcW w:w="3482" w:type="dxa"/>
                  <w:tcBorders>
                    <w:top w:val="nil"/>
                    <w:left w:val="nil"/>
                    <w:bottom w:val="nil"/>
                    <w:right w:val="nil"/>
                  </w:tcBorders>
                  <w:shd w:val="clear" w:color="auto" w:fill="auto"/>
                  <w:noWrap/>
                  <w:vAlign w:val="bottom"/>
                  <w:hideMark/>
                </w:tcPr>
                <w:p w14:paraId="5CA3D2B3" w14:textId="27CE2266" w:rsidR="00BD3C6C" w:rsidRPr="00116F5F" w:rsidRDefault="00C177E7">
                  <w:pPr>
                    <w:spacing w:after="0" w:line="240" w:lineRule="auto"/>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val="mn-MN" w:eastAsia="ko-KR"/>
                    </w:rPr>
                    <w:t>Бодит ДНБ</w:t>
                  </w:r>
                  <w:r w:rsidR="00BD3C6C" w:rsidRPr="00116F5F">
                    <w:rPr>
                      <w:rFonts w:ascii="Times New Roman" w:eastAsia="Times New Roman" w:hAnsi="Times New Roman" w:cs="Times New Roman"/>
                      <w:sz w:val="20"/>
                      <w:szCs w:val="20"/>
                      <w:lang w:eastAsia="ko-KR"/>
                    </w:rPr>
                    <w:t xml:space="preserve"> (%</w:t>
                  </w:r>
                  <w:r w:rsidR="00BD3C6C">
                    <w:rPr>
                      <w:rFonts w:ascii="Times New Roman" w:eastAsia="Times New Roman" w:hAnsi="Times New Roman" w:cs="Times New Roman"/>
                      <w:sz w:val="20"/>
                      <w:szCs w:val="20"/>
                      <w:lang w:eastAsia="ko-KR"/>
                    </w:rPr>
                    <w:t xml:space="preserve">, </w:t>
                  </w:r>
                  <w:r>
                    <w:rPr>
                      <w:rFonts w:ascii="Times New Roman" w:eastAsia="Times New Roman" w:hAnsi="Times New Roman" w:cs="Times New Roman"/>
                      <w:sz w:val="20"/>
                      <w:szCs w:val="20"/>
                      <w:lang w:val="mn-MN" w:eastAsia="ko-KR"/>
                    </w:rPr>
                    <w:t>өомү</w:t>
                  </w:r>
                  <w:r w:rsidR="00BD3C6C" w:rsidRPr="00116F5F">
                    <w:rPr>
                      <w:rFonts w:ascii="Times New Roman" w:eastAsia="Times New Roman" w:hAnsi="Times New Roman" w:cs="Times New Roman"/>
                      <w:sz w:val="20"/>
                      <w:szCs w:val="20"/>
                      <w:lang w:eastAsia="ko-KR"/>
                    </w:rPr>
                    <w:t>)</w:t>
                  </w:r>
                </w:p>
              </w:tc>
              <w:tc>
                <w:tcPr>
                  <w:tcW w:w="1120" w:type="dxa"/>
                  <w:tcBorders>
                    <w:top w:val="nil"/>
                    <w:left w:val="nil"/>
                    <w:bottom w:val="nil"/>
                    <w:right w:val="nil"/>
                  </w:tcBorders>
                  <w:shd w:val="clear" w:color="auto" w:fill="auto"/>
                  <w:noWrap/>
                  <w:vAlign w:val="bottom"/>
                  <w:hideMark/>
                </w:tcPr>
                <w:p w14:paraId="13D7100C"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17.5</w:t>
                  </w:r>
                </w:p>
              </w:tc>
              <w:tc>
                <w:tcPr>
                  <w:tcW w:w="1120" w:type="dxa"/>
                  <w:tcBorders>
                    <w:top w:val="nil"/>
                    <w:left w:val="nil"/>
                    <w:bottom w:val="nil"/>
                    <w:right w:val="nil"/>
                  </w:tcBorders>
                  <w:shd w:val="clear" w:color="auto" w:fill="auto"/>
                  <w:noWrap/>
                  <w:vAlign w:val="bottom"/>
                  <w:hideMark/>
                </w:tcPr>
                <w:p w14:paraId="3C8F48DE"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12.4</w:t>
                  </w:r>
                </w:p>
              </w:tc>
              <w:tc>
                <w:tcPr>
                  <w:tcW w:w="1120" w:type="dxa"/>
                  <w:tcBorders>
                    <w:top w:val="nil"/>
                    <w:left w:val="nil"/>
                    <w:bottom w:val="nil"/>
                    <w:right w:val="nil"/>
                  </w:tcBorders>
                  <w:shd w:val="clear" w:color="auto" w:fill="auto"/>
                  <w:noWrap/>
                  <w:vAlign w:val="bottom"/>
                  <w:hideMark/>
                </w:tcPr>
                <w:p w14:paraId="5FEB4271"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12.</w:t>
                  </w:r>
                  <w:r>
                    <w:rPr>
                      <w:rFonts w:ascii="Times New Roman" w:eastAsia="Times New Roman" w:hAnsi="Times New Roman" w:cs="Times New Roman"/>
                      <w:sz w:val="20"/>
                      <w:szCs w:val="20"/>
                      <w:lang w:eastAsia="ko-KR"/>
                    </w:rPr>
                    <w:t>5</w:t>
                  </w:r>
                </w:p>
              </w:tc>
              <w:tc>
                <w:tcPr>
                  <w:tcW w:w="1120" w:type="dxa"/>
                  <w:tcBorders>
                    <w:top w:val="nil"/>
                    <w:left w:val="nil"/>
                    <w:bottom w:val="nil"/>
                    <w:right w:val="nil"/>
                  </w:tcBorders>
                  <w:shd w:val="clear" w:color="auto" w:fill="auto"/>
                  <w:noWrap/>
                  <w:vAlign w:val="bottom"/>
                  <w:hideMark/>
                </w:tcPr>
                <w:p w14:paraId="5F60C210"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1</w:t>
                  </w:r>
                  <w:r>
                    <w:rPr>
                      <w:rFonts w:ascii="Times New Roman" w:eastAsia="Times New Roman" w:hAnsi="Times New Roman" w:cs="Times New Roman"/>
                      <w:sz w:val="20"/>
                      <w:szCs w:val="20"/>
                      <w:lang w:eastAsia="ko-KR"/>
                    </w:rPr>
                    <w:t>0.3</w:t>
                  </w:r>
                </w:p>
              </w:tc>
              <w:tc>
                <w:tcPr>
                  <w:tcW w:w="1182" w:type="dxa"/>
                  <w:tcBorders>
                    <w:top w:val="nil"/>
                    <w:left w:val="nil"/>
                    <w:bottom w:val="nil"/>
                    <w:right w:val="nil"/>
                  </w:tcBorders>
                  <w:shd w:val="clear" w:color="auto" w:fill="auto"/>
                  <w:noWrap/>
                  <w:vAlign w:val="bottom"/>
                  <w:hideMark/>
                </w:tcPr>
                <w:p w14:paraId="1E01D7ED"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10.0</w:t>
                  </w:r>
                </w:p>
              </w:tc>
            </w:tr>
            <w:tr w:rsidR="00BD3C6C" w:rsidRPr="00116F5F" w14:paraId="54FBE88E" w14:textId="77777777" w:rsidTr="00A43DA5">
              <w:trPr>
                <w:trHeight w:val="255"/>
              </w:trPr>
              <w:tc>
                <w:tcPr>
                  <w:tcW w:w="3482" w:type="dxa"/>
                  <w:tcBorders>
                    <w:top w:val="nil"/>
                    <w:left w:val="nil"/>
                    <w:bottom w:val="nil"/>
                    <w:right w:val="nil"/>
                  </w:tcBorders>
                  <w:shd w:val="clear" w:color="auto" w:fill="auto"/>
                  <w:noWrap/>
                  <w:vAlign w:val="bottom"/>
                  <w:hideMark/>
                </w:tcPr>
                <w:p w14:paraId="78F7B7D2" w14:textId="4CC72A4C" w:rsidR="00BD3C6C" w:rsidRPr="00116F5F" w:rsidRDefault="00C177E7" w:rsidP="00A43DA5">
                  <w:pPr>
                    <w:spacing w:after="0" w:line="240" w:lineRule="auto"/>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val="mn-MN" w:eastAsia="ko-KR"/>
                    </w:rPr>
                    <w:t>Уул уурхайн ДНБ</w:t>
                  </w:r>
                  <w:r w:rsidR="00BD3C6C" w:rsidRPr="00116F5F">
                    <w:rPr>
                      <w:rFonts w:ascii="Times New Roman" w:eastAsia="Times New Roman" w:hAnsi="Times New Roman" w:cs="Times New Roman"/>
                      <w:sz w:val="20"/>
                      <w:szCs w:val="20"/>
                      <w:lang w:eastAsia="ko-KR"/>
                    </w:rPr>
                    <w:t xml:space="preserve"> (%</w:t>
                  </w:r>
                  <w:r w:rsidR="00BD3C6C">
                    <w:rPr>
                      <w:rFonts w:ascii="Times New Roman" w:eastAsia="Times New Roman" w:hAnsi="Times New Roman" w:cs="Times New Roman"/>
                      <w:sz w:val="20"/>
                      <w:szCs w:val="20"/>
                      <w:lang w:eastAsia="ko-KR"/>
                    </w:rPr>
                    <w:t>,</w:t>
                  </w:r>
                  <w:r>
                    <w:rPr>
                      <w:rFonts w:ascii="Times New Roman" w:eastAsia="Times New Roman" w:hAnsi="Times New Roman" w:cs="Times New Roman"/>
                      <w:sz w:val="20"/>
                      <w:szCs w:val="20"/>
                      <w:lang w:val="mn-MN" w:eastAsia="ko-KR"/>
                    </w:rPr>
                    <w:t>өомү</w:t>
                  </w:r>
                  <w:r w:rsidR="00BD3C6C" w:rsidRPr="00116F5F">
                    <w:rPr>
                      <w:rFonts w:ascii="Times New Roman" w:eastAsia="Times New Roman" w:hAnsi="Times New Roman" w:cs="Times New Roman"/>
                      <w:sz w:val="20"/>
                      <w:szCs w:val="20"/>
                      <w:lang w:eastAsia="ko-KR"/>
                    </w:rPr>
                    <w:t>)</w:t>
                  </w:r>
                </w:p>
              </w:tc>
              <w:tc>
                <w:tcPr>
                  <w:tcW w:w="1120" w:type="dxa"/>
                  <w:tcBorders>
                    <w:top w:val="nil"/>
                    <w:left w:val="nil"/>
                    <w:bottom w:val="nil"/>
                    <w:right w:val="nil"/>
                  </w:tcBorders>
                  <w:shd w:val="clear" w:color="auto" w:fill="auto"/>
                  <w:noWrap/>
                  <w:vAlign w:val="bottom"/>
                  <w:hideMark/>
                </w:tcPr>
                <w:p w14:paraId="5253E5C7"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7.3</w:t>
                  </w:r>
                </w:p>
              </w:tc>
              <w:tc>
                <w:tcPr>
                  <w:tcW w:w="1120" w:type="dxa"/>
                  <w:tcBorders>
                    <w:top w:val="nil"/>
                    <w:left w:val="nil"/>
                    <w:bottom w:val="nil"/>
                    <w:right w:val="nil"/>
                  </w:tcBorders>
                  <w:shd w:val="clear" w:color="auto" w:fill="auto"/>
                  <w:noWrap/>
                  <w:vAlign w:val="bottom"/>
                  <w:hideMark/>
                </w:tcPr>
                <w:p w14:paraId="77A2F21C"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8.0</w:t>
                  </w:r>
                </w:p>
              </w:tc>
              <w:tc>
                <w:tcPr>
                  <w:tcW w:w="1120" w:type="dxa"/>
                  <w:tcBorders>
                    <w:top w:val="nil"/>
                    <w:left w:val="nil"/>
                    <w:bottom w:val="nil"/>
                    <w:right w:val="nil"/>
                  </w:tcBorders>
                  <w:shd w:val="clear" w:color="auto" w:fill="auto"/>
                  <w:noWrap/>
                  <w:vAlign w:val="bottom"/>
                  <w:hideMark/>
                </w:tcPr>
                <w:p w14:paraId="412F0ED0"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13.4</w:t>
                  </w:r>
                </w:p>
              </w:tc>
              <w:tc>
                <w:tcPr>
                  <w:tcW w:w="1120" w:type="dxa"/>
                  <w:tcBorders>
                    <w:top w:val="nil"/>
                    <w:left w:val="nil"/>
                    <w:bottom w:val="nil"/>
                    <w:right w:val="nil"/>
                  </w:tcBorders>
                  <w:shd w:val="clear" w:color="auto" w:fill="auto"/>
                  <w:noWrap/>
                  <w:vAlign w:val="bottom"/>
                  <w:hideMark/>
                </w:tcPr>
                <w:p w14:paraId="4558181B"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25.6</w:t>
                  </w:r>
                </w:p>
              </w:tc>
              <w:tc>
                <w:tcPr>
                  <w:tcW w:w="1182" w:type="dxa"/>
                  <w:tcBorders>
                    <w:top w:val="nil"/>
                    <w:left w:val="nil"/>
                    <w:bottom w:val="nil"/>
                    <w:right w:val="nil"/>
                  </w:tcBorders>
                  <w:shd w:val="clear" w:color="auto" w:fill="auto"/>
                  <w:noWrap/>
                  <w:vAlign w:val="bottom"/>
                  <w:hideMark/>
                </w:tcPr>
                <w:p w14:paraId="5FA195C7"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15.3</w:t>
                  </w:r>
                </w:p>
              </w:tc>
            </w:tr>
            <w:tr w:rsidR="00BD3C6C" w:rsidRPr="00116F5F" w14:paraId="5A4EB90D" w14:textId="77777777" w:rsidTr="00A43DA5">
              <w:trPr>
                <w:trHeight w:val="255"/>
              </w:trPr>
              <w:tc>
                <w:tcPr>
                  <w:tcW w:w="3482" w:type="dxa"/>
                  <w:tcBorders>
                    <w:top w:val="nil"/>
                    <w:left w:val="nil"/>
                    <w:bottom w:val="nil"/>
                    <w:right w:val="nil"/>
                  </w:tcBorders>
                  <w:shd w:val="clear" w:color="auto" w:fill="auto"/>
                  <w:noWrap/>
                  <w:vAlign w:val="bottom"/>
                  <w:hideMark/>
                </w:tcPr>
                <w:p w14:paraId="5F1573B0" w14:textId="355EE4D0" w:rsidR="00BD3C6C" w:rsidRPr="00116F5F" w:rsidRDefault="00C177E7" w:rsidP="00A43DA5">
                  <w:pPr>
                    <w:spacing w:after="0" w:line="240" w:lineRule="auto"/>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val="mn-MN" w:eastAsia="ko-KR"/>
                    </w:rPr>
                    <w:t>ХҮИ, Улаанбаатар</w:t>
                  </w:r>
                  <w:r w:rsidR="00BD3C6C" w:rsidRPr="00116F5F">
                    <w:rPr>
                      <w:rFonts w:ascii="Times New Roman" w:eastAsia="Times New Roman" w:hAnsi="Times New Roman" w:cs="Times New Roman"/>
                      <w:sz w:val="20"/>
                      <w:szCs w:val="20"/>
                      <w:lang w:eastAsia="ko-KR"/>
                    </w:rPr>
                    <w:t xml:space="preserve"> (%</w:t>
                  </w:r>
                  <w:r w:rsidR="00BD3C6C">
                    <w:rPr>
                      <w:rFonts w:ascii="Times New Roman" w:eastAsia="Times New Roman" w:hAnsi="Times New Roman" w:cs="Times New Roman"/>
                      <w:sz w:val="20"/>
                      <w:szCs w:val="20"/>
                      <w:lang w:eastAsia="ko-KR"/>
                    </w:rPr>
                    <w:t>,</w:t>
                  </w:r>
                  <w:r>
                    <w:rPr>
                      <w:rFonts w:ascii="Times New Roman" w:eastAsia="Times New Roman" w:hAnsi="Times New Roman" w:cs="Times New Roman"/>
                      <w:sz w:val="20"/>
                      <w:szCs w:val="20"/>
                      <w:lang w:val="mn-MN" w:eastAsia="ko-KR"/>
                    </w:rPr>
                    <w:t>өомү</w:t>
                  </w:r>
                  <w:r w:rsidR="00BD3C6C" w:rsidRPr="00116F5F">
                    <w:rPr>
                      <w:rFonts w:ascii="Times New Roman" w:eastAsia="Times New Roman" w:hAnsi="Times New Roman" w:cs="Times New Roman"/>
                      <w:sz w:val="20"/>
                      <w:szCs w:val="20"/>
                      <w:lang w:eastAsia="ko-KR"/>
                    </w:rPr>
                    <w:t>)</w:t>
                  </w:r>
                </w:p>
              </w:tc>
              <w:tc>
                <w:tcPr>
                  <w:tcW w:w="1120" w:type="dxa"/>
                  <w:tcBorders>
                    <w:top w:val="nil"/>
                    <w:left w:val="nil"/>
                    <w:bottom w:val="nil"/>
                    <w:right w:val="nil"/>
                  </w:tcBorders>
                  <w:shd w:val="clear" w:color="auto" w:fill="auto"/>
                  <w:noWrap/>
                  <w:vAlign w:val="bottom"/>
                  <w:hideMark/>
                </w:tcPr>
                <w:p w14:paraId="55041A8D"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9.4</w:t>
                  </w:r>
                </w:p>
              </w:tc>
              <w:tc>
                <w:tcPr>
                  <w:tcW w:w="1120" w:type="dxa"/>
                  <w:tcBorders>
                    <w:top w:val="nil"/>
                    <w:left w:val="nil"/>
                    <w:bottom w:val="nil"/>
                    <w:right w:val="nil"/>
                  </w:tcBorders>
                  <w:shd w:val="clear" w:color="auto" w:fill="auto"/>
                  <w:noWrap/>
                  <w:vAlign w:val="bottom"/>
                  <w:hideMark/>
                </w:tcPr>
                <w:p w14:paraId="197B777B"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14.2</w:t>
                  </w:r>
                </w:p>
              </w:tc>
              <w:tc>
                <w:tcPr>
                  <w:tcW w:w="1120" w:type="dxa"/>
                  <w:tcBorders>
                    <w:top w:val="nil"/>
                    <w:left w:val="nil"/>
                    <w:bottom w:val="nil"/>
                    <w:right w:val="nil"/>
                  </w:tcBorders>
                  <w:shd w:val="clear" w:color="auto" w:fill="auto"/>
                  <w:noWrap/>
                  <w:vAlign w:val="bottom"/>
                  <w:hideMark/>
                </w:tcPr>
                <w:p w14:paraId="30A35E82" w14:textId="03DA3347" w:rsidR="00BD3C6C" w:rsidRPr="00116F5F" w:rsidRDefault="00BD3C6C" w:rsidP="0068695E">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10.</w:t>
                  </w:r>
                  <w:r w:rsidR="0068695E">
                    <w:rPr>
                      <w:rFonts w:ascii="Times New Roman" w:eastAsia="Times New Roman" w:hAnsi="Times New Roman" w:cs="Times New Roman"/>
                      <w:sz w:val="20"/>
                      <w:szCs w:val="20"/>
                      <w:lang w:eastAsia="ko-KR"/>
                    </w:rPr>
                    <w:t>5</w:t>
                  </w:r>
                </w:p>
              </w:tc>
              <w:tc>
                <w:tcPr>
                  <w:tcW w:w="1120" w:type="dxa"/>
                  <w:tcBorders>
                    <w:top w:val="nil"/>
                    <w:left w:val="nil"/>
                    <w:bottom w:val="nil"/>
                    <w:right w:val="nil"/>
                  </w:tcBorders>
                  <w:shd w:val="clear" w:color="auto" w:fill="auto"/>
                  <w:noWrap/>
                  <w:vAlign w:val="bottom"/>
                  <w:hideMark/>
                </w:tcPr>
                <w:p w14:paraId="066D7D3E"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12.0</w:t>
                  </w:r>
                </w:p>
              </w:tc>
              <w:tc>
                <w:tcPr>
                  <w:tcW w:w="1182" w:type="dxa"/>
                  <w:tcBorders>
                    <w:top w:val="nil"/>
                    <w:left w:val="nil"/>
                    <w:bottom w:val="nil"/>
                    <w:right w:val="nil"/>
                  </w:tcBorders>
                  <w:shd w:val="clear" w:color="auto" w:fill="auto"/>
                  <w:noWrap/>
                  <w:vAlign w:val="bottom"/>
                  <w:hideMark/>
                </w:tcPr>
                <w:p w14:paraId="316A6919"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9.5</w:t>
                  </w:r>
                </w:p>
              </w:tc>
            </w:tr>
            <w:tr w:rsidR="00BD3C6C" w:rsidRPr="00116F5F" w14:paraId="4206ADC4" w14:textId="77777777" w:rsidTr="00A43DA5">
              <w:trPr>
                <w:trHeight w:val="255"/>
              </w:trPr>
              <w:tc>
                <w:tcPr>
                  <w:tcW w:w="3482" w:type="dxa"/>
                  <w:tcBorders>
                    <w:top w:val="nil"/>
                    <w:left w:val="nil"/>
                    <w:bottom w:val="nil"/>
                    <w:right w:val="nil"/>
                  </w:tcBorders>
                  <w:shd w:val="clear" w:color="auto" w:fill="auto"/>
                  <w:noWrap/>
                  <w:vAlign w:val="bottom"/>
                  <w:hideMark/>
                </w:tcPr>
                <w:p w14:paraId="191E00D1" w14:textId="77777777" w:rsidR="00BD3C6C" w:rsidRPr="00116F5F" w:rsidRDefault="00BD3C6C" w:rsidP="00A43DA5">
                  <w:pPr>
                    <w:spacing w:after="0" w:line="240" w:lineRule="auto"/>
                    <w:rPr>
                      <w:rFonts w:ascii="Times New Roman" w:eastAsia="Times New Roman" w:hAnsi="Times New Roman" w:cs="Times New Roman"/>
                      <w:sz w:val="20"/>
                      <w:szCs w:val="20"/>
                      <w:lang w:eastAsia="ko-KR"/>
                    </w:rPr>
                  </w:pPr>
                </w:p>
              </w:tc>
              <w:tc>
                <w:tcPr>
                  <w:tcW w:w="1120" w:type="dxa"/>
                  <w:tcBorders>
                    <w:top w:val="nil"/>
                    <w:left w:val="nil"/>
                    <w:bottom w:val="nil"/>
                    <w:right w:val="nil"/>
                  </w:tcBorders>
                  <w:shd w:val="clear" w:color="auto" w:fill="auto"/>
                  <w:noWrap/>
                  <w:vAlign w:val="bottom"/>
                  <w:hideMark/>
                </w:tcPr>
                <w:p w14:paraId="2F120447"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p>
              </w:tc>
              <w:tc>
                <w:tcPr>
                  <w:tcW w:w="1120" w:type="dxa"/>
                  <w:tcBorders>
                    <w:top w:val="nil"/>
                    <w:left w:val="nil"/>
                    <w:bottom w:val="nil"/>
                    <w:right w:val="nil"/>
                  </w:tcBorders>
                  <w:shd w:val="clear" w:color="auto" w:fill="auto"/>
                  <w:noWrap/>
                  <w:vAlign w:val="bottom"/>
                  <w:hideMark/>
                </w:tcPr>
                <w:p w14:paraId="613AF407"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p>
              </w:tc>
              <w:tc>
                <w:tcPr>
                  <w:tcW w:w="1120" w:type="dxa"/>
                  <w:tcBorders>
                    <w:top w:val="nil"/>
                    <w:left w:val="nil"/>
                    <w:bottom w:val="nil"/>
                    <w:right w:val="nil"/>
                  </w:tcBorders>
                  <w:shd w:val="clear" w:color="auto" w:fill="auto"/>
                  <w:noWrap/>
                  <w:vAlign w:val="bottom"/>
                  <w:hideMark/>
                </w:tcPr>
                <w:p w14:paraId="2DB0A163"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p>
              </w:tc>
              <w:tc>
                <w:tcPr>
                  <w:tcW w:w="1120" w:type="dxa"/>
                  <w:tcBorders>
                    <w:top w:val="nil"/>
                    <w:left w:val="nil"/>
                    <w:bottom w:val="nil"/>
                    <w:right w:val="nil"/>
                  </w:tcBorders>
                  <w:shd w:val="clear" w:color="auto" w:fill="auto"/>
                  <w:noWrap/>
                  <w:vAlign w:val="bottom"/>
                  <w:hideMark/>
                </w:tcPr>
                <w:p w14:paraId="6C2C1B91"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p>
              </w:tc>
              <w:tc>
                <w:tcPr>
                  <w:tcW w:w="1182" w:type="dxa"/>
                  <w:tcBorders>
                    <w:top w:val="nil"/>
                    <w:left w:val="nil"/>
                    <w:bottom w:val="nil"/>
                    <w:right w:val="nil"/>
                  </w:tcBorders>
                  <w:shd w:val="clear" w:color="auto" w:fill="auto"/>
                  <w:noWrap/>
                  <w:vAlign w:val="bottom"/>
                  <w:hideMark/>
                </w:tcPr>
                <w:p w14:paraId="732A8A40"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p>
              </w:tc>
            </w:tr>
            <w:tr w:rsidR="00BD3C6C" w:rsidRPr="00116F5F" w14:paraId="63426FF1" w14:textId="77777777" w:rsidTr="00A43DA5">
              <w:trPr>
                <w:trHeight w:val="255"/>
              </w:trPr>
              <w:tc>
                <w:tcPr>
                  <w:tcW w:w="3482" w:type="dxa"/>
                  <w:tcBorders>
                    <w:top w:val="nil"/>
                    <w:left w:val="nil"/>
                    <w:bottom w:val="nil"/>
                    <w:right w:val="nil"/>
                  </w:tcBorders>
                  <w:shd w:val="clear" w:color="auto" w:fill="auto"/>
                  <w:noWrap/>
                  <w:vAlign w:val="bottom"/>
                  <w:hideMark/>
                </w:tcPr>
                <w:p w14:paraId="1544FD11" w14:textId="147CBF54" w:rsidR="00BD3C6C" w:rsidRPr="00630B23" w:rsidRDefault="00C177E7" w:rsidP="00A43DA5">
                  <w:pPr>
                    <w:spacing w:after="0" w:line="240" w:lineRule="auto"/>
                    <w:rPr>
                      <w:rFonts w:ascii="Times New Roman" w:eastAsia="Times New Roman" w:hAnsi="Times New Roman" w:cs="Times New Roman"/>
                      <w:b/>
                      <w:bCs/>
                      <w:sz w:val="20"/>
                      <w:szCs w:val="20"/>
                      <w:lang w:val="mn-MN" w:eastAsia="ko-KR"/>
                    </w:rPr>
                  </w:pPr>
                  <w:r>
                    <w:rPr>
                      <w:rFonts w:ascii="Times New Roman" w:eastAsia="Times New Roman" w:hAnsi="Times New Roman" w:cs="Times New Roman"/>
                      <w:b/>
                      <w:bCs/>
                      <w:sz w:val="20"/>
                      <w:szCs w:val="20"/>
                      <w:lang w:val="mn-MN" w:eastAsia="ko-KR"/>
                    </w:rPr>
                    <w:t>Улсын салбар</w:t>
                  </w:r>
                </w:p>
              </w:tc>
              <w:tc>
                <w:tcPr>
                  <w:tcW w:w="1120" w:type="dxa"/>
                  <w:tcBorders>
                    <w:top w:val="nil"/>
                    <w:left w:val="nil"/>
                    <w:bottom w:val="nil"/>
                    <w:right w:val="nil"/>
                  </w:tcBorders>
                  <w:shd w:val="clear" w:color="auto" w:fill="auto"/>
                  <w:noWrap/>
                  <w:vAlign w:val="bottom"/>
                  <w:hideMark/>
                </w:tcPr>
                <w:p w14:paraId="12AD25E2"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p>
              </w:tc>
              <w:tc>
                <w:tcPr>
                  <w:tcW w:w="1120" w:type="dxa"/>
                  <w:tcBorders>
                    <w:top w:val="nil"/>
                    <w:left w:val="nil"/>
                    <w:bottom w:val="nil"/>
                    <w:right w:val="nil"/>
                  </w:tcBorders>
                  <w:shd w:val="clear" w:color="auto" w:fill="auto"/>
                  <w:noWrap/>
                  <w:vAlign w:val="bottom"/>
                  <w:hideMark/>
                </w:tcPr>
                <w:p w14:paraId="17930521"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p>
              </w:tc>
              <w:tc>
                <w:tcPr>
                  <w:tcW w:w="1120" w:type="dxa"/>
                  <w:tcBorders>
                    <w:top w:val="nil"/>
                    <w:left w:val="nil"/>
                    <w:bottom w:val="nil"/>
                    <w:right w:val="nil"/>
                  </w:tcBorders>
                  <w:shd w:val="clear" w:color="auto" w:fill="auto"/>
                  <w:noWrap/>
                  <w:vAlign w:val="bottom"/>
                  <w:hideMark/>
                </w:tcPr>
                <w:p w14:paraId="7E387509"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p>
              </w:tc>
              <w:tc>
                <w:tcPr>
                  <w:tcW w:w="1120" w:type="dxa"/>
                  <w:tcBorders>
                    <w:top w:val="nil"/>
                    <w:left w:val="nil"/>
                    <w:bottom w:val="nil"/>
                    <w:right w:val="nil"/>
                  </w:tcBorders>
                  <w:shd w:val="clear" w:color="auto" w:fill="auto"/>
                  <w:noWrap/>
                  <w:vAlign w:val="bottom"/>
                  <w:hideMark/>
                </w:tcPr>
                <w:p w14:paraId="56EEE75C"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p>
              </w:tc>
              <w:tc>
                <w:tcPr>
                  <w:tcW w:w="1182" w:type="dxa"/>
                  <w:tcBorders>
                    <w:top w:val="nil"/>
                    <w:left w:val="nil"/>
                    <w:bottom w:val="nil"/>
                    <w:right w:val="nil"/>
                  </w:tcBorders>
                  <w:shd w:val="clear" w:color="auto" w:fill="auto"/>
                  <w:noWrap/>
                  <w:vAlign w:val="bottom"/>
                  <w:hideMark/>
                </w:tcPr>
                <w:p w14:paraId="262E8F76"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p>
              </w:tc>
            </w:tr>
            <w:tr w:rsidR="00BD3C6C" w:rsidRPr="00116F5F" w14:paraId="51742153" w14:textId="77777777" w:rsidTr="00A43DA5">
              <w:trPr>
                <w:trHeight w:val="255"/>
              </w:trPr>
              <w:tc>
                <w:tcPr>
                  <w:tcW w:w="3482" w:type="dxa"/>
                  <w:tcBorders>
                    <w:top w:val="nil"/>
                    <w:left w:val="nil"/>
                    <w:bottom w:val="nil"/>
                    <w:right w:val="nil"/>
                  </w:tcBorders>
                  <w:shd w:val="clear" w:color="auto" w:fill="auto"/>
                  <w:noWrap/>
                  <w:vAlign w:val="bottom"/>
                  <w:hideMark/>
                </w:tcPr>
                <w:p w14:paraId="06CD54BC" w14:textId="677D57CB" w:rsidR="00BD3C6C" w:rsidRPr="00116F5F" w:rsidRDefault="00C177E7">
                  <w:pPr>
                    <w:spacing w:after="0" w:line="240" w:lineRule="auto"/>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val="mn-MN" w:eastAsia="ko-KR"/>
                    </w:rPr>
                    <w:t>Засгийн газрын орлого</w:t>
                  </w:r>
                  <w:r w:rsidR="00BD3C6C" w:rsidRPr="00116F5F">
                    <w:rPr>
                      <w:rFonts w:ascii="Times New Roman" w:eastAsia="Times New Roman" w:hAnsi="Times New Roman" w:cs="Times New Roman"/>
                      <w:sz w:val="20"/>
                      <w:szCs w:val="20"/>
                      <w:lang w:eastAsia="ko-KR"/>
                    </w:rPr>
                    <w:t xml:space="preserve"> (% </w:t>
                  </w:r>
                  <w:r>
                    <w:rPr>
                      <w:rFonts w:ascii="Times New Roman" w:eastAsia="Times New Roman" w:hAnsi="Times New Roman" w:cs="Times New Roman"/>
                      <w:sz w:val="20"/>
                      <w:szCs w:val="20"/>
                      <w:lang w:val="mn-MN" w:eastAsia="ko-KR"/>
                    </w:rPr>
                    <w:t>ДНБ</w:t>
                  </w:r>
                  <w:r w:rsidR="00BD3C6C" w:rsidRPr="00116F5F">
                    <w:rPr>
                      <w:rFonts w:ascii="Times New Roman" w:eastAsia="Times New Roman" w:hAnsi="Times New Roman" w:cs="Times New Roman"/>
                      <w:sz w:val="20"/>
                      <w:szCs w:val="20"/>
                      <w:lang w:eastAsia="ko-KR"/>
                    </w:rPr>
                    <w:t>)</w:t>
                  </w:r>
                </w:p>
              </w:tc>
              <w:tc>
                <w:tcPr>
                  <w:tcW w:w="1120" w:type="dxa"/>
                  <w:tcBorders>
                    <w:top w:val="nil"/>
                    <w:left w:val="nil"/>
                    <w:bottom w:val="nil"/>
                    <w:right w:val="nil"/>
                  </w:tcBorders>
                  <w:shd w:val="clear" w:color="auto" w:fill="auto"/>
                  <w:noWrap/>
                  <w:vAlign w:val="bottom"/>
                  <w:hideMark/>
                </w:tcPr>
                <w:p w14:paraId="0E385E28"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4</w:t>
                  </w:r>
                  <w:r>
                    <w:rPr>
                      <w:rFonts w:ascii="Times New Roman" w:eastAsia="Times New Roman" w:hAnsi="Times New Roman" w:cs="Times New Roman"/>
                      <w:sz w:val="20"/>
                      <w:szCs w:val="20"/>
                      <w:lang w:eastAsia="ko-KR"/>
                    </w:rPr>
                    <w:t>0.3</w:t>
                  </w:r>
                </w:p>
              </w:tc>
              <w:tc>
                <w:tcPr>
                  <w:tcW w:w="1120" w:type="dxa"/>
                  <w:tcBorders>
                    <w:top w:val="nil"/>
                    <w:left w:val="nil"/>
                    <w:bottom w:val="nil"/>
                    <w:right w:val="nil"/>
                  </w:tcBorders>
                  <w:shd w:val="clear" w:color="auto" w:fill="auto"/>
                  <w:noWrap/>
                  <w:vAlign w:val="bottom"/>
                  <w:hideMark/>
                </w:tcPr>
                <w:p w14:paraId="2380DE4E"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35.7</w:t>
                  </w:r>
                </w:p>
              </w:tc>
              <w:tc>
                <w:tcPr>
                  <w:tcW w:w="1120" w:type="dxa"/>
                  <w:tcBorders>
                    <w:top w:val="nil"/>
                    <w:left w:val="nil"/>
                    <w:bottom w:val="nil"/>
                    <w:right w:val="nil"/>
                  </w:tcBorders>
                  <w:shd w:val="clear" w:color="auto" w:fill="auto"/>
                  <w:noWrap/>
                  <w:vAlign w:val="bottom"/>
                  <w:hideMark/>
                </w:tcPr>
                <w:p w14:paraId="21DD0B8A" w14:textId="086D365B"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3</w:t>
                  </w:r>
                  <w:r>
                    <w:rPr>
                      <w:rFonts w:ascii="Times New Roman" w:eastAsia="Times New Roman" w:hAnsi="Times New Roman" w:cs="Times New Roman"/>
                      <w:sz w:val="20"/>
                      <w:szCs w:val="20"/>
                      <w:lang w:eastAsia="ko-KR"/>
                    </w:rPr>
                    <w:t>5</w:t>
                  </w:r>
                  <w:r w:rsidRPr="00116F5F">
                    <w:rPr>
                      <w:rFonts w:ascii="Times New Roman" w:eastAsia="Times New Roman" w:hAnsi="Times New Roman" w:cs="Times New Roman"/>
                      <w:sz w:val="20"/>
                      <w:szCs w:val="20"/>
                      <w:lang w:eastAsia="ko-KR"/>
                    </w:rPr>
                    <w:t>.</w:t>
                  </w:r>
                  <w:r w:rsidR="00423DDD">
                    <w:rPr>
                      <w:rFonts w:ascii="Times New Roman" w:eastAsia="Times New Roman" w:hAnsi="Times New Roman" w:cs="Times New Roman"/>
                      <w:sz w:val="20"/>
                      <w:szCs w:val="20"/>
                      <w:lang w:eastAsia="ko-KR"/>
                    </w:rPr>
                    <w:t>0</w:t>
                  </w:r>
                </w:p>
              </w:tc>
              <w:tc>
                <w:tcPr>
                  <w:tcW w:w="1120" w:type="dxa"/>
                  <w:tcBorders>
                    <w:top w:val="nil"/>
                    <w:left w:val="nil"/>
                    <w:bottom w:val="nil"/>
                    <w:right w:val="nil"/>
                  </w:tcBorders>
                  <w:shd w:val="clear" w:color="auto" w:fill="auto"/>
                  <w:noWrap/>
                  <w:vAlign w:val="bottom"/>
                  <w:hideMark/>
                </w:tcPr>
                <w:p w14:paraId="38105F43"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33.5</w:t>
                  </w:r>
                </w:p>
              </w:tc>
              <w:tc>
                <w:tcPr>
                  <w:tcW w:w="1182" w:type="dxa"/>
                  <w:tcBorders>
                    <w:top w:val="nil"/>
                    <w:left w:val="nil"/>
                    <w:bottom w:val="nil"/>
                    <w:right w:val="nil"/>
                  </w:tcBorders>
                  <w:shd w:val="clear" w:color="auto" w:fill="auto"/>
                  <w:noWrap/>
                  <w:vAlign w:val="bottom"/>
                  <w:hideMark/>
                </w:tcPr>
                <w:p w14:paraId="672354AB"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32.6</w:t>
                  </w:r>
                </w:p>
              </w:tc>
            </w:tr>
            <w:tr w:rsidR="00BD3C6C" w:rsidRPr="00116F5F" w14:paraId="205A97D0" w14:textId="77777777" w:rsidTr="00A43DA5">
              <w:trPr>
                <w:trHeight w:val="255"/>
              </w:trPr>
              <w:tc>
                <w:tcPr>
                  <w:tcW w:w="3482" w:type="dxa"/>
                  <w:tcBorders>
                    <w:top w:val="nil"/>
                    <w:left w:val="nil"/>
                    <w:bottom w:val="nil"/>
                    <w:right w:val="nil"/>
                  </w:tcBorders>
                  <w:shd w:val="clear" w:color="auto" w:fill="auto"/>
                  <w:noWrap/>
                  <w:vAlign w:val="bottom"/>
                  <w:hideMark/>
                </w:tcPr>
                <w:p w14:paraId="6F2F5AFF" w14:textId="1B757861" w:rsidR="00BD3C6C" w:rsidRPr="00116F5F" w:rsidRDefault="00C177E7" w:rsidP="00A43DA5">
                  <w:pPr>
                    <w:spacing w:after="0" w:line="240" w:lineRule="auto"/>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val="mn-MN" w:eastAsia="ko-KR"/>
                    </w:rPr>
                    <w:t>Засгийн газрын зарлага</w:t>
                  </w:r>
                  <w:r w:rsidR="00BD3C6C" w:rsidRPr="00116F5F">
                    <w:rPr>
                      <w:rFonts w:ascii="Times New Roman" w:eastAsia="Times New Roman" w:hAnsi="Times New Roman" w:cs="Times New Roman"/>
                      <w:sz w:val="20"/>
                      <w:szCs w:val="20"/>
                      <w:lang w:eastAsia="ko-KR"/>
                    </w:rPr>
                    <w:t xml:space="preserve"> (%</w:t>
                  </w:r>
                  <w:r>
                    <w:rPr>
                      <w:rFonts w:ascii="Times New Roman" w:eastAsia="Times New Roman" w:hAnsi="Times New Roman" w:cs="Times New Roman"/>
                      <w:sz w:val="20"/>
                      <w:szCs w:val="20"/>
                      <w:lang w:val="mn-MN" w:eastAsia="ko-KR"/>
                    </w:rPr>
                    <w:t>ДНБ</w:t>
                  </w:r>
                  <w:r w:rsidR="00BD3C6C" w:rsidRPr="00116F5F">
                    <w:rPr>
                      <w:rFonts w:ascii="Times New Roman" w:eastAsia="Times New Roman" w:hAnsi="Times New Roman" w:cs="Times New Roman"/>
                      <w:sz w:val="20"/>
                      <w:szCs w:val="20"/>
                      <w:lang w:eastAsia="ko-KR"/>
                    </w:rPr>
                    <w:t>)</w:t>
                  </w:r>
                </w:p>
              </w:tc>
              <w:tc>
                <w:tcPr>
                  <w:tcW w:w="1120" w:type="dxa"/>
                  <w:tcBorders>
                    <w:top w:val="nil"/>
                    <w:left w:val="nil"/>
                    <w:bottom w:val="nil"/>
                    <w:right w:val="nil"/>
                  </w:tcBorders>
                  <w:shd w:val="clear" w:color="auto" w:fill="auto"/>
                  <w:noWrap/>
                  <w:vAlign w:val="bottom"/>
                  <w:hideMark/>
                </w:tcPr>
                <w:p w14:paraId="06C2CD6B"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45.1</w:t>
                  </w:r>
                </w:p>
              </w:tc>
              <w:tc>
                <w:tcPr>
                  <w:tcW w:w="1120" w:type="dxa"/>
                  <w:tcBorders>
                    <w:top w:val="nil"/>
                    <w:left w:val="nil"/>
                    <w:bottom w:val="nil"/>
                    <w:right w:val="nil"/>
                  </w:tcBorders>
                  <w:shd w:val="clear" w:color="auto" w:fill="auto"/>
                  <w:noWrap/>
                  <w:vAlign w:val="bottom"/>
                  <w:hideMark/>
                </w:tcPr>
                <w:p w14:paraId="7A4F412F"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46.6</w:t>
                  </w:r>
                </w:p>
              </w:tc>
              <w:tc>
                <w:tcPr>
                  <w:tcW w:w="1120" w:type="dxa"/>
                  <w:tcBorders>
                    <w:top w:val="nil"/>
                    <w:left w:val="nil"/>
                    <w:bottom w:val="nil"/>
                    <w:right w:val="nil"/>
                  </w:tcBorders>
                  <w:shd w:val="clear" w:color="auto" w:fill="auto"/>
                  <w:noWrap/>
                  <w:vAlign w:val="bottom"/>
                  <w:hideMark/>
                </w:tcPr>
                <w:p w14:paraId="4D849492" w14:textId="078FE456"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4</w:t>
                  </w:r>
                  <w:r>
                    <w:rPr>
                      <w:rFonts w:ascii="Times New Roman" w:eastAsia="Times New Roman" w:hAnsi="Times New Roman" w:cs="Times New Roman"/>
                      <w:sz w:val="20"/>
                      <w:szCs w:val="20"/>
                      <w:lang w:eastAsia="ko-KR"/>
                    </w:rPr>
                    <w:t>7.</w:t>
                  </w:r>
                  <w:r w:rsidR="00423DDD">
                    <w:rPr>
                      <w:rFonts w:ascii="Times New Roman" w:eastAsia="Times New Roman" w:hAnsi="Times New Roman" w:cs="Times New Roman"/>
                      <w:sz w:val="20"/>
                      <w:szCs w:val="20"/>
                      <w:lang w:eastAsia="ko-KR"/>
                    </w:rPr>
                    <w:t>3</w:t>
                  </w:r>
                </w:p>
              </w:tc>
              <w:tc>
                <w:tcPr>
                  <w:tcW w:w="1120" w:type="dxa"/>
                  <w:tcBorders>
                    <w:top w:val="nil"/>
                    <w:left w:val="nil"/>
                    <w:bottom w:val="nil"/>
                    <w:right w:val="nil"/>
                  </w:tcBorders>
                  <w:shd w:val="clear" w:color="auto" w:fill="auto"/>
                  <w:noWrap/>
                  <w:vAlign w:val="bottom"/>
                  <w:hideMark/>
                </w:tcPr>
                <w:p w14:paraId="72447F7A"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41.1</w:t>
                  </w:r>
                </w:p>
              </w:tc>
              <w:tc>
                <w:tcPr>
                  <w:tcW w:w="1182" w:type="dxa"/>
                  <w:tcBorders>
                    <w:top w:val="nil"/>
                    <w:left w:val="nil"/>
                    <w:bottom w:val="nil"/>
                    <w:right w:val="nil"/>
                  </w:tcBorders>
                  <w:shd w:val="clear" w:color="auto" w:fill="auto"/>
                  <w:noWrap/>
                  <w:vAlign w:val="bottom"/>
                  <w:hideMark/>
                </w:tcPr>
                <w:p w14:paraId="48DB4E60"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38.5</w:t>
                  </w:r>
                </w:p>
              </w:tc>
            </w:tr>
            <w:tr w:rsidR="00BD3C6C" w:rsidRPr="00116F5F" w14:paraId="0F4E9E31" w14:textId="77777777" w:rsidTr="00A43DA5">
              <w:trPr>
                <w:trHeight w:val="255"/>
              </w:trPr>
              <w:tc>
                <w:tcPr>
                  <w:tcW w:w="3482" w:type="dxa"/>
                  <w:tcBorders>
                    <w:top w:val="nil"/>
                    <w:left w:val="nil"/>
                    <w:bottom w:val="nil"/>
                    <w:right w:val="nil"/>
                  </w:tcBorders>
                  <w:shd w:val="clear" w:color="auto" w:fill="auto"/>
                  <w:noWrap/>
                  <w:vAlign w:val="bottom"/>
                  <w:hideMark/>
                </w:tcPr>
                <w:p w14:paraId="4E7EBF5C" w14:textId="52F5BD8D" w:rsidR="00BD3C6C" w:rsidRPr="00116F5F" w:rsidRDefault="00C177E7" w:rsidP="00A43DA5">
                  <w:pPr>
                    <w:spacing w:after="0" w:line="240" w:lineRule="auto"/>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val="mn-MN" w:eastAsia="ko-KR"/>
                    </w:rPr>
                    <w:t>Засгийн газрын тэнцэл</w:t>
                  </w:r>
                  <w:r w:rsidR="00BD3C6C" w:rsidRPr="00116F5F">
                    <w:rPr>
                      <w:rFonts w:ascii="Times New Roman" w:eastAsia="Times New Roman" w:hAnsi="Times New Roman" w:cs="Times New Roman"/>
                      <w:sz w:val="20"/>
                      <w:szCs w:val="20"/>
                      <w:lang w:eastAsia="ko-KR"/>
                    </w:rPr>
                    <w:t xml:space="preserve"> (%</w:t>
                  </w:r>
                  <w:r>
                    <w:rPr>
                      <w:rFonts w:ascii="Times New Roman" w:eastAsia="Times New Roman" w:hAnsi="Times New Roman" w:cs="Times New Roman"/>
                      <w:sz w:val="20"/>
                      <w:szCs w:val="20"/>
                      <w:lang w:val="mn-MN" w:eastAsia="ko-KR"/>
                    </w:rPr>
                    <w:t>ДНБ</w:t>
                  </w:r>
                  <w:r w:rsidR="00BD3C6C" w:rsidRPr="00116F5F">
                    <w:rPr>
                      <w:rFonts w:ascii="Times New Roman" w:eastAsia="Times New Roman" w:hAnsi="Times New Roman" w:cs="Times New Roman"/>
                      <w:sz w:val="20"/>
                      <w:szCs w:val="20"/>
                      <w:lang w:eastAsia="ko-KR"/>
                    </w:rPr>
                    <w:t>)</w:t>
                  </w:r>
                </w:p>
              </w:tc>
              <w:tc>
                <w:tcPr>
                  <w:tcW w:w="1120" w:type="dxa"/>
                  <w:tcBorders>
                    <w:top w:val="nil"/>
                    <w:left w:val="nil"/>
                    <w:bottom w:val="nil"/>
                    <w:right w:val="nil"/>
                  </w:tcBorders>
                  <w:shd w:val="clear" w:color="auto" w:fill="auto"/>
                  <w:noWrap/>
                  <w:vAlign w:val="bottom"/>
                  <w:hideMark/>
                </w:tcPr>
                <w:p w14:paraId="6F7FFA1F"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-4.8</w:t>
                  </w:r>
                </w:p>
              </w:tc>
              <w:tc>
                <w:tcPr>
                  <w:tcW w:w="1120" w:type="dxa"/>
                  <w:tcBorders>
                    <w:top w:val="nil"/>
                    <w:left w:val="nil"/>
                    <w:bottom w:val="nil"/>
                    <w:right w:val="nil"/>
                  </w:tcBorders>
                  <w:shd w:val="clear" w:color="auto" w:fill="auto"/>
                  <w:noWrap/>
                  <w:vAlign w:val="bottom"/>
                  <w:hideMark/>
                </w:tcPr>
                <w:p w14:paraId="1BAB5EF7"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w:t>
                  </w:r>
                  <w:r>
                    <w:rPr>
                      <w:rFonts w:ascii="Times New Roman" w:eastAsia="Times New Roman" w:hAnsi="Times New Roman" w:cs="Times New Roman"/>
                      <w:sz w:val="20"/>
                      <w:szCs w:val="20"/>
                      <w:lang w:eastAsia="ko-KR"/>
                    </w:rPr>
                    <w:t>10.9</w:t>
                  </w:r>
                </w:p>
              </w:tc>
              <w:tc>
                <w:tcPr>
                  <w:tcW w:w="1120" w:type="dxa"/>
                  <w:tcBorders>
                    <w:top w:val="nil"/>
                    <w:left w:val="nil"/>
                    <w:bottom w:val="nil"/>
                    <w:right w:val="nil"/>
                  </w:tcBorders>
                  <w:shd w:val="clear" w:color="auto" w:fill="auto"/>
                  <w:noWrap/>
                  <w:vAlign w:val="bottom"/>
                  <w:hideMark/>
                </w:tcPr>
                <w:p w14:paraId="1866EC32" w14:textId="37F0EB9F" w:rsidR="00BD3C6C" w:rsidRPr="00116F5F" w:rsidRDefault="00BD3C6C" w:rsidP="00423DDD">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w:t>
                  </w:r>
                  <w:r>
                    <w:rPr>
                      <w:rFonts w:ascii="Times New Roman" w:eastAsia="Times New Roman" w:hAnsi="Times New Roman" w:cs="Times New Roman"/>
                      <w:sz w:val="20"/>
                      <w:szCs w:val="20"/>
                      <w:lang w:eastAsia="ko-KR"/>
                    </w:rPr>
                    <w:t>1</w:t>
                  </w:r>
                  <w:r w:rsidR="00423DDD">
                    <w:rPr>
                      <w:rFonts w:ascii="Times New Roman" w:eastAsia="Times New Roman" w:hAnsi="Times New Roman" w:cs="Times New Roman"/>
                      <w:sz w:val="20"/>
                      <w:szCs w:val="20"/>
                      <w:lang w:eastAsia="ko-KR"/>
                    </w:rPr>
                    <w:t>2.3</w:t>
                  </w:r>
                </w:p>
              </w:tc>
              <w:tc>
                <w:tcPr>
                  <w:tcW w:w="1120" w:type="dxa"/>
                  <w:tcBorders>
                    <w:top w:val="nil"/>
                    <w:left w:val="nil"/>
                    <w:bottom w:val="nil"/>
                    <w:right w:val="nil"/>
                  </w:tcBorders>
                  <w:shd w:val="clear" w:color="auto" w:fill="auto"/>
                  <w:noWrap/>
                  <w:vAlign w:val="bottom"/>
                  <w:hideMark/>
                </w:tcPr>
                <w:p w14:paraId="3F7FF210"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-7.6</w:t>
                  </w:r>
                </w:p>
              </w:tc>
              <w:tc>
                <w:tcPr>
                  <w:tcW w:w="1182" w:type="dxa"/>
                  <w:tcBorders>
                    <w:top w:val="nil"/>
                    <w:left w:val="nil"/>
                    <w:bottom w:val="nil"/>
                    <w:right w:val="nil"/>
                  </w:tcBorders>
                  <w:shd w:val="clear" w:color="auto" w:fill="auto"/>
                  <w:noWrap/>
                  <w:vAlign w:val="bottom"/>
                  <w:hideMark/>
                </w:tcPr>
                <w:p w14:paraId="2A76169F"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-5.9</w:t>
                  </w:r>
                </w:p>
              </w:tc>
            </w:tr>
            <w:tr w:rsidR="00BD3C6C" w:rsidRPr="00116F5F" w14:paraId="5D62DDF4" w14:textId="77777777" w:rsidTr="00A43DA5">
              <w:trPr>
                <w:trHeight w:val="255"/>
              </w:trPr>
              <w:tc>
                <w:tcPr>
                  <w:tcW w:w="3482" w:type="dxa"/>
                  <w:tcBorders>
                    <w:top w:val="nil"/>
                    <w:left w:val="nil"/>
                    <w:bottom w:val="nil"/>
                    <w:right w:val="nil"/>
                  </w:tcBorders>
                  <w:shd w:val="clear" w:color="auto" w:fill="auto"/>
                  <w:noWrap/>
                  <w:vAlign w:val="bottom"/>
                </w:tcPr>
                <w:p w14:paraId="56177BC4" w14:textId="650CAE86" w:rsidR="00BD3C6C" w:rsidRPr="00116F5F" w:rsidRDefault="00C177E7" w:rsidP="00A43DA5">
                  <w:pPr>
                    <w:spacing w:after="0" w:line="240" w:lineRule="auto"/>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val="mn-MN" w:eastAsia="ko-KR"/>
                    </w:rPr>
                    <w:t>Улсын өр</w:t>
                  </w:r>
                  <w:r w:rsidR="00BD3C6C">
                    <w:rPr>
                      <w:rFonts w:ascii="Times New Roman" w:eastAsia="Times New Roman" w:hAnsi="Times New Roman" w:cs="Times New Roman"/>
                      <w:sz w:val="20"/>
                      <w:szCs w:val="20"/>
                      <w:lang w:eastAsia="ko-KR"/>
                    </w:rPr>
                    <w:t xml:space="preserve"> (%</w:t>
                  </w:r>
                  <w:r>
                    <w:rPr>
                      <w:rFonts w:ascii="Times New Roman" w:eastAsia="Times New Roman" w:hAnsi="Times New Roman" w:cs="Times New Roman"/>
                      <w:sz w:val="20"/>
                      <w:szCs w:val="20"/>
                      <w:lang w:val="mn-MN" w:eastAsia="ko-KR"/>
                    </w:rPr>
                    <w:t>ДНБ</w:t>
                  </w:r>
                  <w:r w:rsidR="00BD3C6C">
                    <w:rPr>
                      <w:rFonts w:ascii="Times New Roman" w:eastAsia="Times New Roman" w:hAnsi="Times New Roman" w:cs="Times New Roman"/>
                      <w:sz w:val="20"/>
                      <w:szCs w:val="20"/>
                      <w:lang w:eastAsia="ko-KR"/>
                    </w:rPr>
                    <w:t>)</w:t>
                  </w:r>
                </w:p>
              </w:tc>
              <w:tc>
                <w:tcPr>
                  <w:tcW w:w="1120" w:type="dxa"/>
                  <w:tcBorders>
                    <w:top w:val="nil"/>
                    <w:left w:val="nil"/>
                    <w:bottom w:val="nil"/>
                    <w:right w:val="nil"/>
                  </w:tcBorders>
                  <w:shd w:val="clear" w:color="auto" w:fill="auto"/>
                  <w:noWrap/>
                  <w:vAlign w:val="bottom"/>
                </w:tcPr>
                <w:p w14:paraId="5DF3F05C"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36.7</w:t>
                  </w:r>
                </w:p>
              </w:tc>
              <w:tc>
                <w:tcPr>
                  <w:tcW w:w="1120" w:type="dxa"/>
                  <w:tcBorders>
                    <w:top w:val="nil"/>
                    <w:left w:val="nil"/>
                    <w:bottom w:val="nil"/>
                    <w:right w:val="nil"/>
                  </w:tcBorders>
                  <w:shd w:val="clear" w:color="auto" w:fill="auto"/>
                  <w:noWrap/>
                  <w:vAlign w:val="bottom"/>
                </w:tcPr>
                <w:p w14:paraId="7258D14F" w14:textId="583AC81A" w:rsidR="00BD3C6C" w:rsidRPr="00116F5F" w:rsidRDefault="00BD3C6C" w:rsidP="00EF5D5E">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6</w:t>
                  </w:r>
                  <w:r w:rsidR="00EF5D5E">
                    <w:rPr>
                      <w:rFonts w:ascii="Times New Roman" w:eastAsia="Times New Roman" w:hAnsi="Times New Roman" w:cs="Times New Roman"/>
                      <w:sz w:val="20"/>
                      <w:szCs w:val="20"/>
                      <w:lang w:eastAsia="ko-KR"/>
                    </w:rPr>
                    <w:t>3.0</w:t>
                  </w:r>
                  <w:r w:rsidRPr="003D67B8">
                    <w:rPr>
                      <w:rFonts w:ascii="Times New Roman" w:eastAsia="Times New Roman" w:hAnsi="Times New Roman" w:cs="Times New Roman"/>
                      <w:sz w:val="20"/>
                      <w:szCs w:val="20"/>
                      <w:vertAlign w:val="superscript"/>
                      <w:lang w:eastAsia="ko-KR"/>
                    </w:rPr>
                    <w:t>e</w:t>
                  </w:r>
                </w:p>
              </w:tc>
              <w:tc>
                <w:tcPr>
                  <w:tcW w:w="1120" w:type="dxa"/>
                  <w:tcBorders>
                    <w:top w:val="nil"/>
                    <w:left w:val="nil"/>
                    <w:bottom w:val="nil"/>
                    <w:right w:val="nil"/>
                  </w:tcBorders>
                  <w:shd w:val="clear" w:color="auto" w:fill="auto"/>
                  <w:noWrap/>
                  <w:vAlign w:val="bottom"/>
                </w:tcPr>
                <w:p w14:paraId="5462C660"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w:t>
                  </w:r>
                </w:p>
              </w:tc>
              <w:tc>
                <w:tcPr>
                  <w:tcW w:w="1120" w:type="dxa"/>
                  <w:tcBorders>
                    <w:top w:val="nil"/>
                    <w:left w:val="nil"/>
                    <w:bottom w:val="nil"/>
                    <w:right w:val="nil"/>
                  </w:tcBorders>
                  <w:shd w:val="clear" w:color="auto" w:fill="auto"/>
                  <w:noWrap/>
                  <w:vAlign w:val="bottom"/>
                </w:tcPr>
                <w:p w14:paraId="6C612252"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w:t>
                  </w:r>
                </w:p>
              </w:tc>
              <w:tc>
                <w:tcPr>
                  <w:tcW w:w="1182" w:type="dxa"/>
                  <w:tcBorders>
                    <w:top w:val="nil"/>
                    <w:left w:val="nil"/>
                    <w:bottom w:val="nil"/>
                    <w:right w:val="nil"/>
                  </w:tcBorders>
                  <w:shd w:val="clear" w:color="auto" w:fill="auto"/>
                  <w:noWrap/>
                  <w:vAlign w:val="bottom"/>
                </w:tcPr>
                <w:p w14:paraId="656E8EA3"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w:t>
                  </w:r>
                </w:p>
              </w:tc>
            </w:tr>
            <w:tr w:rsidR="00BD3C6C" w:rsidRPr="00116F5F" w14:paraId="4F057C5F" w14:textId="77777777" w:rsidTr="00A43DA5">
              <w:trPr>
                <w:trHeight w:val="255"/>
              </w:trPr>
              <w:tc>
                <w:tcPr>
                  <w:tcW w:w="3482" w:type="dxa"/>
                  <w:tcBorders>
                    <w:top w:val="nil"/>
                    <w:left w:val="nil"/>
                    <w:bottom w:val="nil"/>
                    <w:right w:val="nil"/>
                  </w:tcBorders>
                  <w:shd w:val="clear" w:color="auto" w:fill="auto"/>
                  <w:noWrap/>
                  <w:vAlign w:val="bottom"/>
                  <w:hideMark/>
                </w:tcPr>
                <w:p w14:paraId="34E9B235" w14:textId="77777777" w:rsidR="00BD3C6C" w:rsidRPr="00116F5F" w:rsidRDefault="00BD3C6C" w:rsidP="00A43DA5">
                  <w:pPr>
                    <w:spacing w:after="0" w:line="240" w:lineRule="auto"/>
                    <w:rPr>
                      <w:rFonts w:ascii="Times New Roman" w:eastAsia="Times New Roman" w:hAnsi="Times New Roman" w:cs="Times New Roman"/>
                      <w:sz w:val="20"/>
                      <w:szCs w:val="20"/>
                      <w:lang w:eastAsia="ko-KR"/>
                    </w:rPr>
                  </w:pPr>
                </w:p>
              </w:tc>
              <w:tc>
                <w:tcPr>
                  <w:tcW w:w="1120" w:type="dxa"/>
                  <w:tcBorders>
                    <w:top w:val="nil"/>
                    <w:left w:val="nil"/>
                    <w:bottom w:val="nil"/>
                    <w:right w:val="nil"/>
                  </w:tcBorders>
                  <w:shd w:val="clear" w:color="auto" w:fill="auto"/>
                  <w:noWrap/>
                  <w:vAlign w:val="bottom"/>
                  <w:hideMark/>
                </w:tcPr>
                <w:p w14:paraId="0466698F"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p>
              </w:tc>
              <w:tc>
                <w:tcPr>
                  <w:tcW w:w="1120" w:type="dxa"/>
                  <w:tcBorders>
                    <w:top w:val="nil"/>
                    <w:left w:val="nil"/>
                    <w:bottom w:val="nil"/>
                    <w:right w:val="nil"/>
                  </w:tcBorders>
                  <w:shd w:val="clear" w:color="auto" w:fill="auto"/>
                  <w:noWrap/>
                  <w:vAlign w:val="bottom"/>
                  <w:hideMark/>
                </w:tcPr>
                <w:p w14:paraId="67EC3F4E"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p>
              </w:tc>
              <w:tc>
                <w:tcPr>
                  <w:tcW w:w="1120" w:type="dxa"/>
                  <w:tcBorders>
                    <w:top w:val="nil"/>
                    <w:left w:val="nil"/>
                    <w:bottom w:val="nil"/>
                    <w:right w:val="nil"/>
                  </w:tcBorders>
                  <w:shd w:val="clear" w:color="auto" w:fill="auto"/>
                  <w:noWrap/>
                  <w:vAlign w:val="bottom"/>
                  <w:hideMark/>
                </w:tcPr>
                <w:p w14:paraId="6D45818E"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p>
              </w:tc>
              <w:tc>
                <w:tcPr>
                  <w:tcW w:w="1120" w:type="dxa"/>
                  <w:tcBorders>
                    <w:top w:val="nil"/>
                    <w:left w:val="nil"/>
                    <w:bottom w:val="nil"/>
                    <w:right w:val="nil"/>
                  </w:tcBorders>
                  <w:shd w:val="clear" w:color="auto" w:fill="auto"/>
                  <w:noWrap/>
                  <w:vAlign w:val="bottom"/>
                  <w:hideMark/>
                </w:tcPr>
                <w:p w14:paraId="1E8805D8"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p>
              </w:tc>
              <w:tc>
                <w:tcPr>
                  <w:tcW w:w="1182" w:type="dxa"/>
                  <w:tcBorders>
                    <w:top w:val="nil"/>
                    <w:left w:val="nil"/>
                    <w:bottom w:val="nil"/>
                    <w:right w:val="nil"/>
                  </w:tcBorders>
                  <w:shd w:val="clear" w:color="auto" w:fill="auto"/>
                  <w:noWrap/>
                  <w:vAlign w:val="bottom"/>
                  <w:hideMark/>
                </w:tcPr>
                <w:p w14:paraId="6355009D"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p>
              </w:tc>
            </w:tr>
            <w:tr w:rsidR="00BD3C6C" w:rsidRPr="00116F5F" w14:paraId="69BF268F" w14:textId="77777777" w:rsidTr="00A43DA5">
              <w:trPr>
                <w:trHeight w:val="255"/>
              </w:trPr>
              <w:tc>
                <w:tcPr>
                  <w:tcW w:w="3482" w:type="dxa"/>
                  <w:tcBorders>
                    <w:top w:val="nil"/>
                    <w:left w:val="nil"/>
                    <w:bottom w:val="nil"/>
                    <w:right w:val="nil"/>
                  </w:tcBorders>
                  <w:shd w:val="clear" w:color="auto" w:fill="auto"/>
                  <w:noWrap/>
                  <w:vAlign w:val="bottom"/>
                  <w:hideMark/>
                </w:tcPr>
                <w:p w14:paraId="20813396" w14:textId="32903CF2" w:rsidR="00BD3C6C" w:rsidRPr="00630B23" w:rsidRDefault="00C177E7" w:rsidP="00A43DA5">
                  <w:pPr>
                    <w:spacing w:after="0" w:line="240" w:lineRule="auto"/>
                    <w:rPr>
                      <w:rFonts w:ascii="Times New Roman" w:eastAsia="Times New Roman" w:hAnsi="Times New Roman" w:cs="Times New Roman"/>
                      <w:b/>
                      <w:bCs/>
                      <w:sz w:val="20"/>
                      <w:szCs w:val="20"/>
                      <w:lang w:val="mn-MN" w:eastAsia="ko-KR"/>
                    </w:rPr>
                  </w:pPr>
                  <w:r>
                    <w:rPr>
                      <w:rFonts w:ascii="Times New Roman" w:eastAsia="Times New Roman" w:hAnsi="Times New Roman" w:cs="Times New Roman"/>
                      <w:b/>
                      <w:bCs/>
                      <w:sz w:val="20"/>
                      <w:szCs w:val="20"/>
                      <w:lang w:val="mn-MN" w:eastAsia="ko-KR"/>
                    </w:rPr>
                    <w:t>Төлбөрийн тэнцэл</w:t>
                  </w:r>
                </w:p>
              </w:tc>
              <w:tc>
                <w:tcPr>
                  <w:tcW w:w="1120" w:type="dxa"/>
                  <w:tcBorders>
                    <w:top w:val="nil"/>
                    <w:left w:val="nil"/>
                    <w:bottom w:val="nil"/>
                    <w:right w:val="nil"/>
                  </w:tcBorders>
                  <w:shd w:val="clear" w:color="auto" w:fill="auto"/>
                  <w:noWrap/>
                  <w:vAlign w:val="bottom"/>
                  <w:hideMark/>
                </w:tcPr>
                <w:p w14:paraId="17A4CAA0"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p>
              </w:tc>
              <w:tc>
                <w:tcPr>
                  <w:tcW w:w="1120" w:type="dxa"/>
                  <w:tcBorders>
                    <w:top w:val="nil"/>
                    <w:left w:val="nil"/>
                    <w:bottom w:val="nil"/>
                    <w:right w:val="nil"/>
                  </w:tcBorders>
                  <w:shd w:val="clear" w:color="auto" w:fill="auto"/>
                  <w:noWrap/>
                  <w:vAlign w:val="bottom"/>
                  <w:hideMark/>
                </w:tcPr>
                <w:p w14:paraId="27FE1A64"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p>
              </w:tc>
              <w:tc>
                <w:tcPr>
                  <w:tcW w:w="1120" w:type="dxa"/>
                  <w:tcBorders>
                    <w:top w:val="nil"/>
                    <w:left w:val="nil"/>
                    <w:bottom w:val="nil"/>
                    <w:right w:val="nil"/>
                  </w:tcBorders>
                  <w:shd w:val="clear" w:color="auto" w:fill="auto"/>
                  <w:noWrap/>
                  <w:vAlign w:val="bottom"/>
                  <w:hideMark/>
                </w:tcPr>
                <w:p w14:paraId="5A4745FE"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p>
              </w:tc>
              <w:tc>
                <w:tcPr>
                  <w:tcW w:w="1120" w:type="dxa"/>
                  <w:tcBorders>
                    <w:top w:val="nil"/>
                    <w:left w:val="nil"/>
                    <w:bottom w:val="nil"/>
                    <w:right w:val="nil"/>
                  </w:tcBorders>
                  <w:shd w:val="clear" w:color="auto" w:fill="auto"/>
                  <w:noWrap/>
                  <w:vAlign w:val="bottom"/>
                  <w:hideMark/>
                </w:tcPr>
                <w:p w14:paraId="7B550F0A"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p>
              </w:tc>
              <w:tc>
                <w:tcPr>
                  <w:tcW w:w="1182" w:type="dxa"/>
                  <w:tcBorders>
                    <w:top w:val="nil"/>
                    <w:left w:val="nil"/>
                    <w:bottom w:val="nil"/>
                    <w:right w:val="nil"/>
                  </w:tcBorders>
                  <w:shd w:val="clear" w:color="auto" w:fill="auto"/>
                  <w:noWrap/>
                  <w:vAlign w:val="bottom"/>
                  <w:hideMark/>
                </w:tcPr>
                <w:p w14:paraId="092EF6CF"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p>
              </w:tc>
            </w:tr>
            <w:tr w:rsidR="00BD3C6C" w:rsidRPr="00116F5F" w14:paraId="3317A04C" w14:textId="77777777" w:rsidTr="00A43DA5">
              <w:trPr>
                <w:trHeight w:val="255"/>
              </w:trPr>
              <w:tc>
                <w:tcPr>
                  <w:tcW w:w="3482" w:type="dxa"/>
                  <w:tcBorders>
                    <w:top w:val="nil"/>
                    <w:left w:val="nil"/>
                    <w:bottom w:val="nil"/>
                    <w:right w:val="nil"/>
                  </w:tcBorders>
                  <w:shd w:val="clear" w:color="auto" w:fill="auto"/>
                  <w:noWrap/>
                  <w:vAlign w:val="bottom"/>
                  <w:hideMark/>
                </w:tcPr>
                <w:p w14:paraId="6537211A" w14:textId="39DD42A8" w:rsidR="00BD3C6C" w:rsidRPr="00116F5F" w:rsidRDefault="00C177E7">
                  <w:pPr>
                    <w:spacing w:after="0" w:line="240" w:lineRule="auto"/>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val="mn-MN" w:eastAsia="ko-KR"/>
                    </w:rPr>
                    <w:t>Барааны экспорт</w:t>
                  </w:r>
                  <w:r w:rsidR="00BD3C6C" w:rsidRPr="00116F5F">
                    <w:rPr>
                      <w:rFonts w:ascii="Times New Roman" w:eastAsia="Times New Roman" w:hAnsi="Times New Roman" w:cs="Times New Roman"/>
                      <w:sz w:val="20"/>
                      <w:szCs w:val="20"/>
                      <w:lang w:eastAsia="ko-KR"/>
                    </w:rPr>
                    <w:t xml:space="preserve"> ( </w:t>
                  </w:r>
                  <w:r>
                    <w:rPr>
                      <w:rFonts w:ascii="Times New Roman" w:eastAsia="Times New Roman" w:hAnsi="Times New Roman" w:cs="Times New Roman"/>
                      <w:sz w:val="20"/>
                      <w:szCs w:val="20"/>
                      <w:lang w:val="mn-MN" w:eastAsia="ko-KR"/>
                    </w:rPr>
                    <w:t>мян. Ам.доллар</w:t>
                  </w:r>
                  <w:r w:rsidR="00BD3C6C" w:rsidRPr="00116F5F">
                    <w:rPr>
                      <w:rFonts w:ascii="Times New Roman" w:eastAsia="Times New Roman" w:hAnsi="Times New Roman" w:cs="Times New Roman"/>
                      <w:sz w:val="20"/>
                      <w:szCs w:val="20"/>
                      <w:lang w:eastAsia="ko-KR"/>
                    </w:rPr>
                    <w:t>)</w:t>
                  </w:r>
                </w:p>
              </w:tc>
              <w:tc>
                <w:tcPr>
                  <w:tcW w:w="1120" w:type="dxa"/>
                  <w:tcBorders>
                    <w:top w:val="nil"/>
                    <w:left w:val="nil"/>
                    <w:bottom w:val="nil"/>
                    <w:right w:val="nil"/>
                  </w:tcBorders>
                  <w:shd w:val="clear" w:color="auto" w:fill="auto"/>
                  <w:noWrap/>
                  <w:vAlign w:val="bottom"/>
                  <w:hideMark/>
                </w:tcPr>
                <w:p w14:paraId="0EFDC488"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4</w:t>
                  </w:r>
                  <w:r>
                    <w:rPr>
                      <w:rFonts w:ascii="Times New Roman" w:eastAsia="Times New Roman" w:hAnsi="Times New Roman" w:cs="Times New Roman"/>
                      <w:sz w:val="20"/>
                      <w:szCs w:val="20"/>
                      <w:lang w:eastAsia="ko-KR"/>
                    </w:rPr>
                    <w:t>,</w:t>
                  </w:r>
                  <w:r w:rsidRPr="00116F5F">
                    <w:rPr>
                      <w:rFonts w:ascii="Times New Roman" w:eastAsia="Times New Roman" w:hAnsi="Times New Roman" w:cs="Times New Roman"/>
                      <w:sz w:val="20"/>
                      <w:szCs w:val="20"/>
                      <w:lang w:eastAsia="ko-KR"/>
                    </w:rPr>
                    <w:t>817</w:t>
                  </w:r>
                </w:p>
              </w:tc>
              <w:tc>
                <w:tcPr>
                  <w:tcW w:w="1120" w:type="dxa"/>
                  <w:tcBorders>
                    <w:top w:val="nil"/>
                    <w:left w:val="nil"/>
                    <w:bottom w:val="nil"/>
                    <w:right w:val="nil"/>
                  </w:tcBorders>
                  <w:shd w:val="clear" w:color="auto" w:fill="auto"/>
                  <w:noWrap/>
                  <w:vAlign w:val="bottom"/>
                  <w:hideMark/>
                </w:tcPr>
                <w:p w14:paraId="38693FF7"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4</w:t>
                  </w:r>
                  <w:r>
                    <w:rPr>
                      <w:rFonts w:ascii="Times New Roman" w:eastAsia="Times New Roman" w:hAnsi="Times New Roman" w:cs="Times New Roman"/>
                      <w:sz w:val="20"/>
                      <w:szCs w:val="20"/>
                      <w:lang w:eastAsia="ko-KR"/>
                    </w:rPr>
                    <w:t>,</w:t>
                  </w:r>
                  <w:r w:rsidRPr="00116F5F">
                    <w:rPr>
                      <w:rFonts w:ascii="Times New Roman" w:eastAsia="Times New Roman" w:hAnsi="Times New Roman" w:cs="Times New Roman"/>
                      <w:sz w:val="20"/>
                      <w:szCs w:val="20"/>
                      <w:lang w:eastAsia="ko-KR"/>
                    </w:rPr>
                    <w:t>384</w:t>
                  </w:r>
                </w:p>
              </w:tc>
              <w:tc>
                <w:tcPr>
                  <w:tcW w:w="1120" w:type="dxa"/>
                  <w:tcBorders>
                    <w:top w:val="nil"/>
                    <w:left w:val="nil"/>
                    <w:bottom w:val="nil"/>
                    <w:right w:val="nil"/>
                  </w:tcBorders>
                  <w:shd w:val="clear" w:color="auto" w:fill="auto"/>
                  <w:noWrap/>
                  <w:vAlign w:val="bottom"/>
                  <w:hideMark/>
                </w:tcPr>
                <w:p w14:paraId="38C7C72A"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4</w:t>
                  </w:r>
                  <w:r>
                    <w:rPr>
                      <w:rFonts w:ascii="Times New Roman" w:eastAsia="Times New Roman" w:hAnsi="Times New Roman" w:cs="Times New Roman"/>
                      <w:sz w:val="20"/>
                      <w:szCs w:val="20"/>
                      <w:lang w:eastAsia="ko-KR"/>
                    </w:rPr>
                    <w:t>,261</w:t>
                  </w:r>
                </w:p>
              </w:tc>
              <w:tc>
                <w:tcPr>
                  <w:tcW w:w="1120" w:type="dxa"/>
                  <w:tcBorders>
                    <w:top w:val="nil"/>
                    <w:left w:val="nil"/>
                    <w:bottom w:val="nil"/>
                    <w:right w:val="nil"/>
                  </w:tcBorders>
                  <w:shd w:val="clear" w:color="auto" w:fill="auto"/>
                  <w:noWrap/>
                  <w:vAlign w:val="bottom"/>
                  <w:hideMark/>
                </w:tcPr>
                <w:p w14:paraId="63306754"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5,113</w:t>
                  </w:r>
                </w:p>
              </w:tc>
              <w:tc>
                <w:tcPr>
                  <w:tcW w:w="1182" w:type="dxa"/>
                  <w:tcBorders>
                    <w:top w:val="nil"/>
                    <w:left w:val="nil"/>
                    <w:bottom w:val="nil"/>
                    <w:right w:val="nil"/>
                  </w:tcBorders>
                  <w:shd w:val="clear" w:color="auto" w:fill="auto"/>
                  <w:noWrap/>
                  <w:vAlign w:val="bottom"/>
                  <w:hideMark/>
                </w:tcPr>
                <w:p w14:paraId="52F8EFE2"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5,883</w:t>
                  </w:r>
                </w:p>
              </w:tc>
            </w:tr>
            <w:tr w:rsidR="00BD3C6C" w:rsidRPr="00116F5F" w14:paraId="73FEC576" w14:textId="77777777" w:rsidTr="00A43DA5">
              <w:trPr>
                <w:trHeight w:val="255"/>
              </w:trPr>
              <w:tc>
                <w:tcPr>
                  <w:tcW w:w="3482" w:type="dxa"/>
                  <w:tcBorders>
                    <w:top w:val="nil"/>
                    <w:left w:val="nil"/>
                    <w:bottom w:val="nil"/>
                    <w:right w:val="nil"/>
                  </w:tcBorders>
                  <w:shd w:val="clear" w:color="auto" w:fill="auto"/>
                  <w:noWrap/>
                  <w:vAlign w:val="bottom"/>
                  <w:hideMark/>
                </w:tcPr>
                <w:p w14:paraId="2C6D4C5E" w14:textId="7852FC4C" w:rsidR="00BD3C6C" w:rsidRPr="00116F5F" w:rsidRDefault="00BD3C6C">
                  <w:pPr>
                    <w:spacing w:after="0" w:line="240" w:lineRule="auto"/>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w:t>
                  </w:r>
                  <w:r>
                    <w:rPr>
                      <w:rFonts w:ascii="Times New Roman" w:eastAsia="Times New Roman" w:hAnsi="Times New Roman" w:cs="Times New Roman"/>
                      <w:sz w:val="20"/>
                      <w:szCs w:val="20"/>
                      <w:lang w:eastAsia="ko-KR"/>
                    </w:rPr>
                    <w:t xml:space="preserve">, </w:t>
                  </w:r>
                  <w:r w:rsidR="00C177E7">
                    <w:rPr>
                      <w:rFonts w:ascii="Times New Roman" w:eastAsia="Times New Roman" w:hAnsi="Times New Roman" w:cs="Times New Roman"/>
                      <w:sz w:val="20"/>
                      <w:szCs w:val="20"/>
                      <w:lang w:val="mn-MN" w:eastAsia="ko-KR"/>
                    </w:rPr>
                    <w:t>өомү өөрчлөлт</w:t>
                  </w:r>
                  <w:r w:rsidRPr="00116F5F">
                    <w:rPr>
                      <w:rFonts w:ascii="Times New Roman" w:eastAsia="Times New Roman" w:hAnsi="Times New Roman" w:cs="Times New Roman"/>
                      <w:sz w:val="20"/>
                      <w:szCs w:val="20"/>
                      <w:lang w:eastAsia="ko-KR"/>
                    </w:rPr>
                    <w:t>)</w:t>
                  </w:r>
                </w:p>
              </w:tc>
              <w:tc>
                <w:tcPr>
                  <w:tcW w:w="1120" w:type="dxa"/>
                  <w:tcBorders>
                    <w:top w:val="nil"/>
                    <w:left w:val="nil"/>
                    <w:bottom w:val="nil"/>
                    <w:right w:val="nil"/>
                  </w:tcBorders>
                  <w:shd w:val="clear" w:color="auto" w:fill="auto"/>
                  <w:noWrap/>
                  <w:vAlign w:val="bottom"/>
                  <w:hideMark/>
                </w:tcPr>
                <w:p w14:paraId="781773EF"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65.6</w:t>
                  </w:r>
                </w:p>
              </w:tc>
              <w:tc>
                <w:tcPr>
                  <w:tcW w:w="1120" w:type="dxa"/>
                  <w:tcBorders>
                    <w:top w:val="nil"/>
                    <w:left w:val="nil"/>
                    <w:bottom w:val="nil"/>
                    <w:right w:val="nil"/>
                  </w:tcBorders>
                  <w:shd w:val="clear" w:color="auto" w:fill="auto"/>
                  <w:noWrap/>
                  <w:vAlign w:val="bottom"/>
                  <w:hideMark/>
                </w:tcPr>
                <w:p w14:paraId="36C78419"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-9.0</w:t>
                  </w:r>
                </w:p>
              </w:tc>
              <w:tc>
                <w:tcPr>
                  <w:tcW w:w="1120" w:type="dxa"/>
                  <w:tcBorders>
                    <w:top w:val="nil"/>
                    <w:left w:val="nil"/>
                    <w:bottom w:val="nil"/>
                    <w:right w:val="nil"/>
                  </w:tcBorders>
                  <w:shd w:val="clear" w:color="auto" w:fill="auto"/>
                  <w:noWrap/>
                  <w:vAlign w:val="bottom"/>
                  <w:hideMark/>
                </w:tcPr>
                <w:p w14:paraId="1F2378B1"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-2.8</w:t>
                  </w:r>
                </w:p>
              </w:tc>
              <w:tc>
                <w:tcPr>
                  <w:tcW w:w="1120" w:type="dxa"/>
                  <w:tcBorders>
                    <w:top w:val="nil"/>
                    <w:left w:val="nil"/>
                    <w:bottom w:val="nil"/>
                    <w:right w:val="nil"/>
                  </w:tcBorders>
                  <w:shd w:val="clear" w:color="auto" w:fill="auto"/>
                  <w:noWrap/>
                  <w:vAlign w:val="bottom"/>
                  <w:hideMark/>
                </w:tcPr>
                <w:p w14:paraId="2ED9EE53"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19.9</w:t>
                  </w:r>
                </w:p>
              </w:tc>
              <w:tc>
                <w:tcPr>
                  <w:tcW w:w="1182" w:type="dxa"/>
                  <w:tcBorders>
                    <w:top w:val="nil"/>
                    <w:left w:val="nil"/>
                    <w:bottom w:val="nil"/>
                    <w:right w:val="nil"/>
                  </w:tcBorders>
                  <w:shd w:val="clear" w:color="auto" w:fill="auto"/>
                  <w:noWrap/>
                  <w:vAlign w:val="bottom"/>
                  <w:hideMark/>
                </w:tcPr>
                <w:p w14:paraId="7998BFB0"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15.0</w:t>
                  </w:r>
                </w:p>
              </w:tc>
            </w:tr>
            <w:tr w:rsidR="00BD3C6C" w:rsidRPr="00116F5F" w14:paraId="15CD4908" w14:textId="77777777" w:rsidTr="00A43DA5">
              <w:trPr>
                <w:trHeight w:val="255"/>
              </w:trPr>
              <w:tc>
                <w:tcPr>
                  <w:tcW w:w="3482" w:type="dxa"/>
                  <w:tcBorders>
                    <w:top w:val="nil"/>
                    <w:left w:val="nil"/>
                    <w:bottom w:val="nil"/>
                    <w:right w:val="nil"/>
                  </w:tcBorders>
                  <w:shd w:val="clear" w:color="auto" w:fill="auto"/>
                  <w:noWrap/>
                  <w:vAlign w:val="bottom"/>
                  <w:hideMark/>
                </w:tcPr>
                <w:p w14:paraId="0FEA29E5" w14:textId="513EA3B5" w:rsidR="00BD3C6C" w:rsidRPr="00116F5F" w:rsidRDefault="00C177E7" w:rsidP="00A43DA5">
                  <w:pPr>
                    <w:spacing w:after="0" w:line="240" w:lineRule="auto"/>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val="mn-MN" w:eastAsia="ko-KR"/>
                    </w:rPr>
                    <w:t>Барааны импорт</w:t>
                  </w:r>
                  <w:r w:rsidR="00BD3C6C" w:rsidRPr="00116F5F">
                    <w:rPr>
                      <w:rFonts w:ascii="Times New Roman" w:eastAsia="Times New Roman" w:hAnsi="Times New Roman" w:cs="Times New Roman"/>
                      <w:sz w:val="20"/>
                      <w:szCs w:val="20"/>
                      <w:lang w:eastAsia="ko-KR"/>
                    </w:rPr>
                    <w:t xml:space="preserve"> (</w:t>
                  </w:r>
                  <w:r>
                    <w:rPr>
                      <w:rFonts w:ascii="Times New Roman" w:eastAsia="Times New Roman" w:hAnsi="Times New Roman" w:cs="Times New Roman"/>
                      <w:sz w:val="20"/>
                      <w:szCs w:val="20"/>
                      <w:lang w:val="mn-MN" w:eastAsia="ko-KR"/>
                    </w:rPr>
                    <w:t>мян. Ам.доллар</w:t>
                  </w:r>
                  <w:r w:rsidR="00BD3C6C" w:rsidRPr="00116F5F">
                    <w:rPr>
                      <w:rFonts w:ascii="Times New Roman" w:eastAsia="Times New Roman" w:hAnsi="Times New Roman" w:cs="Times New Roman"/>
                      <w:sz w:val="20"/>
                      <w:szCs w:val="20"/>
                      <w:lang w:eastAsia="ko-KR"/>
                    </w:rPr>
                    <w:t>)</w:t>
                  </w:r>
                </w:p>
              </w:tc>
              <w:tc>
                <w:tcPr>
                  <w:tcW w:w="1120" w:type="dxa"/>
                  <w:tcBorders>
                    <w:top w:val="nil"/>
                    <w:left w:val="nil"/>
                    <w:bottom w:val="nil"/>
                    <w:right w:val="nil"/>
                  </w:tcBorders>
                  <w:shd w:val="clear" w:color="auto" w:fill="auto"/>
                  <w:noWrap/>
                  <w:vAlign w:val="bottom"/>
                  <w:hideMark/>
                </w:tcPr>
                <w:p w14:paraId="2555EA91"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6</w:t>
                  </w:r>
                  <w:r>
                    <w:rPr>
                      <w:rFonts w:ascii="Times New Roman" w:eastAsia="Times New Roman" w:hAnsi="Times New Roman" w:cs="Times New Roman"/>
                      <w:sz w:val="20"/>
                      <w:szCs w:val="20"/>
                      <w:lang w:eastAsia="ko-KR"/>
                    </w:rPr>
                    <w:t>,</w:t>
                  </w:r>
                  <w:r w:rsidRPr="00116F5F">
                    <w:rPr>
                      <w:rFonts w:ascii="Times New Roman" w:eastAsia="Times New Roman" w:hAnsi="Times New Roman" w:cs="Times New Roman"/>
                      <w:sz w:val="20"/>
                      <w:szCs w:val="20"/>
                      <w:lang w:eastAsia="ko-KR"/>
                    </w:rPr>
                    <w:t>598</w:t>
                  </w:r>
                </w:p>
              </w:tc>
              <w:tc>
                <w:tcPr>
                  <w:tcW w:w="1120" w:type="dxa"/>
                  <w:tcBorders>
                    <w:top w:val="nil"/>
                    <w:left w:val="nil"/>
                    <w:bottom w:val="nil"/>
                    <w:right w:val="nil"/>
                  </w:tcBorders>
                  <w:shd w:val="clear" w:color="auto" w:fill="auto"/>
                  <w:noWrap/>
                  <w:vAlign w:val="bottom"/>
                  <w:hideMark/>
                </w:tcPr>
                <w:p w14:paraId="6C14953D"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6</w:t>
                  </w:r>
                  <w:r>
                    <w:rPr>
                      <w:rFonts w:ascii="Times New Roman" w:eastAsia="Times New Roman" w:hAnsi="Times New Roman" w:cs="Times New Roman"/>
                      <w:sz w:val="20"/>
                      <w:szCs w:val="20"/>
                      <w:lang w:eastAsia="ko-KR"/>
                    </w:rPr>
                    <w:t>,</w:t>
                  </w:r>
                  <w:r w:rsidRPr="00116F5F">
                    <w:rPr>
                      <w:rFonts w:ascii="Times New Roman" w:eastAsia="Times New Roman" w:hAnsi="Times New Roman" w:cs="Times New Roman"/>
                      <w:sz w:val="20"/>
                      <w:szCs w:val="20"/>
                      <w:lang w:eastAsia="ko-KR"/>
                    </w:rPr>
                    <w:t>738</w:t>
                  </w:r>
                </w:p>
              </w:tc>
              <w:tc>
                <w:tcPr>
                  <w:tcW w:w="1120" w:type="dxa"/>
                  <w:tcBorders>
                    <w:top w:val="nil"/>
                    <w:left w:val="nil"/>
                    <w:bottom w:val="nil"/>
                    <w:right w:val="nil"/>
                  </w:tcBorders>
                  <w:shd w:val="clear" w:color="auto" w:fill="auto"/>
                  <w:noWrap/>
                  <w:vAlign w:val="bottom"/>
                  <w:hideMark/>
                </w:tcPr>
                <w:p w14:paraId="6CAE39D2"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6</w:t>
                  </w:r>
                  <w:r>
                    <w:rPr>
                      <w:rFonts w:ascii="Times New Roman" w:eastAsia="Times New Roman" w:hAnsi="Times New Roman" w:cs="Times New Roman"/>
                      <w:sz w:val="20"/>
                      <w:szCs w:val="20"/>
                      <w:lang w:eastAsia="ko-KR"/>
                    </w:rPr>
                    <w:t>,522</w:t>
                  </w:r>
                </w:p>
              </w:tc>
              <w:tc>
                <w:tcPr>
                  <w:tcW w:w="1120" w:type="dxa"/>
                  <w:tcBorders>
                    <w:top w:val="nil"/>
                    <w:left w:val="nil"/>
                    <w:bottom w:val="nil"/>
                    <w:right w:val="nil"/>
                  </w:tcBorders>
                  <w:shd w:val="clear" w:color="auto" w:fill="auto"/>
                  <w:noWrap/>
                  <w:vAlign w:val="bottom"/>
                  <w:hideMark/>
                </w:tcPr>
                <w:p w14:paraId="72ED2672"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6,717</w:t>
                  </w:r>
                </w:p>
              </w:tc>
              <w:tc>
                <w:tcPr>
                  <w:tcW w:w="1182" w:type="dxa"/>
                  <w:tcBorders>
                    <w:top w:val="nil"/>
                    <w:left w:val="nil"/>
                    <w:bottom w:val="nil"/>
                    <w:right w:val="nil"/>
                  </w:tcBorders>
                  <w:shd w:val="clear" w:color="auto" w:fill="auto"/>
                  <w:noWrap/>
                  <w:vAlign w:val="bottom"/>
                  <w:hideMark/>
                </w:tcPr>
                <w:p w14:paraId="0EE8D8AE"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7,388</w:t>
                  </w:r>
                </w:p>
              </w:tc>
            </w:tr>
            <w:tr w:rsidR="00BD3C6C" w:rsidRPr="00116F5F" w14:paraId="7F32B099" w14:textId="77777777" w:rsidTr="00A43DA5">
              <w:trPr>
                <w:trHeight w:val="255"/>
              </w:trPr>
              <w:tc>
                <w:tcPr>
                  <w:tcW w:w="3482" w:type="dxa"/>
                  <w:tcBorders>
                    <w:top w:val="nil"/>
                    <w:left w:val="nil"/>
                    <w:bottom w:val="nil"/>
                    <w:right w:val="nil"/>
                  </w:tcBorders>
                  <w:shd w:val="clear" w:color="auto" w:fill="auto"/>
                  <w:noWrap/>
                  <w:vAlign w:val="bottom"/>
                  <w:hideMark/>
                </w:tcPr>
                <w:p w14:paraId="7F7765C2" w14:textId="6B1B3B75" w:rsidR="00BD3C6C" w:rsidRPr="00116F5F" w:rsidRDefault="00BD3C6C" w:rsidP="00A43DA5">
                  <w:pPr>
                    <w:spacing w:after="0" w:line="240" w:lineRule="auto"/>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w:t>
                  </w:r>
                  <w:r w:rsidRPr="00116F5F">
                    <w:rPr>
                      <w:rFonts w:ascii="Times New Roman" w:eastAsia="Times New Roman" w:hAnsi="Times New Roman" w:cs="Times New Roman"/>
                      <w:sz w:val="20"/>
                      <w:szCs w:val="20"/>
                      <w:lang w:eastAsia="ko-KR"/>
                    </w:rPr>
                    <w:t>%</w:t>
                  </w:r>
                  <w:r>
                    <w:rPr>
                      <w:rFonts w:ascii="Times New Roman" w:eastAsia="Times New Roman" w:hAnsi="Times New Roman" w:cs="Times New Roman"/>
                      <w:sz w:val="20"/>
                      <w:szCs w:val="20"/>
                      <w:lang w:eastAsia="ko-KR"/>
                    </w:rPr>
                    <w:t>,</w:t>
                  </w:r>
                  <w:r w:rsidR="00C177E7">
                    <w:rPr>
                      <w:rFonts w:ascii="Times New Roman" w:eastAsia="Times New Roman" w:hAnsi="Times New Roman" w:cs="Times New Roman"/>
                      <w:sz w:val="20"/>
                      <w:szCs w:val="20"/>
                      <w:lang w:val="mn-MN" w:eastAsia="ko-KR"/>
                    </w:rPr>
                    <w:t>өомү өөрчлөлт</w:t>
                  </w:r>
                  <w:r w:rsidRPr="00116F5F">
                    <w:rPr>
                      <w:rFonts w:ascii="Times New Roman" w:eastAsia="Times New Roman" w:hAnsi="Times New Roman" w:cs="Times New Roman"/>
                      <w:sz w:val="20"/>
                      <w:szCs w:val="20"/>
                      <w:lang w:eastAsia="ko-KR"/>
                    </w:rPr>
                    <w:t>)</w:t>
                  </w:r>
                </w:p>
              </w:tc>
              <w:tc>
                <w:tcPr>
                  <w:tcW w:w="1120" w:type="dxa"/>
                  <w:tcBorders>
                    <w:top w:val="nil"/>
                    <w:left w:val="nil"/>
                    <w:bottom w:val="nil"/>
                    <w:right w:val="nil"/>
                  </w:tcBorders>
                  <w:shd w:val="clear" w:color="auto" w:fill="auto"/>
                  <w:noWrap/>
                  <w:vAlign w:val="bottom"/>
                  <w:hideMark/>
                </w:tcPr>
                <w:p w14:paraId="2287C9FA"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101.3</w:t>
                  </w:r>
                </w:p>
              </w:tc>
              <w:tc>
                <w:tcPr>
                  <w:tcW w:w="1120" w:type="dxa"/>
                  <w:tcBorders>
                    <w:top w:val="nil"/>
                    <w:left w:val="nil"/>
                    <w:bottom w:val="nil"/>
                    <w:right w:val="nil"/>
                  </w:tcBorders>
                  <w:shd w:val="clear" w:color="auto" w:fill="auto"/>
                  <w:noWrap/>
                  <w:vAlign w:val="bottom"/>
                  <w:hideMark/>
                </w:tcPr>
                <w:p w14:paraId="4E5C3118"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2.1</w:t>
                  </w:r>
                </w:p>
              </w:tc>
              <w:tc>
                <w:tcPr>
                  <w:tcW w:w="1120" w:type="dxa"/>
                  <w:tcBorders>
                    <w:top w:val="nil"/>
                    <w:left w:val="nil"/>
                    <w:bottom w:val="nil"/>
                    <w:right w:val="nil"/>
                  </w:tcBorders>
                  <w:shd w:val="clear" w:color="auto" w:fill="auto"/>
                  <w:noWrap/>
                  <w:vAlign w:val="bottom"/>
                  <w:hideMark/>
                </w:tcPr>
                <w:p w14:paraId="41D4452D"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-3.2</w:t>
                  </w:r>
                </w:p>
              </w:tc>
              <w:tc>
                <w:tcPr>
                  <w:tcW w:w="1120" w:type="dxa"/>
                  <w:tcBorders>
                    <w:top w:val="nil"/>
                    <w:left w:val="nil"/>
                    <w:bottom w:val="nil"/>
                    <w:right w:val="nil"/>
                  </w:tcBorders>
                  <w:shd w:val="clear" w:color="auto" w:fill="auto"/>
                  <w:noWrap/>
                  <w:vAlign w:val="bottom"/>
                  <w:hideMark/>
                </w:tcPr>
                <w:p w14:paraId="076EB8ED"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2.9</w:t>
                  </w:r>
                </w:p>
              </w:tc>
              <w:tc>
                <w:tcPr>
                  <w:tcW w:w="1182" w:type="dxa"/>
                  <w:tcBorders>
                    <w:top w:val="nil"/>
                    <w:left w:val="nil"/>
                    <w:bottom w:val="nil"/>
                    <w:right w:val="nil"/>
                  </w:tcBorders>
                  <w:shd w:val="clear" w:color="auto" w:fill="auto"/>
                  <w:noWrap/>
                  <w:vAlign w:val="bottom"/>
                  <w:hideMark/>
                </w:tcPr>
                <w:p w14:paraId="3DB90CF4"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9.8</w:t>
                  </w:r>
                </w:p>
              </w:tc>
            </w:tr>
            <w:tr w:rsidR="00BD3C6C" w:rsidRPr="00116F5F" w14:paraId="57C5B2D6" w14:textId="77777777" w:rsidTr="00A43DA5">
              <w:trPr>
                <w:trHeight w:val="255"/>
              </w:trPr>
              <w:tc>
                <w:tcPr>
                  <w:tcW w:w="3482" w:type="dxa"/>
                  <w:tcBorders>
                    <w:top w:val="nil"/>
                    <w:left w:val="nil"/>
                    <w:bottom w:val="nil"/>
                    <w:right w:val="nil"/>
                  </w:tcBorders>
                  <w:shd w:val="clear" w:color="auto" w:fill="auto"/>
                  <w:noWrap/>
                  <w:vAlign w:val="bottom"/>
                  <w:hideMark/>
                </w:tcPr>
                <w:p w14:paraId="56ADD41E" w14:textId="50748930" w:rsidR="00BD3C6C" w:rsidRPr="00116F5F" w:rsidRDefault="00C177E7" w:rsidP="00A43DA5">
                  <w:pPr>
                    <w:spacing w:after="0" w:line="240" w:lineRule="auto"/>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val="mn-MN" w:eastAsia="ko-KR"/>
                    </w:rPr>
                    <w:t>Урсгал данс</w:t>
                  </w:r>
                  <w:r w:rsidR="00BD3C6C" w:rsidRPr="00116F5F">
                    <w:rPr>
                      <w:rFonts w:ascii="Times New Roman" w:eastAsia="Times New Roman" w:hAnsi="Times New Roman" w:cs="Times New Roman"/>
                      <w:sz w:val="20"/>
                      <w:szCs w:val="20"/>
                      <w:lang w:eastAsia="ko-KR"/>
                    </w:rPr>
                    <w:t xml:space="preserve"> (</w:t>
                  </w:r>
                  <w:r>
                    <w:rPr>
                      <w:rFonts w:ascii="Times New Roman" w:eastAsia="Times New Roman" w:hAnsi="Times New Roman" w:cs="Times New Roman"/>
                      <w:sz w:val="20"/>
                      <w:szCs w:val="20"/>
                      <w:lang w:val="mn-MN" w:eastAsia="ko-KR"/>
                    </w:rPr>
                    <w:t>мян. Ам.доллар</w:t>
                  </w:r>
                  <w:r w:rsidR="00BD3C6C" w:rsidRPr="00116F5F">
                    <w:rPr>
                      <w:rFonts w:ascii="Times New Roman" w:eastAsia="Times New Roman" w:hAnsi="Times New Roman" w:cs="Times New Roman"/>
                      <w:sz w:val="20"/>
                      <w:szCs w:val="20"/>
                      <w:lang w:eastAsia="ko-KR"/>
                    </w:rPr>
                    <w:t>)</w:t>
                  </w:r>
                </w:p>
              </w:tc>
              <w:tc>
                <w:tcPr>
                  <w:tcW w:w="1120" w:type="dxa"/>
                  <w:tcBorders>
                    <w:top w:val="nil"/>
                    <w:left w:val="nil"/>
                    <w:bottom w:val="nil"/>
                    <w:right w:val="nil"/>
                  </w:tcBorders>
                  <w:shd w:val="clear" w:color="auto" w:fill="auto"/>
                  <w:noWrap/>
                  <w:vAlign w:val="bottom"/>
                  <w:hideMark/>
                </w:tcPr>
                <w:p w14:paraId="65AF6A86"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-2,758</w:t>
                  </w:r>
                </w:p>
              </w:tc>
              <w:tc>
                <w:tcPr>
                  <w:tcW w:w="1120" w:type="dxa"/>
                  <w:tcBorders>
                    <w:top w:val="nil"/>
                    <w:left w:val="nil"/>
                    <w:bottom w:val="nil"/>
                    <w:right w:val="nil"/>
                  </w:tcBorders>
                  <w:shd w:val="clear" w:color="auto" w:fill="auto"/>
                  <w:noWrap/>
                  <w:vAlign w:val="bottom"/>
                  <w:hideMark/>
                </w:tcPr>
                <w:p w14:paraId="1596788A"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-3362</w:t>
                  </w:r>
                </w:p>
              </w:tc>
              <w:tc>
                <w:tcPr>
                  <w:tcW w:w="1120" w:type="dxa"/>
                  <w:tcBorders>
                    <w:top w:val="nil"/>
                    <w:left w:val="nil"/>
                    <w:bottom w:val="nil"/>
                    <w:right w:val="nil"/>
                  </w:tcBorders>
                  <w:shd w:val="clear" w:color="auto" w:fill="auto"/>
                  <w:noWrap/>
                  <w:vAlign w:val="bottom"/>
                  <w:hideMark/>
                </w:tcPr>
                <w:p w14:paraId="489B0226"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3,259</w:t>
                  </w:r>
                </w:p>
              </w:tc>
              <w:tc>
                <w:tcPr>
                  <w:tcW w:w="1120" w:type="dxa"/>
                  <w:tcBorders>
                    <w:top w:val="nil"/>
                    <w:left w:val="nil"/>
                    <w:bottom w:val="nil"/>
                    <w:right w:val="nil"/>
                  </w:tcBorders>
                  <w:shd w:val="clear" w:color="auto" w:fill="auto"/>
                  <w:noWrap/>
                  <w:vAlign w:val="bottom"/>
                  <w:hideMark/>
                </w:tcPr>
                <w:p w14:paraId="7DAE5899"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2</w:t>
                  </w:r>
                  <w:r>
                    <w:rPr>
                      <w:rFonts w:ascii="Times New Roman" w:eastAsia="Times New Roman" w:hAnsi="Times New Roman" w:cs="Times New Roman"/>
                      <w:sz w:val="20"/>
                      <w:szCs w:val="20"/>
                      <w:lang w:eastAsia="ko-KR"/>
                    </w:rPr>
                    <w:t>,198</w:t>
                  </w:r>
                </w:p>
              </w:tc>
              <w:tc>
                <w:tcPr>
                  <w:tcW w:w="1182" w:type="dxa"/>
                  <w:tcBorders>
                    <w:top w:val="nil"/>
                    <w:left w:val="nil"/>
                    <w:bottom w:val="nil"/>
                    <w:right w:val="nil"/>
                  </w:tcBorders>
                  <w:shd w:val="clear" w:color="auto" w:fill="auto"/>
                  <w:noWrap/>
                  <w:vAlign w:val="bottom"/>
                  <w:hideMark/>
                </w:tcPr>
                <w:p w14:paraId="2489DBE5"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1,856</w:t>
                  </w:r>
                </w:p>
              </w:tc>
            </w:tr>
            <w:tr w:rsidR="00BD3C6C" w:rsidRPr="00116F5F" w14:paraId="25F67956" w14:textId="77777777" w:rsidTr="00A43DA5">
              <w:trPr>
                <w:trHeight w:val="255"/>
              </w:trPr>
              <w:tc>
                <w:tcPr>
                  <w:tcW w:w="3482" w:type="dxa"/>
                  <w:tcBorders>
                    <w:top w:val="nil"/>
                    <w:left w:val="nil"/>
                    <w:bottom w:val="nil"/>
                    <w:right w:val="nil"/>
                  </w:tcBorders>
                  <w:shd w:val="clear" w:color="auto" w:fill="auto"/>
                  <w:noWrap/>
                  <w:vAlign w:val="bottom"/>
                  <w:hideMark/>
                </w:tcPr>
                <w:p w14:paraId="566AA2FE" w14:textId="21BFC75D" w:rsidR="00BD3C6C" w:rsidRPr="00116F5F" w:rsidRDefault="00BD3C6C" w:rsidP="00A43DA5">
                  <w:pPr>
                    <w:spacing w:after="0" w:line="240" w:lineRule="auto"/>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w:t>
                  </w:r>
                  <w:r w:rsidR="00C177E7">
                    <w:rPr>
                      <w:rFonts w:ascii="Times New Roman" w:eastAsia="Times New Roman" w:hAnsi="Times New Roman" w:cs="Times New Roman"/>
                      <w:sz w:val="20"/>
                      <w:szCs w:val="20"/>
                      <w:lang w:val="mn-MN" w:eastAsia="ko-KR"/>
                    </w:rPr>
                    <w:t xml:space="preserve"> ДНБ</w:t>
                  </w:r>
                  <w:r w:rsidRPr="00116F5F">
                    <w:rPr>
                      <w:rFonts w:ascii="Times New Roman" w:eastAsia="Times New Roman" w:hAnsi="Times New Roman" w:cs="Times New Roman"/>
                      <w:sz w:val="20"/>
                      <w:szCs w:val="20"/>
                      <w:lang w:eastAsia="ko-KR"/>
                    </w:rPr>
                    <w:t>)</w:t>
                  </w:r>
                </w:p>
              </w:tc>
              <w:tc>
                <w:tcPr>
                  <w:tcW w:w="1120" w:type="dxa"/>
                  <w:tcBorders>
                    <w:top w:val="nil"/>
                    <w:left w:val="nil"/>
                    <w:bottom w:val="nil"/>
                    <w:right w:val="nil"/>
                  </w:tcBorders>
                  <w:shd w:val="clear" w:color="auto" w:fill="auto"/>
                  <w:noWrap/>
                  <w:vAlign w:val="bottom"/>
                  <w:hideMark/>
                </w:tcPr>
                <w:p w14:paraId="53FBCFA7"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-31.7</w:t>
                  </w:r>
                </w:p>
              </w:tc>
              <w:tc>
                <w:tcPr>
                  <w:tcW w:w="1120" w:type="dxa"/>
                  <w:tcBorders>
                    <w:top w:val="nil"/>
                    <w:left w:val="nil"/>
                    <w:bottom w:val="nil"/>
                    <w:right w:val="nil"/>
                  </w:tcBorders>
                  <w:shd w:val="clear" w:color="auto" w:fill="auto"/>
                  <w:noWrap/>
                  <w:vAlign w:val="bottom"/>
                  <w:hideMark/>
                </w:tcPr>
                <w:p w14:paraId="7E5A0A4A"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-32.8</w:t>
                  </w:r>
                </w:p>
              </w:tc>
              <w:tc>
                <w:tcPr>
                  <w:tcW w:w="1120" w:type="dxa"/>
                  <w:tcBorders>
                    <w:top w:val="nil"/>
                    <w:left w:val="nil"/>
                    <w:bottom w:val="nil"/>
                    <w:right w:val="nil"/>
                  </w:tcBorders>
                  <w:shd w:val="clear" w:color="auto" w:fill="auto"/>
                  <w:noWrap/>
                  <w:vAlign w:val="bottom"/>
                  <w:hideMark/>
                </w:tcPr>
                <w:p w14:paraId="5F49A3CE"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29.7</w:t>
                  </w:r>
                </w:p>
              </w:tc>
              <w:tc>
                <w:tcPr>
                  <w:tcW w:w="1120" w:type="dxa"/>
                  <w:tcBorders>
                    <w:top w:val="nil"/>
                    <w:left w:val="nil"/>
                    <w:bottom w:val="nil"/>
                    <w:right w:val="nil"/>
                  </w:tcBorders>
                  <w:shd w:val="clear" w:color="auto" w:fill="auto"/>
                  <w:noWrap/>
                  <w:vAlign w:val="bottom"/>
                  <w:hideMark/>
                </w:tcPr>
                <w:p w14:paraId="271DF778"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16.7</w:t>
                  </w:r>
                </w:p>
              </w:tc>
              <w:tc>
                <w:tcPr>
                  <w:tcW w:w="1182" w:type="dxa"/>
                  <w:tcBorders>
                    <w:top w:val="nil"/>
                    <w:left w:val="nil"/>
                    <w:bottom w:val="nil"/>
                    <w:right w:val="nil"/>
                  </w:tcBorders>
                  <w:shd w:val="clear" w:color="auto" w:fill="auto"/>
                  <w:noWrap/>
                  <w:vAlign w:val="bottom"/>
                  <w:hideMark/>
                </w:tcPr>
                <w:p w14:paraId="43AB8412"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11.6</w:t>
                  </w:r>
                </w:p>
              </w:tc>
            </w:tr>
            <w:tr w:rsidR="00BD3C6C" w:rsidRPr="00116F5F" w14:paraId="3925FCF6" w14:textId="77777777" w:rsidTr="00A43DA5">
              <w:trPr>
                <w:trHeight w:val="255"/>
              </w:trPr>
              <w:tc>
                <w:tcPr>
                  <w:tcW w:w="3482" w:type="dxa"/>
                  <w:tcBorders>
                    <w:top w:val="nil"/>
                    <w:left w:val="nil"/>
                    <w:bottom w:val="nil"/>
                    <w:right w:val="nil"/>
                  </w:tcBorders>
                  <w:shd w:val="clear" w:color="auto" w:fill="auto"/>
                  <w:noWrap/>
                  <w:vAlign w:val="bottom"/>
                  <w:hideMark/>
                </w:tcPr>
                <w:p w14:paraId="7B99A710" w14:textId="1A55CCD4" w:rsidR="00BD3C6C" w:rsidRPr="00116F5F" w:rsidRDefault="00C177E7" w:rsidP="00A43DA5">
                  <w:pPr>
                    <w:spacing w:after="0" w:line="240" w:lineRule="auto"/>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val="mn-MN" w:eastAsia="ko-KR"/>
                    </w:rPr>
                    <w:t>Гадаадын шууд хөрөнгө оруулалт</w:t>
                  </w:r>
                  <w:r w:rsidR="00BD3C6C" w:rsidRPr="00116F5F">
                    <w:rPr>
                      <w:rFonts w:ascii="Times New Roman" w:eastAsia="Times New Roman" w:hAnsi="Times New Roman" w:cs="Times New Roman"/>
                      <w:sz w:val="20"/>
                      <w:szCs w:val="20"/>
                      <w:lang w:eastAsia="ko-KR"/>
                    </w:rPr>
                    <w:t xml:space="preserve"> (</w:t>
                  </w:r>
                  <w:r>
                    <w:rPr>
                      <w:rFonts w:ascii="Times New Roman" w:eastAsia="Times New Roman" w:hAnsi="Times New Roman" w:cs="Times New Roman"/>
                      <w:sz w:val="20"/>
                      <w:szCs w:val="20"/>
                      <w:lang w:val="mn-MN" w:eastAsia="ko-KR"/>
                    </w:rPr>
                    <w:t>мян. Ам.доллар</w:t>
                  </w:r>
                  <w:r w:rsidR="00BD3C6C" w:rsidRPr="00116F5F">
                    <w:rPr>
                      <w:rFonts w:ascii="Times New Roman" w:eastAsia="Times New Roman" w:hAnsi="Times New Roman" w:cs="Times New Roman"/>
                      <w:sz w:val="20"/>
                      <w:szCs w:val="20"/>
                      <w:lang w:eastAsia="ko-KR"/>
                    </w:rPr>
                    <w:t>)</w:t>
                  </w:r>
                </w:p>
              </w:tc>
              <w:tc>
                <w:tcPr>
                  <w:tcW w:w="1120" w:type="dxa"/>
                  <w:tcBorders>
                    <w:top w:val="nil"/>
                    <w:left w:val="nil"/>
                    <w:bottom w:val="nil"/>
                    <w:right w:val="nil"/>
                  </w:tcBorders>
                  <w:shd w:val="clear" w:color="auto" w:fill="auto"/>
                  <w:noWrap/>
                  <w:vAlign w:val="bottom"/>
                  <w:hideMark/>
                </w:tcPr>
                <w:p w14:paraId="50AB1450"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4</w:t>
                  </w:r>
                  <w:r>
                    <w:rPr>
                      <w:rFonts w:ascii="Times New Roman" w:eastAsia="Times New Roman" w:hAnsi="Times New Roman" w:cs="Times New Roman"/>
                      <w:sz w:val="20"/>
                      <w:szCs w:val="20"/>
                      <w:lang w:eastAsia="ko-KR"/>
                    </w:rPr>
                    <w:t>,</w:t>
                  </w:r>
                  <w:r w:rsidRPr="00116F5F">
                    <w:rPr>
                      <w:rFonts w:ascii="Times New Roman" w:eastAsia="Times New Roman" w:hAnsi="Times New Roman" w:cs="Times New Roman"/>
                      <w:sz w:val="20"/>
                      <w:szCs w:val="20"/>
                      <w:lang w:eastAsia="ko-KR"/>
                    </w:rPr>
                    <w:t>620</w:t>
                  </w:r>
                </w:p>
              </w:tc>
              <w:tc>
                <w:tcPr>
                  <w:tcW w:w="1120" w:type="dxa"/>
                  <w:tcBorders>
                    <w:top w:val="nil"/>
                    <w:left w:val="nil"/>
                    <w:bottom w:val="nil"/>
                    <w:right w:val="nil"/>
                  </w:tcBorders>
                  <w:shd w:val="clear" w:color="auto" w:fill="auto"/>
                  <w:noWrap/>
                  <w:vAlign w:val="bottom"/>
                  <w:hideMark/>
                </w:tcPr>
                <w:p w14:paraId="4E371282"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4</w:t>
                  </w:r>
                  <w:r>
                    <w:rPr>
                      <w:rFonts w:ascii="Times New Roman" w:eastAsia="Times New Roman" w:hAnsi="Times New Roman" w:cs="Times New Roman"/>
                      <w:sz w:val="20"/>
                      <w:szCs w:val="20"/>
                      <w:lang w:eastAsia="ko-KR"/>
                    </w:rPr>
                    <w:t>,</w:t>
                  </w:r>
                  <w:r w:rsidRPr="00116F5F">
                    <w:rPr>
                      <w:rFonts w:ascii="Times New Roman" w:eastAsia="Times New Roman" w:hAnsi="Times New Roman" w:cs="Times New Roman"/>
                      <w:sz w:val="20"/>
                      <w:szCs w:val="20"/>
                      <w:lang w:eastAsia="ko-KR"/>
                    </w:rPr>
                    <w:t>407</w:t>
                  </w:r>
                </w:p>
              </w:tc>
              <w:tc>
                <w:tcPr>
                  <w:tcW w:w="1120" w:type="dxa"/>
                  <w:tcBorders>
                    <w:top w:val="nil"/>
                    <w:left w:val="nil"/>
                    <w:bottom w:val="nil"/>
                    <w:right w:val="nil"/>
                  </w:tcBorders>
                  <w:shd w:val="clear" w:color="auto" w:fill="auto"/>
                  <w:noWrap/>
                  <w:vAlign w:val="bottom"/>
                  <w:hideMark/>
                </w:tcPr>
                <w:p w14:paraId="31CDF013"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1</w:t>
                  </w:r>
                  <w:r>
                    <w:rPr>
                      <w:rFonts w:ascii="Times New Roman" w:eastAsia="Times New Roman" w:hAnsi="Times New Roman" w:cs="Times New Roman"/>
                      <w:sz w:val="20"/>
                      <w:szCs w:val="20"/>
                      <w:lang w:eastAsia="ko-KR"/>
                    </w:rPr>
                    <w:t>,</w:t>
                  </w:r>
                  <w:r w:rsidRPr="00116F5F">
                    <w:rPr>
                      <w:rFonts w:ascii="Times New Roman" w:eastAsia="Times New Roman" w:hAnsi="Times New Roman" w:cs="Times New Roman"/>
                      <w:sz w:val="20"/>
                      <w:szCs w:val="20"/>
                      <w:lang w:eastAsia="ko-KR"/>
                    </w:rPr>
                    <w:t>951</w:t>
                  </w:r>
                </w:p>
              </w:tc>
              <w:tc>
                <w:tcPr>
                  <w:tcW w:w="1120" w:type="dxa"/>
                  <w:tcBorders>
                    <w:top w:val="nil"/>
                    <w:left w:val="nil"/>
                    <w:bottom w:val="nil"/>
                    <w:right w:val="nil"/>
                  </w:tcBorders>
                  <w:shd w:val="clear" w:color="auto" w:fill="auto"/>
                  <w:noWrap/>
                  <w:vAlign w:val="bottom"/>
                  <w:hideMark/>
                </w:tcPr>
                <w:p w14:paraId="447FE37E"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2</w:t>
                  </w:r>
                  <w:r>
                    <w:rPr>
                      <w:rFonts w:ascii="Times New Roman" w:eastAsia="Times New Roman" w:hAnsi="Times New Roman" w:cs="Times New Roman"/>
                      <w:sz w:val="20"/>
                      <w:szCs w:val="20"/>
                      <w:lang w:eastAsia="ko-KR"/>
                    </w:rPr>
                    <w:t>,</w:t>
                  </w:r>
                  <w:r w:rsidRPr="00116F5F">
                    <w:rPr>
                      <w:rFonts w:ascii="Times New Roman" w:eastAsia="Times New Roman" w:hAnsi="Times New Roman" w:cs="Times New Roman"/>
                      <w:sz w:val="20"/>
                      <w:szCs w:val="20"/>
                      <w:lang w:eastAsia="ko-KR"/>
                    </w:rPr>
                    <w:t>228</w:t>
                  </w:r>
                </w:p>
              </w:tc>
              <w:tc>
                <w:tcPr>
                  <w:tcW w:w="1182" w:type="dxa"/>
                  <w:tcBorders>
                    <w:top w:val="nil"/>
                    <w:left w:val="nil"/>
                    <w:bottom w:val="nil"/>
                    <w:right w:val="nil"/>
                  </w:tcBorders>
                  <w:shd w:val="clear" w:color="auto" w:fill="auto"/>
                  <w:noWrap/>
                  <w:vAlign w:val="bottom"/>
                  <w:hideMark/>
                </w:tcPr>
                <w:p w14:paraId="79472366"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w:t>
                  </w:r>
                </w:p>
              </w:tc>
            </w:tr>
            <w:tr w:rsidR="00BD3C6C" w:rsidRPr="00116F5F" w14:paraId="04218763" w14:textId="77777777" w:rsidTr="00A43DA5">
              <w:trPr>
                <w:trHeight w:val="255"/>
              </w:trPr>
              <w:tc>
                <w:tcPr>
                  <w:tcW w:w="3482" w:type="dxa"/>
                  <w:tcBorders>
                    <w:top w:val="nil"/>
                    <w:left w:val="nil"/>
                    <w:bottom w:val="nil"/>
                    <w:right w:val="nil"/>
                  </w:tcBorders>
                  <w:shd w:val="clear" w:color="auto" w:fill="auto"/>
                  <w:noWrap/>
                  <w:vAlign w:val="bottom"/>
                  <w:hideMark/>
                </w:tcPr>
                <w:p w14:paraId="01663B6B" w14:textId="3489AE81" w:rsidR="00BD3C6C" w:rsidRPr="00116F5F" w:rsidRDefault="00C177E7" w:rsidP="00A43DA5">
                  <w:pPr>
                    <w:spacing w:after="0" w:line="240" w:lineRule="auto"/>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val="mn-MN" w:eastAsia="ko-KR"/>
                    </w:rPr>
                    <w:t>Нийт албан нөөц</w:t>
                  </w:r>
                  <w:r w:rsidR="00BD3C6C" w:rsidRPr="00116F5F">
                    <w:rPr>
                      <w:rFonts w:ascii="Times New Roman" w:eastAsia="Times New Roman" w:hAnsi="Times New Roman" w:cs="Times New Roman"/>
                      <w:sz w:val="20"/>
                      <w:szCs w:val="20"/>
                      <w:lang w:eastAsia="ko-KR"/>
                    </w:rPr>
                    <w:t xml:space="preserve"> (</w:t>
                  </w:r>
                  <w:r>
                    <w:rPr>
                      <w:rFonts w:ascii="Times New Roman" w:eastAsia="Times New Roman" w:hAnsi="Times New Roman" w:cs="Times New Roman"/>
                      <w:sz w:val="20"/>
                      <w:szCs w:val="20"/>
                      <w:lang w:val="mn-MN" w:eastAsia="ko-KR"/>
                    </w:rPr>
                    <w:t>мян. Ам.доллар</w:t>
                  </w:r>
                  <w:r w:rsidR="00BD3C6C" w:rsidRPr="00116F5F">
                    <w:rPr>
                      <w:rFonts w:ascii="Times New Roman" w:eastAsia="Times New Roman" w:hAnsi="Times New Roman" w:cs="Times New Roman"/>
                      <w:sz w:val="20"/>
                      <w:szCs w:val="20"/>
                      <w:lang w:eastAsia="ko-KR"/>
                    </w:rPr>
                    <w:t>)</w:t>
                  </w:r>
                </w:p>
              </w:tc>
              <w:tc>
                <w:tcPr>
                  <w:tcW w:w="1120" w:type="dxa"/>
                  <w:tcBorders>
                    <w:top w:val="nil"/>
                    <w:left w:val="nil"/>
                    <w:bottom w:val="nil"/>
                    <w:right w:val="nil"/>
                  </w:tcBorders>
                  <w:shd w:val="clear" w:color="auto" w:fill="auto"/>
                  <w:noWrap/>
                  <w:vAlign w:val="bottom"/>
                  <w:hideMark/>
                </w:tcPr>
                <w:p w14:paraId="4A022760"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2</w:t>
                  </w:r>
                  <w:r>
                    <w:rPr>
                      <w:rFonts w:ascii="Times New Roman" w:eastAsia="Times New Roman" w:hAnsi="Times New Roman" w:cs="Times New Roman"/>
                      <w:sz w:val="20"/>
                      <w:szCs w:val="20"/>
                      <w:lang w:eastAsia="ko-KR"/>
                    </w:rPr>
                    <w:t>,</w:t>
                  </w:r>
                  <w:r w:rsidRPr="00116F5F">
                    <w:rPr>
                      <w:rFonts w:ascii="Times New Roman" w:eastAsia="Times New Roman" w:hAnsi="Times New Roman" w:cs="Times New Roman"/>
                      <w:sz w:val="20"/>
                      <w:szCs w:val="20"/>
                      <w:lang w:eastAsia="ko-KR"/>
                    </w:rPr>
                    <w:t>630</w:t>
                  </w:r>
                </w:p>
              </w:tc>
              <w:tc>
                <w:tcPr>
                  <w:tcW w:w="1120" w:type="dxa"/>
                  <w:tcBorders>
                    <w:top w:val="nil"/>
                    <w:left w:val="nil"/>
                    <w:bottom w:val="nil"/>
                    <w:right w:val="nil"/>
                  </w:tcBorders>
                  <w:shd w:val="clear" w:color="auto" w:fill="auto"/>
                  <w:noWrap/>
                  <w:vAlign w:val="bottom"/>
                  <w:hideMark/>
                </w:tcPr>
                <w:p w14:paraId="4FAD6DDC"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4</w:t>
                  </w:r>
                  <w:r>
                    <w:rPr>
                      <w:rFonts w:ascii="Times New Roman" w:eastAsia="Times New Roman" w:hAnsi="Times New Roman" w:cs="Times New Roman"/>
                      <w:sz w:val="20"/>
                      <w:szCs w:val="20"/>
                      <w:lang w:eastAsia="ko-KR"/>
                    </w:rPr>
                    <w:t>,</w:t>
                  </w:r>
                  <w:r w:rsidRPr="00116F5F">
                    <w:rPr>
                      <w:rFonts w:ascii="Times New Roman" w:eastAsia="Times New Roman" w:hAnsi="Times New Roman" w:cs="Times New Roman"/>
                      <w:sz w:val="20"/>
                      <w:szCs w:val="20"/>
                      <w:lang w:eastAsia="ko-KR"/>
                    </w:rPr>
                    <w:t>126</w:t>
                  </w:r>
                </w:p>
              </w:tc>
              <w:tc>
                <w:tcPr>
                  <w:tcW w:w="1120" w:type="dxa"/>
                  <w:tcBorders>
                    <w:top w:val="nil"/>
                    <w:left w:val="nil"/>
                    <w:bottom w:val="nil"/>
                    <w:right w:val="nil"/>
                  </w:tcBorders>
                  <w:shd w:val="clear" w:color="auto" w:fill="auto"/>
                  <w:noWrap/>
                  <w:vAlign w:val="bottom"/>
                  <w:hideMark/>
                </w:tcPr>
                <w:p w14:paraId="4B5C6A03"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2</w:t>
                  </w:r>
                  <w:r>
                    <w:rPr>
                      <w:rFonts w:ascii="Times New Roman" w:eastAsia="Times New Roman" w:hAnsi="Times New Roman" w:cs="Times New Roman"/>
                      <w:sz w:val="20"/>
                      <w:szCs w:val="20"/>
                      <w:lang w:eastAsia="ko-KR"/>
                    </w:rPr>
                    <w:t>,</w:t>
                  </w:r>
                  <w:r w:rsidRPr="00116F5F">
                    <w:rPr>
                      <w:rFonts w:ascii="Times New Roman" w:eastAsia="Times New Roman" w:hAnsi="Times New Roman" w:cs="Times New Roman"/>
                      <w:sz w:val="20"/>
                      <w:szCs w:val="20"/>
                      <w:lang w:eastAsia="ko-KR"/>
                    </w:rPr>
                    <w:t>188</w:t>
                  </w:r>
                </w:p>
              </w:tc>
              <w:tc>
                <w:tcPr>
                  <w:tcW w:w="1120" w:type="dxa"/>
                  <w:tcBorders>
                    <w:top w:val="nil"/>
                    <w:left w:val="nil"/>
                    <w:bottom w:val="nil"/>
                    <w:right w:val="nil"/>
                  </w:tcBorders>
                  <w:shd w:val="clear" w:color="auto" w:fill="auto"/>
                  <w:noWrap/>
                  <w:vAlign w:val="bottom"/>
                  <w:hideMark/>
                </w:tcPr>
                <w:p w14:paraId="335BCDCE"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w:t>
                  </w:r>
                </w:p>
              </w:tc>
              <w:tc>
                <w:tcPr>
                  <w:tcW w:w="1182" w:type="dxa"/>
                  <w:tcBorders>
                    <w:top w:val="nil"/>
                    <w:left w:val="nil"/>
                    <w:bottom w:val="nil"/>
                    <w:right w:val="nil"/>
                  </w:tcBorders>
                  <w:shd w:val="clear" w:color="auto" w:fill="auto"/>
                  <w:noWrap/>
                  <w:vAlign w:val="bottom"/>
                  <w:hideMark/>
                </w:tcPr>
                <w:p w14:paraId="63F33412"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w:t>
                  </w:r>
                </w:p>
              </w:tc>
            </w:tr>
            <w:tr w:rsidR="00BD3C6C" w:rsidRPr="00116F5F" w14:paraId="3FA8B3C2" w14:textId="77777777" w:rsidTr="00A43DA5">
              <w:trPr>
                <w:trHeight w:val="255"/>
              </w:trPr>
              <w:tc>
                <w:tcPr>
                  <w:tcW w:w="3482" w:type="dxa"/>
                  <w:tcBorders>
                    <w:top w:val="nil"/>
                    <w:left w:val="nil"/>
                    <w:bottom w:val="nil"/>
                    <w:right w:val="nil"/>
                  </w:tcBorders>
                  <w:shd w:val="clear" w:color="auto" w:fill="auto"/>
                  <w:noWrap/>
                  <w:vAlign w:val="bottom"/>
                  <w:hideMark/>
                </w:tcPr>
                <w:p w14:paraId="15538336" w14:textId="77777777" w:rsidR="00BD3C6C" w:rsidRPr="00116F5F" w:rsidRDefault="00BD3C6C" w:rsidP="00A43DA5">
                  <w:pPr>
                    <w:spacing w:after="0" w:line="240" w:lineRule="auto"/>
                    <w:rPr>
                      <w:rFonts w:ascii="Times New Roman" w:eastAsia="Times New Roman" w:hAnsi="Times New Roman" w:cs="Times New Roman"/>
                      <w:sz w:val="20"/>
                      <w:szCs w:val="20"/>
                      <w:lang w:eastAsia="ko-KR"/>
                    </w:rPr>
                  </w:pPr>
                </w:p>
              </w:tc>
              <w:tc>
                <w:tcPr>
                  <w:tcW w:w="1120" w:type="dxa"/>
                  <w:tcBorders>
                    <w:top w:val="nil"/>
                    <w:left w:val="nil"/>
                    <w:bottom w:val="nil"/>
                    <w:right w:val="nil"/>
                  </w:tcBorders>
                  <w:shd w:val="clear" w:color="auto" w:fill="auto"/>
                  <w:noWrap/>
                  <w:vAlign w:val="bottom"/>
                  <w:hideMark/>
                </w:tcPr>
                <w:p w14:paraId="3FDD6278" w14:textId="77777777" w:rsidR="00BD3C6C" w:rsidRPr="00116F5F" w:rsidRDefault="00BD3C6C" w:rsidP="00A43DA5">
                  <w:pPr>
                    <w:spacing w:after="0" w:line="240" w:lineRule="auto"/>
                    <w:jc w:val="center"/>
                    <w:rPr>
                      <w:rFonts w:ascii="Times New Roman" w:eastAsia="Times New Roman" w:hAnsi="Times New Roman" w:cs="Times New Roman"/>
                      <w:sz w:val="20"/>
                      <w:szCs w:val="20"/>
                      <w:lang w:eastAsia="ko-KR"/>
                    </w:rPr>
                  </w:pPr>
                </w:p>
              </w:tc>
              <w:tc>
                <w:tcPr>
                  <w:tcW w:w="1120" w:type="dxa"/>
                  <w:tcBorders>
                    <w:top w:val="nil"/>
                    <w:left w:val="nil"/>
                    <w:bottom w:val="nil"/>
                    <w:right w:val="nil"/>
                  </w:tcBorders>
                  <w:shd w:val="clear" w:color="auto" w:fill="auto"/>
                  <w:noWrap/>
                  <w:vAlign w:val="bottom"/>
                  <w:hideMark/>
                </w:tcPr>
                <w:p w14:paraId="2B1763BF" w14:textId="77777777" w:rsidR="00BD3C6C" w:rsidRPr="00116F5F" w:rsidRDefault="00BD3C6C" w:rsidP="00A43DA5">
                  <w:pPr>
                    <w:spacing w:after="0" w:line="240" w:lineRule="auto"/>
                    <w:jc w:val="center"/>
                    <w:rPr>
                      <w:rFonts w:ascii="Times New Roman" w:eastAsia="Times New Roman" w:hAnsi="Times New Roman" w:cs="Times New Roman"/>
                      <w:sz w:val="20"/>
                      <w:szCs w:val="20"/>
                      <w:lang w:eastAsia="ko-KR"/>
                    </w:rPr>
                  </w:pPr>
                </w:p>
              </w:tc>
              <w:tc>
                <w:tcPr>
                  <w:tcW w:w="1120" w:type="dxa"/>
                  <w:tcBorders>
                    <w:top w:val="nil"/>
                    <w:left w:val="nil"/>
                    <w:bottom w:val="nil"/>
                    <w:right w:val="nil"/>
                  </w:tcBorders>
                  <w:shd w:val="clear" w:color="auto" w:fill="auto"/>
                  <w:noWrap/>
                  <w:vAlign w:val="bottom"/>
                  <w:hideMark/>
                </w:tcPr>
                <w:p w14:paraId="3B5A5B2C" w14:textId="77777777" w:rsidR="00BD3C6C" w:rsidRPr="00116F5F" w:rsidRDefault="00BD3C6C" w:rsidP="00A43DA5">
                  <w:pPr>
                    <w:spacing w:after="0" w:line="240" w:lineRule="auto"/>
                    <w:jc w:val="center"/>
                    <w:rPr>
                      <w:rFonts w:ascii="Times New Roman" w:eastAsia="Times New Roman" w:hAnsi="Times New Roman" w:cs="Times New Roman"/>
                      <w:sz w:val="20"/>
                      <w:szCs w:val="20"/>
                      <w:lang w:eastAsia="ko-KR"/>
                    </w:rPr>
                  </w:pPr>
                </w:p>
              </w:tc>
              <w:tc>
                <w:tcPr>
                  <w:tcW w:w="1120" w:type="dxa"/>
                  <w:tcBorders>
                    <w:top w:val="nil"/>
                    <w:left w:val="nil"/>
                    <w:bottom w:val="nil"/>
                    <w:right w:val="nil"/>
                  </w:tcBorders>
                  <w:shd w:val="clear" w:color="auto" w:fill="auto"/>
                  <w:noWrap/>
                  <w:vAlign w:val="bottom"/>
                  <w:hideMark/>
                </w:tcPr>
                <w:p w14:paraId="14687716" w14:textId="77777777" w:rsidR="00BD3C6C" w:rsidRPr="00116F5F" w:rsidRDefault="00BD3C6C" w:rsidP="00A43DA5">
                  <w:pPr>
                    <w:spacing w:after="0" w:line="240" w:lineRule="auto"/>
                    <w:jc w:val="center"/>
                    <w:rPr>
                      <w:rFonts w:ascii="Times New Roman" w:eastAsia="Times New Roman" w:hAnsi="Times New Roman" w:cs="Times New Roman"/>
                      <w:sz w:val="20"/>
                      <w:szCs w:val="20"/>
                      <w:lang w:eastAsia="ko-KR"/>
                    </w:rPr>
                  </w:pPr>
                </w:p>
              </w:tc>
              <w:tc>
                <w:tcPr>
                  <w:tcW w:w="1182" w:type="dxa"/>
                  <w:tcBorders>
                    <w:top w:val="nil"/>
                    <w:left w:val="nil"/>
                    <w:bottom w:val="nil"/>
                    <w:right w:val="nil"/>
                  </w:tcBorders>
                  <w:shd w:val="clear" w:color="auto" w:fill="auto"/>
                  <w:noWrap/>
                  <w:vAlign w:val="bottom"/>
                  <w:hideMark/>
                </w:tcPr>
                <w:p w14:paraId="06AD4124" w14:textId="77777777" w:rsidR="00BD3C6C" w:rsidRPr="00116F5F" w:rsidRDefault="00BD3C6C" w:rsidP="00A43DA5">
                  <w:pPr>
                    <w:spacing w:after="0" w:line="240" w:lineRule="auto"/>
                    <w:jc w:val="center"/>
                    <w:rPr>
                      <w:rFonts w:ascii="Times New Roman" w:eastAsia="Times New Roman" w:hAnsi="Times New Roman" w:cs="Times New Roman"/>
                      <w:sz w:val="20"/>
                      <w:szCs w:val="20"/>
                      <w:lang w:eastAsia="ko-KR"/>
                    </w:rPr>
                  </w:pPr>
                </w:p>
              </w:tc>
            </w:tr>
            <w:tr w:rsidR="00BD3C6C" w:rsidRPr="00116F5F" w14:paraId="1E55ADE7" w14:textId="77777777" w:rsidTr="00A43DA5">
              <w:trPr>
                <w:trHeight w:val="255"/>
              </w:trPr>
              <w:tc>
                <w:tcPr>
                  <w:tcW w:w="3482" w:type="dxa"/>
                  <w:tcBorders>
                    <w:top w:val="nil"/>
                    <w:left w:val="nil"/>
                    <w:bottom w:val="nil"/>
                    <w:right w:val="nil"/>
                  </w:tcBorders>
                  <w:shd w:val="clear" w:color="auto" w:fill="auto"/>
                  <w:noWrap/>
                  <w:vAlign w:val="bottom"/>
                  <w:hideMark/>
                </w:tcPr>
                <w:p w14:paraId="4604DD5D" w14:textId="20F865C1" w:rsidR="00BD3C6C" w:rsidRPr="00630B23" w:rsidRDefault="00C177E7" w:rsidP="00A43DA5">
                  <w:pPr>
                    <w:spacing w:after="0" w:line="240" w:lineRule="auto"/>
                    <w:rPr>
                      <w:rFonts w:ascii="Times New Roman" w:eastAsia="Times New Roman" w:hAnsi="Times New Roman" w:cs="Times New Roman"/>
                      <w:b/>
                      <w:bCs/>
                      <w:sz w:val="20"/>
                      <w:szCs w:val="20"/>
                      <w:lang w:val="mn-MN" w:eastAsia="ko-KR"/>
                    </w:rPr>
                  </w:pPr>
                  <w:r>
                    <w:rPr>
                      <w:rFonts w:ascii="Times New Roman" w:eastAsia="Times New Roman" w:hAnsi="Times New Roman" w:cs="Times New Roman"/>
                      <w:b/>
                      <w:bCs/>
                      <w:sz w:val="20"/>
                      <w:szCs w:val="20"/>
                      <w:lang w:val="mn-MN" w:eastAsia="ko-KR"/>
                    </w:rPr>
                    <w:t>Санхүүгийн зах зээл</w:t>
                  </w:r>
                </w:p>
              </w:tc>
              <w:tc>
                <w:tcPr>
                  <w:tcW w:w="1120" w:type="dxa"/>
                  <w:tcBorders>
                    <w:top w:val="nil"/>
                    <w:left w:val="nil"/>
                    <w:bottom w:val="nil"/>
                    <w:right w:val="nil"/>
                  </w:tcBorders>
                  <w:shd w:val="clear" w:color="auto" w:fill="auto"/>
                  <w:noWrap/>
                  <w:vAlign w:val="bottom"/>
                  <w:hideMark/>
                </w:tcPr>
                <w:p w14:paraId="43AD01FD" w14:textId="77777777" w:rsidR="00BD3C6C" w:rsidRPr="00116F5F" w:rsidRDefault="00BD3C6C" w:rsidP="00A43DA5">
                  <w:pPr>
                    <w:spacing w:after="0" w:line="240" w:lineRule="auto"/>
                    <w:jc w:val="center"/>
                    <w:rPr>
                      <w:rFonts w:ascii="Times New Roman" w:eastAsia="Times New Roman" w:hAnsi="Times New Roman" w:cs="Times New Roman"/>
                      <w:sz w:val="20"/>
                      <w:szCs w:val="20"/>
                      <w:lang w:eastAsia="ko-KR"/>
                    </w:rPr>
                  </w:pPr>
                </w:p>
              </w:tc>
              <w:tc>
                <w:tcPr>
                  <w:tcW w:w="1120" w:type="dxa"/>
                  <w:tcBorders>
                    <w:top w:val="nil"/>
                    <w:left w:val="nil"/>
                    <w:bottom w:val="nil"/>
                    <w:right w:val="nil"/>
                  </w:tcBorders>
                  <w:shd w:val="clear" w:color="auto" w:fill="auto"/>
                  <w:noWrap/>
                  <w:vAlign w:val="bottom"/>
                  <w:hideMark/>
                </w:tcPr>
                <w:p w14:paraId="5F323281" w14:textId="77777777" w:rsidR="00BD3C6C" w:rsidRPr="00116F5F" w:rsidRDefault="00BD3C6C" w:rsidP="00A43DA5">
                  <w:pPr>
                    <w:spacing w:after="0" w:line="240" w:lineRule="auto"/>
                    <w:jc w:val="center"/>
                    <w:rPr>
                      <w:rFonts w:ascii="Times New Roman" w:eastAsia="Times New Roman" w:hAnsi="Times New Roman" w:cs="Times New Roman"/>
                      <w:sz w:val="20"/>
                      <w:szCs w:val="20"/>
                      <w:lang w:eastAsia="ko-KR"/>
                    </w:rPr>
                  </w:pPr>
                </w:p>
              </w:tc>
              <w:tc>
                <w:tcPr>
                  <w:tcW w:w="1120" w:type="dxa"/>
                  <w:tcBorders>
                    <w:top w:val="nil"/>
                    <w:left w:val="nil"/>
                    <w:bottom w:val="nil"/>
                    <w:right w:val="nil"/>
                  </w:tcBorders>
                  <w:shd w:val="clear" w:color="auto" w:fill="auto"/>
                  <w:noWrap/>
                  <w:vAlign w:val="bottom"/>
                  <w:hideMark/>
                </w:tcPr>
                <w:p w14:paraId="23C878C6" w14:textId="77777777" w:rsidR="00BD3C6C" w:rsidRPr="00116F5F" w:rsidRDefault="00BD3C6C" w:rsidP="00A43DA5">
                  <w:pPr>
                    <w:spacing w:after="0" w:line="240" w:lineRule="auto"/>
                    <w:jc w:val="center"/>
                    <w:rPr>
                      <w:rFonts w:ascii="Times New Roman" w:eastAsia="Times New Roman" w:hAnsi="Times New Roman" w:cs="Times New Roman"/>
                      <w:sz w:val="20"/>
                      <w:szCs w:val="20"/>
                      <w:lang w:eastAsia="ko-KR"/>
                    </w:rPr>
                  </w:pPr>
                </w:p>
              </w:tc>
              <w:tc>
                <w:tcPr>
                  <w:tcW w:w="1120" w:type="dxa"/>
                  <w:tcBorders>
                    <w:top w:val="nil"/>
                    <w:left w:val="nil"/>
                    <w:bottom w:val="nil"/>
                    <w:right w:val="nil"/>
                  </w:tcBorders>
                  <w:shd w:val="clear" w:color="auto" w:fill="auto"/>
                  <w:noWrap/>
                  <w:vAlign w:val="bottom"/>
                  <w:hideMark/>
                </w:tcPr>
                <w:p w14:paraId="5CCE0BB6" w14:textId="77777777" w:rsidR="00BD3C6C" w:rsidRPr="00116F5F" w:rsidRDefault="00BD3C6C" w:rsidP="00A43DA5">
                  <w:pPr>
                    <w:spacing w:after="0" w:line="240" w:lineRule="auto"/>
                    <w:jc w:val="center"/>
                    <w:rPr>
                      <w:rFonts w:ascii="Times New Roman" w:eastAsia="Times New Roman" w:hAnsi="Times New Roman" w:cs="Times New Roman"/>
                      <w:sz w:val="20"/>
                      <w:szCs w:val="20"/>
                      <w:lang w:eastAsia="ko-KR"/>
                    </w:rPr>
                  </w:pPr>
                </w:p>
              </w:tc>
              <w:tc>
                <w:tcPr>
                  <w:tcW w:w="1182" w:type="dxa"/>
                  <w:tcBorders>
                    <w:top w:val="nil"/>
                    <w:left w:val="nil"/>
                    <w:bottom w:val="nil"/>
                    <w:right w:val="nil"/>
                  </w:tcBorders>
                  <w:shd w:val="clear" w:color="auto" w:fill="auto"/>
                  <w:noWrap/>
                  <w:vAlign w:val="bottom"/>
                  <w:hideMark/>
                </w:tcPr>
                <w:p w14:paraId="67A41F67" w14:textId="77777777" w:rsidR="00BD3C6C" w:rsidRPr="00116F5F" w:rsidRDefault="00BD3C6C" w:rsidP="00A43DA5">
                  <w:pPr>
                    <w:spacing w:after="0" w:line="240" w:lineRule="auto"/>
                    <w:jc w:val="center"/>
                    <w:rPr>
                      <w:rFonts w:ascii="Times New Roman" w:eastAsia="Times New Roman" w:hAnsi="Times New Roman" w:cs="Times New Roman"/>
                      <w:sz w:val="20"/>
                      <w:szCs w:val="20"/>
                      <w:lang w:eastAsia="ko-KR"/>
                    </w:rPr>
                  </w:pPr>
                </w:p>
              </w:tc>
            </w:tr>
            <w:tr w:rsidR="00BD3C6C" w:rsidRPr="00116F5F" w14:paraId="16BB574C" w14:textId="77777777" w:rsidTr="00A43DA5">
              <w:trPr>
                <w:trHeight w:val="270"/>
              </w:trPr>
              <w:tc>
                <w:tcPr>
                  <w:tcW w:w="3482" w:type="dxa"/>
                  <w:tcBorders>
                    <w:top w:val="nil"/>
                    <w:left w:val="nil"/>
                    <w:bottom w:val="nil"/>
                    <w:right w:val="nil"/>
                  </w:tcBorders>
                  <w:shd w:val="clear" w:color="auto" w:fill="auto"/>
                  <w:noWrap/>
                  <w:vAlign w:val="bottom"/>
                  <w:hideMark/>
                </w:tcPr>
                <w:p w14:paraId="57FD3794" w14:textId="28F198B0" w:rsidR="00BD3C6C" w:rsidRPr="00116F5F" w:rsidRDefault="00C177E7">
                  <w:pPr>
                    <w:spacing w:after="0" w:line="240" w:lineRule="auto"/>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val="mn-MN" w:eastAsia="ko-KR"/>
                    </w:rPr>
                    <w:t>Хувийн дотоодын зээл</w:t>
                  </w:r>
                  <w:r w:rsidR="00BD3C6C" w:rsidRPr="00116F5F">
                    <w:rPr>
                      <w:rFonts w:ascii="Times New Roman" w:eastAsia="Times New Roman" w:hAnsi="Times New Roman" w:cs="Times New Roman"/>
                      <w:sz w:val="20"/>
                      <w:szCs w:val="20"/>
                      <w:lang w:eastAsia="ko-KR"/>
                    </w:rPr>
                    <w:t xml:space="preserve"> (%</w:t>
                  </w:r>
                  <w:r w:rsidR="00BD3C6C">
                    <w:rPr>
                      <w:rFonts w:ascii="Times New Roman" w:eastAsia="Times New Roman" w:hAnsi="Times New Roman" w:cs="Times New Roman"/>
                      <w:sz w:val="20"/>
                      <w:szCs w:val="20"/>
                      <w:lang w:eastAsia="ko-KR"/>
                    </w:rPr>
                    <w:t>,</w:t>
                  </w:r>
                  <w:r w:rsidR="00BD3C6C" w:rsidRPr="00116F5F">
                    <w:rPr>
                      <w:rFonts w:ascii="Times New Roman" w:eastAsia="Times New Roman" w:hAnsi="Times New Roman" w:cs="Times New Roman"/>
                      <w:sz w:val="20"/>
                      <w:szCs w:val="20"/>
                      <w:lang w:eastAsia="ko-KR"/>
                    </w:rPr>
                    <w:t xml:space="preserve"> </w:t>
                  </w:r>
                  <w:r>
                    <w:rPr>
                      <w:rFonts w:ascii="Times New Roman" w:eastAsia="Times New Roman" w:hAnsi="Times New Roman" w:cs="Times New Roman"/>
                      <w:sz w:val="20"/>
                      <w:szCs w:val="20"/>
                      <w:lang w:val="mn-MN" w:eastAsia="ko-KR"/>
                    </w:rPr>
                    <w:t>өомү</w:t>
                  </w:r>
                  <w:r w:rsidR="00BD3C6C">
                    <w:rPr>
                      <w:rFonts w:ascii="Times New Roman" w:eastAsia="Times New Roman" w:hAnsi="Times New Roman" w:cs="Times New Roman"/>
                      <w:sz w:val="20"/>
                      <w:szCs w:val="20"/>
                      <w:lang w:eastAsia="ko-KR"/>
                    </w:rPr>
                    <w:t xml:space="preserve">, </w:t>
                  </w:r>
                  <w:r>
                    <w:rPr>
                      <w:rFonts w:ascii="Times New Roman" w:eastAsia="Times New Roman" w:hAnsi="Times New Roman" w:cs="Times New Roman"/>
                      <w:sz w:val="20"/>
                      <w:szCs w:val="20"/>
                      <w:lang w:val="mn-MN" w:eastAsia="ko-KR"/>
                    </w:rPr>
                    <w:t>жилийн эцэст</w:t>
                  </w:r>
                  <w:r w:rsidR="00BD3C6C" w:rsidRPr="00116F5F">
                    <w:rPr>
                      <w:rFonts w:ascii="Times New Roman" w:eastAsia="Times New Roman" w:hAnsi="Times New Roman" w:cs="Times New Roman"/>
                      <w:sz w:val="20"/>
                      <w:szCs w:val="20"/>
                      <w:lang w:eastAsia="ko-KR"/>
                    </w:rPr>
                    <w:t>)</w:t>
                  </w:r>
                </w:p>
              </w:tc>
              <w:tc>
                <w:tcPr>
                  <w:tcW w:w="1120" w:type="dxa"/>
                  <w:tcBorders>
                    <w:top w:val="nil"/>
                    <w:left w:val="nil"/>
                    <w:bottom w:val="nil"/>
                    <w:right w:val="nil"/>
                  </w:tcBorders>
                  <w:shd w:val="clear" w:color="auto" w:fill="auto"/>
                  <w:noWrap/>
                  <w:vAlign w:val="bottom"/>
                  <w:hideMark/>
                </w:tcPr>
                <w:p w14:paraId="284A1F9B" w14:textId="60035E87" w:rsidR="00BD3C6C" w:rsidRPr="00116F5F" w:rsidRDefault="00BD3C6C" w:rsidP="00576EF3">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7</w:t>
                  </w:r>
                  <w:r w:rsidR="00576EF3">
                    <w:rPr>
                      <w:rFonts w:ascii="Times New Roman" w:eastAsia="Times New Roman" w:hAnsi="Times New Roman" w:cs="Times New Roman"/>
                      <w:sz w:val="20"/>
                      <w:szCs w:val="20"/>
                      <w:lang w:eastAsia="ko-KR"/>
                    </w:rPr>
                    <w:t>2.3</w:t>
                  </w:r>
                </w:p>
              </w:tc>
              <w:tc>
                <w:tcPr>
                  <w:tcW w:w="1120" w:type="dxa"/>
                  <w:tcBorders>
                    <w:top w:val="nil"/>
                    <w:left w:val="nil"/>
                    <w:bottom w:val="nil"/>
                    <w:right w:val="nil"/>
                  </w:tcBorders>
                  <w:shd w:val="clear" w:color="auto" w:fill="auto"/>
                  <w:noWrap/>
                  <w:vAlign w:val="bottom"/>
                  <w:hideMark/>
                </w:tcPr>
                <w:p w14:paraId="3EAB33EF" w14:textId="635B1410" w:rsidR="00BD3C6C" w:rsidRPr="00116F5F" w:rsidRDefault="00576EF3"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24.6</w:t>
                  </w:r>
                </w:p>
              </w:tc>
              <w:tc>
                <w:tcPr>
                  <w:tcW w:w="1120" w:type="dxa"/>
                  <w:tcBorders>
                    <w:top w:val="nil"/>
                    <w:left w:val="nil"/>
                    <w:bottom w:val="nil"/>
                    <w:right w:val="nil"/>
                  </w:tcBorders>
                  <w:shd w:val="clear" w:color="auto" w:fill="auto"/>
                  <w:noWrap/>
                  <w:vAlign w:val="bottom"/>
                  <w:hideMark/>
                </w:tcPr>
                <w:p w14:paraId="48F41B42"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w:t>
                  </w:r>
                </w:p>
              </w:tc>
              <w:tc>
                <w:tcPr>
                  <w:tcW w:w="1120" w:type="dxa"/>
                  <w:tcBorders>
                    <w:top w:val="nil"/>
                    <w:left w:val="nil"/>
                    <w:bottom w:val="nil"/>
                    <w:right w:val="nil"/>
                  </w:tcBorders>
                  <w:shd w:val="clear" w:color="auto" w:fill="auto"/>
                  <w:noWrap/>
                  <w:vAlign w:val="bottom"/>
                  <w:hideMark/>
                </w:tcPr>
                <w:p w14:paraId="57C69F19"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w:t>
                  </w:r>
                </w:p>
              </w:tc>
              <w:tc>
                <w:tcPr>
                  <w:tcW w:w="1182" w:type="dxa"/>
                  <w:tcBorders>
                    <w:top w:val="nil"/>
                    <w:left w:val="nil"/>
                    <w:bottom w:val="nil"/>
                    <w:right w:val="nil"/>
                  </w:tcBorders>
                  <w:shd w:val="clear" w:color="auto" w:fill="auto"/>
                  <w:noWrap/>
                  <w:vAlign w:val="bottom"/>
                  <w:hideMark/>
                </w:tcPr>
                <w:p w14:paraId="79D2600A"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w:t>
                  </w:r>
                </w:p>
              </w:tc>
            </w:tr>
            <w:tr w:rsidR="00BD3C6C" w:rsidRPr="00116F5F" w14:paraId="48FBD2E2" w14:textId="77777777" w:rsidTr="00A43DA5">
              <w:trPr>
                <w:trHeight w:val="255"/>
              </w:trPr>
              <w:tc>
                <w:tcPr>
                  <w:tcW w:w="3482" w:type="dxa"/>
                  <w:tcBorders>
                    <w:top w:val="nil"/>
                    <w:left w:val="nil"/>
                    <w:bottom w:val="nil"/>
                    <w:right w:val="nil"/>
                  </w:tcBorders>
                  <w:shd w:val="clear" w:color="auto" w:fill="auto"/>
                  <w:noWrap/>
                  <w:vAlign w:val="bottom"/>
                  <w:hideMark/>
                </w:tcPr>
                <w:p w14:paraId="2C10B53C" w14:textId="04E04878" w:rsidR="00BD3C6C" w:rsidRPr="00116F5F" w:rsidRDefault="00C177E7" w:rsidP="00A43DA5">
                  <w:pPr>
                    <w:spacing w:after="0" w:line="240" w:lineRule="auto"/>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val="mn-MN" w:eastAsia="ko-KR"/>
                    </w:rPr>
                    <w:t>Бодлогын суурь хүү</w:t>
                  </w:r>
                  <w:r w:rsidR="00BD3C6C" w:rsidRPr="00116F5F">
                    <w:rPr>
                      <w:rFonts w:ascii="Times New Roman" w:eastAsia="Times New Roman" w:hAnsi="Times New Roman" w:cs="Times New Roman"/>
                      <w:sz w:val="20"/>
                      <w:szCs w:val="20"/>
                      <w:lang w:eastAsia="ko-KR"/>
                    </w:rPr>
                    <w:t xml:space="preserve"> </w:t>
                  </w:r>
                  <w:r>
                    <w:rPr>
                      <w:rFonts w:ascii="Times New Roman" w:eastAsia="Times New Roman" w:hAnsi="Times New Roman" w:cs="Times New Roman"/>
                      <w:sz w:val="20"/>
                      <w:szCs w:val="20"/>
                      <w:lang w:eastAsia="ko-KR"/>
                    </w:rPr>
                    <w:t>(</w:t>
                  </w:r>
                  <w:r w:rsidRPr="00116F5F">
                    <w:rPr>
                      <w:rFonts w:ascii="Times New Roman" w:eastAsia="Times New Roman" w:hAnsi="Times New Roman" w:cs="Times New Roman"/>
                      <w:sz w:val="20"/>
                      <w:szCs w:val="20"/>
                      <w:lang w:eastAsia="ko-KR"/>
                    </w:rPr>
                    <w:t>%</w:t>
                  </w:r>
                  <w:r>
                    <w:rPr>
                      <w:rFonts w:ascii="Times New Roman" w:eastAsia="Times New Roman" w:hAnsi="Times New Roman" w:cs="Times New Roman"/>
                      <w:sz w:val="20"/>
                      <w:szCs w:val="20"/>
                      <w:lang w:eastAsia="ko-KR"/>
                    </w:rPr>
                    <w:t>,</w:t>
                  </w:r>
                  <w:r w:rsidRPr="00116F5F">
                    <w:rPr>
                      <w:rFonts w:ascii="Times New Roman" w:eastAsia="Times New Roman" w:hAnsi="Times New Roman" w:cs="Times New Roman"/>
                      <w:sz w:val="20"/>
                      <w:szCs w:val="20"/>
                      <w:lang w:eastAsia="ko-KR"/>
                    </w:rPr>
                    <w:t xml:space="preserve"> </w:t>
                  </w:r>
                  <w:r>
                    <w:rPr>
                      <w:rFonts w:ascii="Times New Roman" w:eastAsia="Times New Roman" w:hAnsi="Times New Roman" w:cs="Times New Roman"/>
                      <w:sz w:val="20"/>
                      <w:szCs w:val="20"/>
                      <w:lang w:val="mn-MN" w:eastAsia="ko-KR"/>
                    </w:rPr>
                    <w:t>өомү</w:t>
                  </w:r>
                  <w:r>
                    <w:rPr>
                      <w:rFonts w:ascii="Times New Roman" w:eastAsia="Times New Roman" w:hAnsi="Times New Roman" w:cs="Times New Roman"/>
                      <w:sz w:val="20"/>
                      <w:szCs w:val="20"/>
                      <w:lang w:eastAsia="ko-KR"/>
                    </w:rPr>
                    <w:t xml:space="preserve">, </w:t>
                  </w:r>
                  <w:r>
                    <w:rPr>
                      <w:rFonts w:ascii="Times New Roman" w:eastAsia="Times New Roman" w:hAnsi="Times New Roman" w:cs="Times New Roman"/>
                      <w:sz w:val="20"/>
                      <w:szCs w:val="20"/>
                      <w:lang w:val="mn-MN" w:eastAsia="ko-KR"/>
                    </w:rPr>
                    <w:t>жилийн эцэст</w:t>
                  </w:r>
                  <w:r w:rsidR="00BD3C6C" w:rsidRPr="00116F5F">
                    <w:rPr>
                      <w:rFonts w:ascii="Times New Roman" w:eastAsia="Times New Roman" w:hAnsi="Times New Roman" w:cs="Times New Roman"/>
                      <w:sz w:val="20"/>
                      <w:szCs w:val="20"/>
                      <w:lang w:eastAsia="ko-KR"/>
                    </w:rPr>
                    <w:t>)</w:t>
                  </w:r>
                </w:p>
              </w:tc>
              <w:tc>
                <w:tcPr>
                  <w:tcW w:w="1120" w:type="dxa"/>
                  <w:tcBorders>
                    <w:top w:val="nil"/>
                    <w:left w:val="nil"/>
                    <w:bottom w:val="nil"/>
                    <w:right w:val="nil"/>
                  </w:tcBorders>
                  <w:shd w:val="clear" w:color="auto" w:fill="auto"/>
                  <w:noWrap/>
                  <w:vAlign w:val="bottom"/>
                  <w:hideMark/>
                </w:tcPr>
                <w:p w14:paraId="1805823C"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12.3</w:t>
                  </w:r>
                </w:p>
              </w:tc>
              <w:tc>
                <w:tcPr>
                  <w:tcW w:w="1120" w:type="dxa"/>
                  <w:tcBorders>
                    <w:top w:val="nil"/>
                    <w:left w:val="nil"/>
                    <w:bottom w:val="nil"/>
                    <w:right w:val="nil"/>
                  </w:tcBorders>
                  <w:shd w:val="clear" w:color="auto" w:fill="auto"/>
                  <w:noWrap/>
                  <w:vAlign w:val="bottom"/>
                  <w:hideMark/>
                </w:tcPr>
                <w:p w14:paraId="2661FD8F"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13.3</w:t>
                  </w:r>
                </w:p>
              </w:tc>
              <w:tc>
                <w:tcPr>
                  <w:tcW w:w="1120" w:type="dxa"/>
                  <w:tcBorders>
                    <w:top w:val="nil"/>
                    <w:left w:val="nil"/>
                    <w:bottom w:val="nil"/>
                    <w:right w:val="nil"/>
                  </w:tcBorders>
                  <w:shd w:val="clear" w:color="auto" w:fill="auto"/>
                  <w:noWrap/>
                  <w:vAlign w:val="bottom"/>
                  <w:hideMark/>
                </w:tcPr>
                <w:p w14:paraId="18490E8C"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w:t>
                  </w:r>
                </w:p>
              </w:tc>
              <w:tc>
                <w:tcPr>
                  <w:tcW w:w="1120" w:type="dxa"/>
                  <w:tcBorders>
                    <w:top w:val="nil"/>
                    <w:left w:val="nil"/>
                    <w:bottom w:val="nil"/>
                    <w:right w:val="nil"/>
                  </w:tcBorders>
                  <w:shd w:val="clear" w:color="auto" w:fill="auto"/>
                  <w:noWrap/>
                  <w:vAlign w:val="bottom"/>
                  <w:hideMark/>
                </w:tcPr>
                <w:p w14:paraId="45BFE228"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w:t>
                  </w:r>
                </w:p>
              </w:tc>
              <w:tc>
                <w:tcPr>
                  <w:tcW w:w="1182" w:type="dxa"/>
                  <w:tcBorders>
                    <w:top w:val="nil"/>
                    <w:left w:val="nil"/>
                    <w:bottom w:val="nil"/>
                    <w:right w:val="nil"/>
                  </w:tcBorders>
                  <w:shd w:val="clear" w:color="auto" w:fill="auto"/>
                  <w:noWrap/>
                  <w:vAlign w:val="bottom"/>
                  <w:hideMark/>
                </w:tcPr>
                <w:p w14:paraId="6D53F571"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w:t>
                  </w:r>
                </w:p>
              </w:tc>
            </w:tr>
            <w:tr w:rsidR="00BD3C6C" w:rsidRPr="00116F5F" w14:paraId="379496C6" w14:textId="77777777" w:rsidTr="00A43DA5">
              <w:trPr>
                <w:trHeight w:val="255"/>
              </w:trPr>
              <w:tc>
                <w:tcPr>
                  <w:tcW w:w="3482" w:type="dxa"/>
                  <w:tcBorders>
                    <w:top w:val="nil"/>
                    <w:left w:val="nil"/>
                    <w:bottom w:val="nil"/>
                    <w:right w:val="nil"/>
                  </w:tcBorders>
                  <w:shd w:val="clear" w:color="auto" w:fill="auto"/>
                  <w:noWrap/>
                  <w:vAlign w:val="bottom"/>
                  <w:hideMark/>
                </w:tcPr>
                <w:p w14:paraId="7FD5F20D" w14:textId="10D9FFAD" w:rsidR="00BD3C6C" w:rsidRPr="00116F5F" w:rsidRDefault="00C177E7">
                  <w:pPr>
                    <w:spacing w:after="0" w:line="240" w:lineRule="auto"/>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val="mn-MN" w:eastAsia="ko-KR"/>
                    </w:rPr>
                    <w:t>Валютын ханш</w:t>
                  </w:r>
                  <w:r w:rsidR="00BD3C6C" w:rsidRPr="00116F5F">
                    <w:rPr>
                      <w:rFonts w:ascii="Times New Roman" w:eastAsia="Times New Roman" w:hAnsi="Times New Roman" w:cs="Times New Roman"/>
                      <w:sz w:val="20"/>
                      <w:szCs w:val="20"/>
                      <w:lang w:eastAsia="ko-KR"/>
                    </w:rPr>
                    <w:t xml:space="preserve"> (</w:t>
                  </w:r>
                  <w:r>
                    <w:rPr>
                      <w:rFonts w:ascii="Times New Roman" w:eastAsia="Times New Roman" w:hAnsi="Times New Roman" w:cs="Times New Roman"/>
                      <w:sz w:val="20"/>
                      <w:szCs w:val="20"/>
                      <w:lang w:val="mn-MN" w:eastAsia="ko-KR"/>
                    </w:rPr>
                    <w:t>төгрөг/ам.доллар</w:t>
                  </w:r>
                  <w:r w:rsidR="00BD3C6C" w:rsidRPr="00116F5F">
                    <w:rPr>
                      <w:rFonts w:ascii="Times New Roman" w:eastAsia="Times New Roman" w:hAnsi="Times New Roman" w:cs="Times New Roman"/>
                      <w:sz w:val="20"/>
                      <w:szCs w:val="20"/>
                      <w:lang w:eastAsia="ko-KR"/>
                    </w:rPr>
                    <w:t xml:space="preserve">, </w:t>
                  </w:r>
                  <w:r>
                    <w:rPr>
                      <w:rFonts w:ascii="Times New Roman" w:eastAsia="Times New Roman" w:hAnsi="Times New Roman" w:cs="Times New Roman"/>
                      <w:sz w:val="20"/>
                      <w:szCs w:val="20"/>
                      <w:lang w:val="mn-MN" w:eastAsia="ko-KR"/>
                    </w:rPr>
                    <w:t>хугацааны эцэст</w:t>
                  </w:r>
                  <w:r w:rsidR="00BD3C6C" w:rsidRPr="00116F5F">
                    <w:rPr>
                      <w:rFonts w:ascii="Times New Roman" w:eastAsia="Times New Roman" w:hAnsi="Times New Roman" w:cs="Times New Roman"/>
                      <w:sz w:val="20"/>
                      <w:szCs w:val="20"/>
                      <w:lang w:eastAsia="ko-KR"/>
                    </w:rPr>
                    <w:t>)</w:t>
                  </w:r>
                </w:p>
              </w:tc>
              <w:tc>
                <w:tcPr>
                  <w:tcW w:w="1120" w:type="dxa"/>
                  <w:tcBorders>
                    <w:top w:val="nil"/>
                    <w:left w:val="nil"/>
                    <w:bottom w:val="nil"/>
                    <w:right w:val="nil"/>
                  </w:tcBorders>
                  <w:shd w:val="clear" w:color="auto" w:fill="auto"/>
                  <w:noWrap/>
                  <w:vAlign w:val="bottom"/>
                  <w:hideMark/>
                </w:tcPr>
                <w:p w14:paraId="4DB3E7A4"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1</w:t>
                  </w:r>
                  <w:r>
                    <w:rPr>
                      <w:rFonts w:ascii="Times New Roman" w:eastAsia="Times New Roman" w:hAnsi="Times New Roman" w:cs="Times New Roman"/>
                      <w:sz w:val="20"/>
                      <w:szCs w:val="20"/>
                      <w:lang w:eastAsia="ko-KR"/>
                    </w:rPr>
                    <w:t>,</w:t>
                  </w:r>
                  <w:r w:rsidRPr="00116F5F">
                    <w:rPr>
                      <w:rFonts w:ascii="Times New Roman" w:eastAsia="Times New Roman" w:hAnsi="Times New Roman" w:cs="Times New Roman"/>
                      <w:sz w:val="20"/>
                      <w:szCs w:val="20"/>
                      <w:lang w:eastAsia="ko-KR"/>
                    </w:rPr>
                    <w:t>395.4</w:t>
                  </w:r>
                </w:p>
              </w:tc>
              <w:tc>
                <w:tcPr>
                  <w:tcW w:w="1120" w:type="dxa"/>
                  <w:tcBorders>
                    <w:top w:val="nil"/>
                    <w:left w:val="nil"/>
                    <w:bottom w:val="nil"/>
                    <w:right w:val="nil"/>
                  </w:tcBorders>
                  <w:shd w:val="clear" w:color="auto" w:fill="auto"/>
                  <w:noWrap/>
                  <w:vAlign w:val="bottom"/>
                  <w:hideMark/>
                </w:tcPr>
                <w:p w14:paraId="09CA4F6E"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1</w:t>
                  </w:r>
                  <w:r>
                    <w:rPr>
                      <w:rFonts w:ascii="Times New Roman" w:eastAsia="Times New Roman" w:hAnsi="Times New Roman" w:cs="Times New Roman"/>
                      <w:sz w:val="20"/>
                      <w:szCs w:val="20"/>
                      <w:lang w:eastAsia="ko-KR"/>
                    </w:rPr>
                    <w:t>,</w:t>
                  </w:r>
                  <w:r w:rsidRPr="00116F5F">
                    <w:rPr>
                      <w:rFonts w:ascii="Times New Roman" w:eastAsia="Times New Roman" w:hAnsi="Times New Roman" w:cs="Times New Roman"/>
                      <w:sz w:val="20"/>
                      <w:szCs w:val="20"/>
                      <w:lang w:eastAsia="ko-KR"/>
                    </w:rPr>
                    <w:t>392.1</w:t>
                  </w:r>
                </w:p>
              </w:tc>
              <w:tc>
                <w:tcPr>
                  <w:tcW w:w="1120" w:type="dxa"/>
                  <w:tcBorders>
                    <w:top w:val="nil"/>
                    <w:left w:val="nil"/>
                    <w:bottom w:val="nil"/>
                    <w:right w:val="nil"/>
                  </w:tcBorders>
                  <w:shd w:val="clear" w:color="auto" w:fill="auto"/>
                  <w:noWrap/>
                  <w:vAlign w:val="bottom"/>
                  <w:hideMark/>
                </w:tcPr>
                <w:p w14:paraId="3155E210"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w:t>
                  </w:r>
                </w:p>
              </w:tc>
              <w:tc>
                <w:tcPr>
                  <w:tcW w:w="1120" w:type="dxa"/>
                  <w:tcBorders>
                    <w:top w:val="nil"/>
                    <w:left w:val="nil"/>
                    <w:bottom w:val="nil"/>
                    <w:right w:val="nil"/>
                  </w:tcBorders>
                  <w:shd w:val="clear" w:color="auto" w:fill="auto"/>
                  <w:noWrap/>
                  <w:vAlign w:val="bottom"/>
                  <w:hideMark/>
                </w:tcPr>
                <w:p w14:paraId="46CE5502"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w:t>
                  </w:r>
                </w:p>
              </w:tc>
              <w:tc>
                <w:tcPr>
                  <w:tcW w:w="1182" w:type="dxa"/>
                  <w:tcBorders>
                    <w:top w:val="nil"/>
                    <w:left w:val="nil"/>
                    <w:bottom w:val="nil"/>
                    <w:right w:val="nil"/>
                  </w:tcBorders>
                  <w:shd w:val="clear" w:color="auto" w:fill="auto"/>
                  <w:noWrap/>
                  <w:vAlign w:val="bottom"/>
                  <w:hideMark/>
                </w:tcPr>
                <w:p w14:paraId="749FF55B"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w:t>
                  </w:r>
                </w:p>
              </w:tc>
            </w:tr>
            <w:tr w:rsidR="00BD3C6C" w:rsidRPr="00116F5F" w14:paraId="58617DE6" w14:textId="77777777" w:rsidTr="00A43DA5">
              <w:trPr>
                <w:trHeight w:val="255"/>
              </w:trPr>
              <w:tc>
                <w:tcPr>
                  <w:tcW w:w="3482" w:type="dxa"/>
                  <w:tcBorders>
                    <w:top w:val="nil"/>
                    <w:left w:val="nil"/>
                    <w:bottom w:val="nil"/>
                    <w:right w:val="nil"/>
                  </w:tcBorders>
                  <w:shd w:val="clear" w:color="auto" w:fill="auto"/>
                  <w:noWrap/>
                  <w:vAlign w:val="bottom"/>
                  <w:hideMark/>
                </w:tcPr>
                <w:p w14:paraId="5A69075D" w14:textId="54099D5D" w:rsidR="00BD3C6C" w:rsidRPr="00116F5F" w:rsidRDefault="00C177E7">
                  <w:pPr>
                    <w:spacing w:after="0" w:line="240" w:lineRule="auto"/>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val="mn-MN" w:eastAsia="ko-KR"/>
                    </w:rPr>
                    <w:t>Бодит ханш</w:t>
                  </w:r>
                  <w:r w:rsidRPr="00116F5F">
                    <w:rPr>
                      <w:rFonts w:ascii="Times New Roman" w:eastAsia="Times New Roman" w:hAnsi="Times New Roman" w:cs="Times New Roman"/>
                      <w:sz w:val="20"/>
                      <w:szCs w:val="20"/>
                      <w:lang w:eastAsia="ko-KR"/>
                    </w:rPr>
                    <w:t xml:space="preserve"> </w:t>
                  </w:r>
                  <w:r w:rsidR="00BD3C6C" w:rsidRPr="00116F5F">
                    <w:rPr>
                      <w:rFonts w:ascii="Times New Roman" w:eastAsia="Times New Roman" w:hAnsi="Times New Roman" w:cs="Times New Roman"/>
                      <w:sz w:val="20"/>
                      <w:szCs w:val="20"/>
                      <w:lang w:eastAsia="ko-KR"/>
                    </w:rPr>
                    <w:t>(%</w:t>
                  </w:r>
                  <w:r w:rsidR="00BD3C6C">
                    <w:rPr>
                      <w:rFonts w:ascii="Times New Roman" w:eastAsia="Times New Roman" w:hAnsi="Times New Roman" w:cs="Times New Roman"/>
                      <w:sz w:val="20"/>
                      <w:szCs w:val="20"/>
                      <w:lang w:eastAsia="ko-KR"/>
                    </w:rPr>
                    <w:t xml:space="preserve"> </w:t>
                  </w:r>
                  <w:r>
                    <w:rPr>
                      <w:rFonts w:ascii="Times New Roman" w:eastAsia="Times New Roman" w:hAnsi="Times New Roman" w:cs="Times New Roman"/>
                      <w:sz w:val="20"/>
                      <w:szCs w:val="20"/>
                      <w:lang w:val="mn-MN" w:eastAsia="ko-KR"/>
                    </w:rPr>
                    <w:t>өөрчлөлт</w:t>
                  </w:r>
                  <w:r w:rsidR="00BD3C6C">
                    <w:rPr>
                      <w:rFonts w:ascii="Times New Roman" w:eastAsia="Times New Roman" w:hAnsi="Times New Roman" w:cs="Times New Roman"/>
                      <w:sz w:val="20"/>
                      <w:szCs w:val="20"/>
                      <w:lang w:eastAsia="ko-KR"/>
                    </w:rPr>
                    <w:t xml:space="preserve">, </w:t>
                  </w:r>
                  <w:r>
                    <w:rPr>
                      <w:rFonts w:ascii="Times New Roman" w:eastAsia="Times New Roman" w:hAnsi="Times New Roman" w:cs="Times New Roman"/>
                      <w:sz w:val="20"/>
                      <w:szCs w:val="20"/>
                      <w:lang w:val="mn-MN" w:eastAsia="ko-KR"/>
                    </w:rPr>
                    <w:t>дундаж</w:t>
                  </w:r>
                  <w:r w:rsidR="00BD3C6C" w:rsidRPr="00116F5F">
                    <w:rPr>
                      <w:rFonts w:ascii="Times New Roman" w:eastAsia="Times New Roman" w:hAnsi="Times New Roman" w:cs="Times New Roman"/>
                      <w:sz w:val="20"/>
                      <w:szCs w:val="20"/>
                      <w:lang w:eastAsia="ko-KR"/>
                    </w:rPr>
                    <w:t>)</w:t>
                  </w:r>
                </w:p>
              </w:tc>
              <w:tc>
                <w:tcPr>
                  <w:tcW w:w="1120" w:type="dxa"/>
                  <w:tcBorders>
                    <w:top w:val="nil"/>
                    <w:left w:val="nil"/>
                    <w:bottom w:val="nil"/>
                    <w:right w:val="nil"/>
                  </w:tcBorders>
                  <w:shd w:val="clear" w:color="auto" w:fill="auto"/>
                  <w:noWrap/>
                  <w:vAlign w:val="bottom"/>
                  <w:hideMark/>
                </w:tcPr>
                <w:p w14:paraId="0A4C6809"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8.6</w:t>
                  </w:r>
                </w:p>
              </w:tc>
              <w:tc>
                <w:tcPr>
                  <w:tcW w:w="1120" w:type="dxa"/>
                  <w:tcBorders>
                    <w:top w:val="nil"/>
                    <w:left w:val="nil"/>
                    <w:bottom w:val="nil"/>
                    <w:right w:val="nil"/>
                  </w:tcBorders>
                  <w:shd w:val="clear" w:color="auto" w:fill="auto"/>
                  <w:noWrap/>
                  <w:vAlign w:val="bottom"/>
                  <w:hideMark/>
                </w:tcPr>
                <w:p w14:paraId="303FCE4D"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2.9</w:t>
                  </w:r>
                </w:p>
              </w:tc>
              <w:tc>
                <w:tcPr>
                  <w:tcW w:w="1120" w:type="dxa"/>
                  <w:tcBorders>
                    <w:top w:val="nil"/>
                    <w:left w:val="nil"/>
                    <w:bottom w:val="nil"/>
                    <w:right w:val="nil"/>
                  </w:tcBorders>
                  <w:shd w:val="clear" w:color="auto" w:fill="auto"/>
                  <w:noWrap/>
                  <w:vAlign w:val="bottom"/>
                  <w:hideMark/>
                </w:tcPr>
                <w:p w14:paraId="1ADA402F"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w:t>
                  </w:r>
                </w:p>
              </w:tc>
              <w:tc>
                <w:tcPr>
                  <w:tcW w:w="1120" w:type="dxa"/>
                  <w:tcBorders>
                    <w:top w:val="nil"/>
                    <w:left w:val="nil"/>
                    <w:bottom w:val="nil"/>
                    <w:right w:val="nil"/>
                  </w:tcBorders>
                  <w:shd w:val="clear" w:color="auto" w:fill="auto"/>
                  <w:noWrap/>
                  <w:vAlign w:val="bottom"/>
                  <w:hideMark/>
                </w:tcPr>
                <w:p w14:paraId="41DD073E"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w:t>
                  </w:r>
                </w:p>
              </w:tc>
              <w:tc>
                <w:tcPr>
                  <w:tcW w:w="1182" w:type="dxa"/>
                  <w:tcBorders>
                    <w:top w:val="nil"/>
                    <w:left w:val="nil"/>
                    <w:bottom w:val="nil"/>
                    <w:right w:val="nil"/>
                  </w:tcBorders>
                  <w:shd w:val="clear" w:color="auto" w:fill="auto"/>
                  <w:noWrap/>
                  <w:vAlign w:val="bottom"/>
                  <w:hideMark/>
                </w:tcPr>
                <w:p w14:paraId="576BA9E4"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eastAsia="ko-KR"/>
                    </w:rPr>
                    <w:t>..</w:t>
                  </w:r>
                </w:p>
              </w:tc>
            </w:tr>
            <w:tr w:rsidR="00BD3C6C" w:rsidRPr="00116F5F" w14:paraId="0C91FEAD" w14:textId="77777777" w:rsidTr="00A43DA5">
              <w:trPr>
                <w:trHeight w:val="255"/>
              </w:trPr>
              <w:tc>
                <w:tcPr>
                  <w:tcW w:w="3482" w:type="dxa"/>
                  <w:tcBorders>
                    <w:top w:val="nil"/>
                    <w:left w:val="nil"/>
                    <w:bottom w:val="nil"/>
                    <w:right w:val="nil"/>
                  </w:tcBorders>
                  <w:shd w:val="clear" w:color="auto" w:fill="auto"/>
                  <w:noWrap/>
                  <w:vAlign w:val="bottom"/>
                  <w:hideMark/>
                </w:tcPr>
                <w:p w14:paraId="2F27B3E0" w14:textId="77777777" w:rsidR="00BD3C6C" w:rsidRPr="00116F5F" w:rsidRDefault="00BD3C6C" w:rsidP="00A43DA5">
                  <w:pPr>
                    <w:spacing w:after="0" w:line="240" w:lineRule="auto"/>
                    <w:rPr>
                      <w:rFonts w:ascii="Times New Roman" w:eastAsia="Times New Roman" w:hAnsi="Times New Roman" w:cs="Times New Roman"/>
                      <w:sz w:val="20"/>
                      <w:szCs w:val="20"/>
                      <w:lang w:eastAsia="ko-KR"/>
                    </w:rPr>
                  </w:pPr>
                </w:p>
              </w:tc>
              <w:tc>
                <w:tcPr>
                  <w:tcW w:w="1120" w:type="dxa"/>
                  <w:tcBorders>
                    <w:top w:val="nil"/>
                    <w:left w:val="nil"/>
                    <w:bottom w:val="nil"/>
                    <w:right w:val="nil"/>
                  </w:tcBorders>
                  <w:shd w:val="clear" w:color="auto" w:fill="auto"/>
                  <w:noWrap/>
                  <w:vAlign w:val="bottom"/>
                  <w:hideMark/>
                </w:tcPr>
                <w:p w14:paraId="212C719E"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p>
              </w:tc>
              <w:tc>
                <w:tcPr>
                  <w:tcW w:w="1120" w:type="dxa"/>
                  <w:tcBorders>
                    <w:top w:val="nil"/>
                    <w:left w:val="nil"/>
                    <w:bottom w:val="nil"/>
                    <w:right w:val="nil"/>
                  </w:tcBorders>
                  <w:shd w:val="clear" w:color="auto" w:fill="auto"/>
                  <w:noWrap/>
                  <w:vAlign w:val="bottom"/>
                  <w:hideMark/>
                </w:tcPr>
                <w:p w14:paraId="410F7AB0"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p>
              </w:tc>
              <w:tc>
                <w:tcPr>
                  <w:tcW w:w="1120" w:type="dxa"/>
                  <w:tcBorders>
                    <w:top w:val="nil"/>
                    <w:left w:val="nil"/>
                    <w:bottom w:val="nil"/>
                    <w:right w:val="nil"/>
                  </w:tcBorders>
                  <w:shd w:val="clear" w:color="auto" w:fill="auto"/>
                  <w:noWrap/>
                  <w:vAlign w:val="bottom"/>
                  <w:hideMark/>
                </w:tcPr>
                <w:p w14:paraId="09E285F0"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p>
              </w:tc>
              <w:tc>
                <w:tcPr>
                  <w:tcW w:w="1120" w:type="dxa"/>
                  <w:tcBorders>
                    <w:top w:val="nil"/>
                    <w:left w:val="nil"/>
                    <w:bottom w:val="nil"/>
                    <w:right w:val="nil"/>
                  </w:tcBorders>
                  <w:shd w:val="clear" w:color="auto" w:fill="auto"/>
                  <w:noWrap/>
                  <w:vAlign w:val="bottom"/>
                  <w:hideMark/>
                </w:tcPr>
                <w:p w14:paraId="5238ED0D"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p>
              </w:tc>
              <w:tc>
                <w:tcPr>
                  <w:tcW w:w="1182" w:type="dxa"/>
                  <w:tcBorders>
                    <w:top w:val="nil"/>
                    <w:left w:val="nil"/>
                    <w:bottom w:val="nil"/>
                    <w:right w:val="nil"/>
                  </w:tcBorders>
                  <w:shd w:val="clear" w:color="auto" w:fill="auto"/>
                  <w:noWrap/>
                  <w:vAlign w:val="bottom"/>
                  <w:hideMark/>
                </w:tcPr>
                <w:p w14:paraId="6CEAF3A5"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p>
              </w:tc>
            </w:tr>
            <w:tr w:rsidR="00BD3C6C" w:rsidRPr="00116F5F" w14:paraId="38EBC629" w14:textId="77777777" w:rsidTr="00A43DA5">
              <w:trPr>
                <w:trHeight w:val="255"/>
              </w:trPr>
              <w:tc>
                <w:tcPr>
                  <w:tcW w:w="3482" w:type="dxa"/>
                  <w:tcBorders>
                    <w:top w:val="nil"/>
                    <w:left w:val="nil"/>
                    <w:bottom w:val="nil"/>
                    <w:right w:val="nil"/>
                  </w:tcBorders>
                  <w:shd w:val="clear" w:color="auto" w:fill="auto"/>
                  <w:noWrap/>
                  <w:vAlign w:val="bottom"/>
                  <w:hideMark/>
                </w:tcPr>
                <w:p w14:paraId="57E3DE88" w14:textId="77777777" w:rsidR="00BD3C6C" w:rsidRPr="00116F5F" w:rsidRDefault="00BD3C6C" w:rsidP="00A43DA5">
                  <w:pPr>
                    <w:spacing w:after="0" w:line="240" w:lineRule="auto"/>
                    <w:rPr>
                      <w:rFonts w:ascii="Times New Roman" w:eastAsia="Times New Roman" w:hAnsi="Times New Roman" w:cs="Times New Roman"/>
                      <w:sz w:val="20"/>
                      <w:szCs w:val="20"/>
                      <w:lang w:eastAsia="ko-KR"/>
                    </w:rPr>
                  </w:pPr>
                </w:p>
              </w:tc>
              <w:tc>
                <w:tcPr>
                  <w:tcW w:w="1120" w:type="dxa"/>
                  <w:tcBorders>
                    <w:top w:val="nil"/>
                    <w:left w:val="nil"/>
                    <w:bottom w:val="nil"/>
                    <w:right w:val="nil"/>
                  </w:tcBorders>
                  <w:shd w:val="clear" w:color="auto" w:fill="auto"/>
                  <w:noWrap/>
                  <w:vAlign w:val="bottom"/>
                  <w:hideMark/>
                </w:tcPr>
                <w:p w14:paraId="5BDCDD46"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p>
              </w:tc>
              <w:tc>
                <w:tcPr>
                  <w:tcW w:w="1120" w:type="dxa"/>
                  <w:tcBorders>
                    <w:top w:val="nil"/>
                    <w:left w:val="nil"/>
                    <w:bottom w:val="nil"/>
                    <w:right w:val="nil"/>
                  </w:tcBorders>
                  <w:shd w:val="clear" w:color="auto" w:fill="auto"/>
                  <w:noWrap/>
                  <w:vAlign w:val="bottom"/>
                  <w:hideMark/>
                </w:tcPr>
                <w:p w14:paraId="4321A66A"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p>
              </w:tc>
              <w:tc>
                <w:tcPr>
                  <w:tcW w:w="1120" w:type="dxa"/>
                  <w:tcBorders>
                    <w:top w:val="nil"/>
                    <w:left w:val="nil"/>
                    <w:bottom w:val="nil"/>
                    <w:right w:val="nil"/>
                  </w:tcBorders>
                  <w:shd w:val="clear" w:color="auto" w:fill="auto"/>
                  <w:noWrap/>
                  <w:vAlign w:val="bottom"/>
                  <w:hideMark/>
                </w:tcPr>
                <w:p w14:paraId="7CF9FE21"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p>
              </w:tc>
              <w:tc>
                <w:tcPr>
                  <w:tcW w:w="1120" w:type="dxa"/>
                  <w:tcBorders>
                    <w:top w:val="nil"/>
                    <w:left w:val="nil"/>
                    <w:bottom w:val="nil"/>
                    <w:right w:val="nil"/>
                  </w:tcBorders>
                  <w:shd w:val="clear" w:color="auto" w:fill="auto"/>
                  <w:noWrap/>
                  <w:vAlign w:val="bottom"/>
                  <w:hideMark/>
                </w:tcPr>
                <w:p w14:paraId="1D973F16"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p>
              </w:tc>
              <w:tc>
                <w:tcPr>
                  <w:tcW w:w="1182" w:type="dxa"/>
                  <w:tcBorders>
                    <w:top w:val="nil"/>
                    <w:left w:val="nil"/>
                    <w:bottom w:val="nil"/>
                    <w:right w:val="nil"/>
                  </w:tcBorders>
                  <w:shd w:val="clear" w:color="auto" w:fill="auto"/>
                  <w:noWrap/>
                  <w:vAlign w:val="bottom"/>
                  <w:hideMark/>
                </w:tcPr>
                <w:p w14:paraId="4E5BF5A6"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p>
              </w:tc>
            </w:tr>
            <w:tr w:rsidR="00BD3C6C" w:rsidRPr="00116F5F" w14:paraId="3A1411EB" w14:textId="77777777" w:rsidTr="00A43DA5">
              <w:trPr>
                <w:trHeight w:val="255"/>
              </w:trPr>
              <w:tc>
                <w:tcPr>
                  <w:tcW w:w="3482" w:type="dxa"/>
                  <w:tcBorders>
                    <w:top w:val="nil"/>
                    <w:left w:val="nil"/>
                    <w:bottom w:val="nil"/>
                    <w:right w:val="nil"/>
                  </w:tcBorders>
                  <w:shd w:val="clear" w:color="auto" w:fill="auto"/>
                  <w:noWrap/>
                  <w:vAlign w:val="bottom"/>
                  <w:hideMark/>
                </w:tcPr>
                <w:p w14:paraId="481DD91A" w14:textId="0FE6D5B3" w:rsidR="00BD3C6C" w:rsidRPr="00630B23" w:rsidRDefault="00C177E7" w:rsidP="00A43DA5">
                  <w:pPr>
                    <w:spacing w:after="0" w:line="240" w:lineRule="auto"/>
                    <w:rPr>
                      <w:rFonts w:ascii="Times New Roman" w:eastAsia="Times New Roman" w:hAnsi="Times New Roman" w:cs="Times New Roman"/>
                      <w:b/>
                      <w:bCs/>
                      <w:sz w:val="20"/>
                      <w:szCs w:val="20"/>
                      <w:lang w:val="mn-MN" w:eastAsia="ko-KR"/>
                    </w:rPr>
                  </w:pPr>
                  <w:r>
                    <w:rPr>
                      <w:rFonts w:ascii="Times New Roman" w:eastAsia="Times New Roman" w:hAnsi="Times New Roman" w:cs="Times New Roman"/>
                      <w:b/>
                      <w:bCs/>
                      <w:sz w:val="20"/>
                      <w:szCs w:val="20"/>
                      <w:lang w:val="mn-MN" w:eastAsia="ko-KR"/>
                    </w:rPr>
                    <w:t>Санамж</w:t>
                  </w:r>
                </w:p>
              </w:tc>
              <w:tc>
                <w:tcPr>
                  <w:tcW w:w="1120" w:type="dxa"/>
                  <w:tcBorders>
                    <w:top w:val="nil"/>
                    <w:left w:val="nil"/>
                    <w:bottom w:val="nil"/>
                    <w:right w:val="nil"/>
                  </w:tcBorders>
                  <w:shd w:val="clear" w:color="auto" w:fill="auto"/>
                  <w:noWrap/>
                  <w:vAlign w:val="bottom"/>
                  <w:hideMark/>
                </w:tcPr>
                <w:p w14:paraId="3C1E9BDA"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p>
              </w:tc>
              <w:tc>
                <w:tcPr>
                  <w:tcW w:w="1120" w:type="dxa"/>
                  <w:tcBorders>
                    <w:top w:val="nil"/>
                    <w:left w:val="nil"/>
                    <w:bottom w:val="nil"/>
                    <w:right w:val="nil"/>
                  </w:tcBorders>
                  <w:shd w:val="clear" w:color="auto" w:fill="auto"/>
                  <w:noWrap/>
                  <w:vAlign w:val="bottom"/>
                  <w:hideMark/>
                </w:tcPr>
                <w:p w14:paraId="7D4DD920"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p>
              </w:tc>
              <w:tc>
                <w:tcPr>
                  <w:tcW w:w="1120" w:type="dxa"/>
                  <w:tcBorders>
                    <w:top w:val="nil"/>
                    <w:left w:val="nil"/>
                    <w:bottom w:val="nil"/>
                    <w:right w:val="nil"/>
                  </w:tcBorders>
                  <w:shd w:val="clear" w:color="auto" w:fill="auto"/>
                  <w:noWrap/>
                  <w:vAlign w:val="bottom"/>
                  <w:hideMark/>
                </w:tcPr>
                <w:p w14:paraId="2E8FA626"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p>
              </w:tc>
              <w:tc>
                <w:tcPr>
                  <w:tcW w:w="1120" w:type="dxa"/>
                  <w:tcBorders>
                    <w:top w:val="nil"/>
                    <w:left w:val="nil"/>
                    <w:bottom w:val="nil"/>
                    <w:right w:val="nil"/>
                  </w:tcBorders>
                  <w:shd w:val="clear" w:color="auto" w:fill="auto"/>
                  <w:noWrap/>
                  <w:vAlign w:val="bottom"/>
                  <w:hideMark/>
                </w:tcPr>
                <w:p w14:paraId="57E5CDA7"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p>
              </w:tc>
              <w:tc>
                <w:tcPr>
                  <w:tcW w:w="1182" w:type="dxa"/>
                  <w:tcBorders>
                    <w:top w:val="nil"/>
                    <w:left w:val="nil"/>
                    <w:bottom w:val="nil"/>
                    <w:right w:val="nil"/>
                  </w:tcBorders>
                  <w:shd w:val="clear" w:color="auto" w:fill="auto"/>
                  <w:noWrap/>
                  <w:vAlign w:val="bottom"/>
                  <w:hideMark/>
                </w:tcPr>
                <w:p w14:paraId="260F754F"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p>
              </w:tc>
            </w:tr>
            <w:tr w:rsidR="00BD3C6C" w:rsidRPr="00116F5F" w14:paraId="7C0AC62C" w14:textId="77777777" w:rsidTr="00A43DA5">
              <w:trPr>
                <w:trHeight w:val="255"/>
              </w:trPr>
              <w:tc>
                <w:tcPr>
                  <w:tcW w:w="3482" w:type="dxa"/>
                  <w:tcBorders>
                    <w:top w:val="nil"/>
                    <w:left w:val="nil"/>
                    <w:bottom w:val="nil"/>
                    <w:right w:val="nil"/>
                  </w:tcBorders>
                  <w:shd w:val="clear" w:color="auto" w:fill="auto"/>
                  <w:noWrap/>
                  <w:vAlign w:val="bottom"/>
                  <w:hideMark/>
                </w:tcPr>
                <w:p w14:paraId="2F004362" w14:textId="2A370205" w:rsidR="00BD3C6C" w:rsidRPr="00116F5F" w:rsidRDefault="00C177E7">
                  <w:pPr>
                    <w:spacing w:after="0" w:line="240" w:lineRule="auto"/>
                    <w:rPr>
                      <w:rFonts w:ascii="Times New Roman" w:eastAsia="Times New Roman" w:hAnsi="Times New Roman" w:cs="Times New Roman"/>
                      <w:sz w:val="20"/>
                      <w:szCs w:val="20"/>
                      <w:lang w:eastAsia="ko-KR"/>
                    </w:rPr>
                  </w:pPr>
                  <w:r>
                    <w:rPr>
                      <w:rFonts w:ascii="Times New Roman" w:eastAsia="Times New Roman" w:hAnsi="Times New Roman" w:cs="Times New Roman"/>
                      <w:sz w:val="20"/>
                      <w:szCs w:val="20"/>
                      <w:lang w:val="mn-MN" w:eastAsia="ko-KR"/>
                    </w:rPr>
                    <w:t>Нэрлэсэн ДНБ</w:t>
                  </w:r>
                  <w:r w:rsidR="00BD3C6C" w:rsidRPr="00116F5F">
                    <w:rPr>
                      <w:rFonts w:ascii="Times New Roman" w:eastAsia="Times New Roman" w:hAnsi="Times New Roman" w:cs="Times New Roman"/>
                      <w:sz w:val="20"/>
                      <w:szCs w:val="20"/>
                      <w:lang w:eastAsia="ko-KR"/>
                    </w:rPr>
                    <w:t xml:space="preserve"> (</w:t>
                  </w:r>
                  <w:r>
                    <w:rPr>
                      <w:rFonts w:ascii="Times New Roman" w:eastAsia="Times New Roman" w:hAnsi="Times New Roman" w:cs="Times New Roman"/>
                      <w:sz w:val="20"/>
                      <w:szCs w:val="20"/>
                      <w:lang w:val="mn-MN" w:eastAsia="ko-KR"/>
                    </w:rPr>
                    <w:t>тэрбум төгрөг</w:t>
                  </w:r>
                  <w:r w:rsidR="00BD3C6C" w:rsidRPr="00116F5F">
                    <w:rPr>
                      <w:rFonts w:ascii="Times New Roman" w:eastAsia="Times New Roman" w:hAnsi="Times New Roman" w:cs="Times New Roman"/>
                      <w:sz w:val="20"/>
                      <w:szCs w:val="20"/>
                      <w:lang w:eastAsia="ko-KR"/>
                    </w:rPr>
                    <w:t>)</w:t>
                  </w:r>
                </w:p>
              </w:tc>
              <w:tc>
                <w:tcPr>
                  <w:tcW w:w="1120" w:type="dxa"/>
                  <w:tcBorders>
                    <w:top w:val="nil"/>
                    <w:left w:val="nil"/>
                    <w:bottom w:val="nil"/>
                    <w:right w:val="nil"/>
                  </w:tcBorders>
                  <w:shd w:val="clear" w:color="auto" w:fill="auto"/>
                  <w:noWrap/>
                  <w:vAlign w:val="bottom"/>
                  <w:hideMark/>
                </w:tcPr>
                <w:p w14:paraId="3825C65E"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11,088</w:t>
                  </w:r>
                </w:p>
              </w:tc>
              <w:tc>
                <w:tcPr>
                  <w:tcW w:w="1120" w:type="dxa"/>
                  <w:tcBorders>
                    <w:top w:val="nil"/>
                    <w:left w:val="nil"/>
                    <w:bottom w:val="nil"/>
                    <w:right w:val="nil"/>
                  </w:tcBorders>
                  <w:shd w:val="clear" w:color="auto" w:fill="auto"/>
                  <w:noWrap/>
                  <w:vAlign w:val="bottom"/>
                  <w:hideMark/>
                </w:tcPr>
                <w:p w14:paraId="1C37CDBB"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14,013</w:t>
                  </w:r>
                </w:p>
              </w:tc>
              <w:tc>
                <w:tcPr>
                  <w:tcW w:w="1120" w:type="dxa"/>
                  <w:tcBorders>
                    <w:top w:val="nil"/>
                    <w:left w:val="nil"/>
                    <w:bottom w:val="nil"/>
                    <w:right w:val="nil"/>
                  </w:tcBorders>
                  <w:shd w:val="clear" w:color="auto" w:fill="auto"/>
                  <w:noWrap/>
                  <w:vAlign w:val="bottom"/>
                  <w:hideMark/>
                </w:tcPr>
                <w:p w14:paraId="23DC40A6"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16,963</w:t>
                  </w:r>
                </w:p>
              </w:tc>
              <w:tc>
                <w:tcPr>
                  <w:tcW w:w="1120" w:type="dxa"/>
                  <w:tcBorders>
                    <w:top w:val="nil"/>
                    <w:left w:val="nil"/>
                    <w:bottom w:val="nil"/>
                    <w:right w:val="nil"/>
                  </w:tcBorders>
                  <w:shd w:val="clear" w:color="auto" w:fill="auto"/>
                  <w:noWrap/>
                  <w:vAlign w:val="bottom"/>
                  <w:hideMark/>
                </w:tcPr>
                <w:p w14:paraId="53A8DF3E"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20,362</w:t>
                  </w:r>
                </w:p>
              </w:tc>
              <w:tc>
                <w:tcPr>
                  <w:tcW w:w="1182" w:type="dxa"/>
                  <w:tcBorders>
                    <w:top w:val="nil"/>
                    <w:left w:val="nil"/>
                    <w:bottom w:val="nil"/>
                    <w:right w:val="nil"/>
                  </w:tcBorders>
                  <w:shd w:val="clear" w:color="auto" w:fill="auto"/>
                  <w:noWrap/>
                  <w:vAlign w:val="bottom"/>
                  <w:hideMark/>
                </w:tcPr>
                <w:p w14:paraId="10893D8B" w14:textId="77777777" w:rsidR="00BD3C6C" w:rsidRPr="00116F5F" w:rsidRDefault="00BD3C6C" w:rsidP="00A43DA5">
                  <w:pPr>
                    <w:spacing w:after="0" w:line="240" w:lineRule="auto"/>
                    <w:jc w:val="right"/>
                    <w:rPr>
                      <w:rFonts w:ascii="Times New Roman" w:eastAsia="Times New Roman" w:hAnsi="Times New Roman" w:cs="Times New Roman"/>
                      <w:sz w:val="20"/>
                      <w:szCs w:val="20"/>
                      <w:lang w:eastAsia="ko-KR"/>
                    </w:rPr>
                  </w:pPr>
                  <w:r w:rsidRPr="00116F5F">
                    <w:rPr>
                      <w:rFonts w:ascii="Times New Roman" w:eastAsia="Times New Roman" w:hAnsi="Times New Roman" w:cs="Times New Roman"/>
                      <w:sz w:val="20"/>
                      <w:szCs w:val="20"/>
                      <w:lang w:eastAsia="ko-KR"/>
                    </w:rPr>
                    <w:t>2</w:t>
                  </w:r>
                  <w:r>
                    <w:rPr>
                      <w:rFonts w:ascii="Times New Roman" w:eastAsia="Times New Roman" w:hAnsi="Times New Roman" w:cs="Times New Roman"/>
                      <w:sz w:val="20"/>
                      <w:szCs w:val="20"/>
                      <w:lang w:eastAsia="ko-KR"/>
                    </w:rPr>
                    <w:t>4,027</w:t>
                  </w:r>
                </w:p>
              </w:tc>
            </w:tr>
            <w:tr w:rsidR="00BD3C6C" w:rsidRPr="00116F5F" w14:paraId="73A7F4F9" w14:textId="77777777" w:rsidTr="00A43DA5">
              <w:trPr>
                <w:trHeight w:val="255"/>
              </w:trPr>
              <w:tc>
                <w:tcPr>
                  <w:tcW w:w="3482" w:type="dxa"/>
                  <w:tcBorders>
                    <w:top w:val="nil"/>
                    <w:left w:val="nil"/>
                    <w:bottom w:val="single" w:sz="4" w:space="0" w:color="auto"/>
                    <w:right w:val="nil"/>
                  </w:tcBorders>
                  <w:shd w:val="clear" w:color="auto" w:fill="auto"/>
                  <w:noWrap/>
                  <w:vAlign w:val="bottom"/>
                </w:tcPr>
                <w:p w14:paraId="44618D88" w14:textId="77777777" w:rsidR="00BD3C6C" w:rsidRPr="00116F5F" w:rsidRDefault="00BD3C6C" w:rsidP="00A43DA5">
                  <w:pPr>
                    <w:spacing w:after="0" w:line="240" w:lineRule="auto"/>
                    <w:rPr>
                      <w:rFonts w:ascii="Times New Roman" w:eastAsia="Times New Roman" w:hAnsi="Times New Roman" w:cs="Times New Roman"/>
                      <w:sz w:val="20"/>
                      <w:szCs w:val="20"/>
                      <w:lang w:eastAsia="ko-KR"/>
                    </w:rPr>
                  </w:pPr>
                </w:p>
              </w:tc>
              <w:tc>
                <w:tcPr>
                  <w:tcW w:w="1120" w:type="dxa"/>
                  <w:tcBorders>
                    <w:top w:val="nil"/>
                    <w:left w:val="nil"/>
                    <w:bottom w:val="single" w:sz="4" w:space="0" w:color="auto"/>
                    <w:right w:val="nil"/>
                  </w:tcBorders>
                  <w:shd w:val="clear" w:color="auto" w:fill="auto"/>
                  <w:noWrap/>
                  <w:vAlign w:val="bottom"/>
                </w:tcPr>
                <w:p w14:paraId="6D7F6482" w14:textId="77777777" w:rsidR="00BD3C6C" w:rsidRPr="00116F5F" w:rsidRDefault="00BD3C6C" w:rsidP="00A43DA5">
                  <w:pPr>
                    <w:spacing w:after="0" w:line="240" w:lineRule="auto"/>
                    <w:jc w:val="center"/>
                    <w:rPr>
                      <w:rFonts w:ascii="Times New Roman" w:eastAsia="Times New Roman" w:hAnsi="Times New Roman" w:cs="Times New Roman"/>
                      <w:sz w:val="20"/>
                      <w:szCs w:val="20"/>
                      <w:lang w:eastAsia="ko-KR"/>
                    </w:rPr>
                  </w:pPr>
                </w:p>
              </w:tc>
              <w:tc>
                <w:tcPr>
                  <w:tcW w:w="1120" w:type="dxa"/>
                  <w:tcBorders>
                    <w:top w:val="nil"/>
                    <w:left w:val="nil"/>
                    <w:bottom w:val="single" w:sz="4" w:space="0" w:color="auto"/>
                    <w:right w:val="nil"/>
                  </w:tcBorders>
                  <w:shd w:val="clear" w:color="auto" w:fill="auto"/>
                  <w:noWrap/>
                  <w:vAlign w:val="bottom"/>
                </w:tcPr>
                <w:p w14:paraId="4B3FC1B7" w14:textId="77777777" w:rsidR="00BD3C6C" w:rsidRPr="00116F5F" w:rsidRDefault="00BD3C6C" w:rsidP="00A43DA5">
                  <w:pPr>
                    <w:spacing w:after="0" w:line="240" w:lineRule="auto"/>
                    <w:jc w:val="center"/>
                    <w:rPr>
                      <w:rFonts w:ascii="Times New Roman" w:eastAsia="Times New Roman" w:hAnsi="Times New Roman" w:cs="Times New Roman"/>
                      <w:sz w:val="20"/>
                      <w:szCs w:val="20"/>
                      <w:lang w:eastAsia="ko-KR"/>
                    </w:rPr>
                  </w:pPr>
                </w:p>
              </w:tc>
              <w:tc>
                <w:tcPr>
                  <w:tcW w:w="1120" w:type="dxa"/>
                  <w:tcBorders>
                    <w:top w:val="nil"/>
                    <w:left w:val="nil"/>
                    <w:bottom w:val="single" w:sz="4" w:space="0" w:color="auto"/>
                    <w:right w:val="nil"/>
                  </w:tcBorders>
                  <w:shd w:val="clear" w:color="auto" w:fill="auto"/>
                  <w:noWrap/>
                  <w:vAlign w:val="bottom"/>
                </w:tcPr>
                <w:p w14:paraId="67F7784C" w14:textId="77777777" w:rsidR="00BD3C6C" w:rsidRPr="00116F5F" w:rsidRDefault="00BD3C6C" w:rsidP="00A43DA5">
                  <w:pPr>
                    <w:spacing w:after="0" w:line="240" w:lineRule="auto"/>
                    <w:jc w:val="center"/>
                    <w:rPr>
                      <w:rFonts w:ascii="Times New Roman" w:eastAsia="Times New Roman" w:hAnsi="Times New Roman" w:cs="Times New Roman"/>
                      <w:sz w:val="20"/>
                      <w:szCs w:val="20"/>
                      <w:lang w:eastAsia="ko-KR"/>
                    </w:rPr>
                  </w:pPr>
                </w:p>
              </w:tc>
              <w:tc>
                <w:tcPr>
                  <w:tcW w:w="1120" w:type="dxa"/>
                  <w:tcBorders>
                    <w:top w:val="nil"/>
                    <w:left w:val="nil"/>
                    <w:bottom w:val="single" w:sz="4" w:space="0" w:color="auto"/>
                    <w:right w:val="nil"/>
                  </w:tcBorders>
                  <w:shd w:val="clear" w:color="auto" w:fill="auto"/>
                  <w:noWrap/>
                  <w:vAlign w:val="bottom"/>
                </w:tcPr>
                <w:p w14:paraId="1BCEEE41" w14:textId="77777777" w:rsidR="00BD3C6C" w:rsidRPr="00116F5F" w:rsidRDefault="00BD3C6C" w:rsidP="00A43DA5">
                  <w:pPr>
                    <w:spacing w:after="0" w:line="240" w:lineRule="auto"/>
                    <w:jc w:val="center"/>
                    <w:rPr>
                      <w:rFonts w:ascii="Times New Roman" w:eastAsia="Times New Roman" w:hAnsi="Times New Roman" w:cs="Times New Roman"/>
                      <w:sz w:val="20"/>
                      <w:szCs w:val="20"/>
                      <w:lang w:eastAsia="ko-KR"/>
                    </w:rPr>
                  </w:pPr>
                </w:p>
              </w:tc>
              <w:tc>
                <w:tcPr>
                  <w:tcW w:w="1182" w:type="dxa"/>
                  <w:tcBorders>
                    <w:top w:val="nil"/>
                    <w:left w:val="nil"/>
                    <w:bottom w:val="single" w:sz="4" w:space="0" w:color="auto"/>
                    <w:right w:val="nil"/>
                  </w:tcBorders>
                  <w:shd w:val="clear" w:color="auto" w:fill="auto"/>
                  <w:noWrap/>
                  <w:vAlign w:val="bottom"/>
                </w:tcPr>
                <w:p w14:paraId="6C96E3A4" w14:textId="77777777" w:rsidR="00BD3C6C" w:rsidRPr="00116F5F" w:rsidRDefault="00BD3C6C" w:rsidP="00A43DA5">
                  <w:pPr>
                    <w:spacing w:after="0" w:line="240" w:lineRule="auto"/>
                    <w:jc w:val="center"/>
                    <w:rPr>
                      <w:rFonts w:ascii="Times New Roman" w:eastAsia="Times New Roman" w:hAnsi="Times New Roman" w:cs="Times New Roman"/>
                      <w:sz w:val="20"/>
                      <w:szCs w:val="20"/>
                      <w:lang w:eastAsia="ko-KR"/>
                    </w:rPr>
                  </w:pPr>
                </w:p>
              </w:tc>
            </w:tr>
          </w:tbl>
          <w:p w14:paraId="0D6DF1F7" w14:textId="77777777" w:rsidR="00BD3C6C" w:rsidRDefault="00BD3C6C" w:rsidP="00A43DA5">
            <w:pPr>
              <w:jc w:val="both"/>
              <w:rPr>
                <w:rFonts w:ascii="Times New Roman" w:eastAsiaTheme="minorHAnsi" w:hAnsi="Times New Roman" w:cs="Times New Roman"/>
              </w:rPr>
            </w:pPr>
          </w:p>
        </w:tc>
      </w:tr>
      <w:tr w:rsidR="00BD3C6C" w:rsidRPr="00C177E7" w14:paraId="2AD71297" w14:textId="77777777" w:rsidTr="00504CA8">
        <w:trPr>
          <w:gridAfter w:val="1"/>
          <w:wAfter w:w="640" w:type="dxa"/>
          <w:trHeight w:val="255"/>
        </w:trPr>
        <w:tc>
          <w:tcPr>
            <w:tcW w:w="8936" w:type="dxa"/>
            <w:tcBorders>
              <w:top w:val="nil"/>
              <w:left w:val="nil"/>
              <w:bottom w:val="nil"/>
              <w:right w:val="nil"/>
            </w:tcBorders>
            <w:shd w:val="clear" w:color="auto" w:fill="auto"/>
            <w:noWrap/>
            <w:vAlign w:val="bottom"/>
            <w:hideMark/>
          </w:tcPr>
          <w:p w14:paraId="63FD665F" w14:textId="77777777" w:rsidR="00504CA8" w:rsidRPr="00630B23" w:rsidRDefault="00504CA8" w:rsidP="00A43DA5">
            <w:pPr>
              <w:spacing w:after="0" w:line="240" w:lineRule="auto"/>
              <w:rPr>
                <w:rFonts w:ascii="Arial" w:eastAsia="Times New Roman" w:hAnsi="Arial" w:cs="Arial"/>
                <w:sz w:val="18"/>
                <w:szCs w:val="18"/>
              </w:rPr>
            </w:pPr>
          </w:p>
          <w:p w14:paraId="0B4D2D7F" w14:textId="2E472174" w:rsidR="00BD3C6C" w:rsidRPr="00630B23" w:rsidRDefault="00C177E7">
            <w:pPr>
              <w:spacing w:after="0" w:line="240" w:lineRule="auto"/>
              <w:rPr>
                <w:rFonts w:ascii="Arial" w:eastAsia="Times New Roman" w:hAnsi="Arial" w:cs="Arial"/>
                <w:sz w:val="18"/>
                <w:szCs w:val="18"/>
              </w:rPr>
            </w:pPr>
            <w:r w:rsidRPr="00630B23">
              <w:rPr>
                <w:rFonts w:ascii="Arial" w:eastAsia="Times New Roman" w:hAnsi="Arial" w:cs="Arial"/>
                <w:sz w:val="18"/>
                <w:szCs w:val="18"/>
                <w:lang w:val="mn-MN"/>
              </w:rPr>
              <w:t>Эх үүсвэр</w:t>
            </w:r>
            <w:r w:rsidR="00BD3C6C" w:rsidRPr="00630B23">
              <w:rPr>
                <w:rFonts w:ascii="Arial" w:eastAsia="Times New Roman" w:hAnsi="Arial" w:cs="Arial"/>
                <w:sz w:val="18"/>
                <w:szCs w:val="18"/>
              </w:rPr>
              <w:t xml:space="preserve">: </w:t>
            </w:r>
            <w:r w:rsidRPr="00630B23">
              <w:rPr>
                <w:rFonts w:ascii="Arial" w:eastAsia="Times New Roman" w:hAnsi="Arial" w:cs="Arial"/>
                <w:sz w:val="18"/>
                <w:szCs w:val="18"/>
                <w:lang w:val="mn-MN"/>
              </w:rPr>
              <w:t>улсын мэдээллийн эх үүсвэрүүд, ДБ мэргэжилтнүүдийн тооцоо</w:t>
            </w:r>
          </w:p>
        </w:tc>
      </w:tr>
      <w:tr w:rsidR="00BD3C6C" w:rsidRPr="00C177E7" w14:paraId="13A17A19" w14:textId="77777777" w:rsidTr="00504CA8">
        <w:trPr>
          <w:gridAfter w:val="1"/>
          <w:wAfter w:w="640" w:type="dxa"/>
          <w:trHeight w:val="255"/>
        </w:trPr>
        <w:tc>
          <w:tcPr>
            <w:tcW w:w="8936" w:type="dxa"/>
            <w:tcBorders>
              <w:top w:val="nil"/>
              <w:left w:val="nil"/>
              <w:bottom w:val="nil"/>
              <w:right w:val="nil"/>
            </w:tcBorders>
            <w:shd w:val="clear" w:color="auto" w:fill="auto"/>
            <w:noWrap/>
            <w:vAlign w:val="bottom"/>
            <w:hideMark/>
          </w:tcPr>
          <w:p w14:paraId="17F10034" w14:textId="79DB2A4A" w:rsidR="00BD3C6C" w:rsidRPr="00630B23" w:rsidRDefault="00BD3C6C">
            <w:pPr>
              <w:spacing w:after="0" w:line="240" w:lineRule="auto"/>
              <w:rPr>
                <w:rFonts w:ascii="Arial" w:eastAsia="Times New Roman" w:hAnsi="Arial" w:cs="Arial"/>
                <w:sz w:val="18"/>
                <w:szCs w:val="18"/>
                <w:lang w:val="mn-MN"/>
              </w:rPr>
            </w:pPr>
            <w:r w:rsidRPr="00630B23">
              <w:rPr>
                <w:rFonts w:ascii="Arial" w:eastAsia="Times New Roman" w:hAnsi="Arial" w:cs="Arial"/>
                <w:sz w:val="18"/>
                <w:szCs w:val="18"/>
              </w:rPr>
              <w:t xml:space="preserve">e = </w:t>
            </w:r>
            <w:r w:rsidR="00C177E7" w:rsidRPr="00630B23">
              <w:rPr>
                <w:rFonts w:ascii="Arial" w:eastAsia="Times New Roman" w:hAnsi="Arial" w:cs="Arial"/>
                <w:sz w:val="18"/>
                <w:szCs w:val="18"/>
                <w:lang w:val="mn-MN"/>
              </w:rPr>
              <w:t>тооцоо</w:t>
            </w:r>
          </w:p>
        </w:tc>
      </w:tr>
      <w:tr w:rsidR="00BD3C6C" w:rsidRPr="00C177E7" w14:paraId="0A6096EA" w14:textId="77777777" w:rsidTr="00504CA8">
        <w:trPr>
          <w:gridAfter w:val="1"/>
          <w:wAfter w:w="640" w:type="dxa"/>
          <w:trHeight w:val="255"/>
        </w:trPr>
        <w:tc>
          <w:tcPr>
            <w:tcW w:w="8936" w:type="dxa"/>
            <w:tcBorders>
              <w:top w:val="nil"/>
              <w:left w:val="nil"/>
              <w:bottom w:val="nil"/>
              <w:right w:val="nil"/>
            </w:tcBorders>
            <w:shd w:val="clear" w:color="auto" w:fill="auto"/>
            <w:noWrap/>
            <w:vAlign w:val="center"/>
            <w:hideMark/>
          </w:tcPr>
          <w:p w14:paraId="34D5D531" w14:textId="58618660" w:rsidR="00BD3C6C" w:rsidRPr="00630B23" w:rsidRDefault="00C177E7">
            <w:pPr>
              <w:spacing w:after="0" w:line="240" w:lineRule="auto"/>
              <w:rPr>
                <w:rFonts w:ascii="Arial" w:eastAsia="Times New Roman" w:hAnsi="Arial" w:cs="Arial"/>
                <w:color w:val="000000"/>
                <w:sz w:val="20"/>
                <w:szCs w:val="20"/>
                <w:lang w:val="mn-MN"/>
              </w:rPr>
            </w:pPr>
            <w:r w:rsidRPr="00630B23">
              <w:rPr>
                <w:rFonts w:ascii="Arial" w:eastAsia="Times New Roman" w:hAnsi="Arial" w:cs="Arial"/>
                <w:color w:val="000000"/>
                <w:sz w:val="20"/>
                <w:szCs w:val="20"/>
                <w:lang w:val="mn-MN"/>
              </w:rPr>
              <w:t>т</w:t>
            </w:r>
            <w:r w:rsidR="00BD3C6C" w:rsidRPr="00630B23">
              <w:rPr>
                <w:rFonts w:ascii="Arial" w:eastAsia="Times New Roman" w:hAnsi="Arial" w:cs="Arial"/>
                <w:color w:val="000000"/>
                <w:sz w:val="20"/>
                <w:szCs w:val="20"/>
              </w:rPr>
              <w:t xml:space="preserve"> = </w:t>
            </w:r>
            <w:r w:rsidRPr="00630B23">
              <w:rPr>
                <w:rFonts w:ascii="Arial" w:eastAsia="Times New Roman" w:hAnsi="Arial" w:cs="Arial"/>
                <w:color w:val="000000"/>
                <w:sz w:val="20"/>
                <w:szCs w:val="20"/>
                <w:lang w:val="mn-MN"/>
              </w:rPr>
              <w:t>таамаглал</w:t>
            </w:r>
          </w:p>
        </w:tc>
      </w:tr>
    </w:tbl>
    <w:p w14:paraId="368A47E1" w14:textId="77777777" w:rsidR="007A5B43" w:rsidRPr="00630B23" w:rsidRDefault="007A5B43" w:rsidP="00B9580D">
      <w:pPr>
        <w:spacing w:after="0"/>
        <w:rPr>
          <w:rFonts w:ascii="Arial" w:hAnsi="Arial" w:cs="Arial"/>
          <w:sz w:val="18"/>
          <w:szCs w:val="18"/>
        </w:rPr>
      </w:pPr>
    </w:p>
    <w:p w14:paraId="71F45768" w14:textId="3276CFB7" w:rsidR="00504CA8" w:rsidRPr="00630B23" w:rsidRDefault="00C177E7" w:rsidP="00B9580D">
      <w:pPr>
        <w:spacing w:after="0"/>
        <w:rPr>
          <w:rFonts w:ascii="Arial" w:hAnsi="Arial" w:cs="Arial"/>
          <w:sz w:val="18"/>
          <w:szCs w:val="18"/>
        </w:rPr>
      </w:pPr>
      <w:r w:rsidRPr="00630B23">
        <w:rPr>
          <w:rFonts w:ascii="Arial" w:hAnsi="Arial" w:cs="Arial"/>
          <w:sz w:val="18"/>
          <w:szCs w:val="18"/>
          <w:lang w:val="mn-MN"/>
        </w:rPr>
        <w:t>Эх үүсвэр</w:t>
      </w:r>
      <w:r w:rsidR="00875508" w:rsidRPr="00630B23">
        <w:rPr>
          <w:rFonts w:ascii="Arial" w:hAnsi="Arial" w:cs="Arial"/>
          <w:sz w:val="18"/>
          <w:szCs w:val="18"/>
        </w:rPr>
        <w:t xml:space="preserve">: </w:t>
      </w:r>
      <w:r w:rsidRPr="00630B23">
        <w:rPr>
          <w:rFonts w:ascii="Arial" w:hAnsi="Arial" w:cs="Arial"/>
          <w:sz w:val="18"/>
          <w:szCs w:val="18"/>
          <w:lang w:val="mn-MN"/>
        </w:rPr>
        <w:t>Монгол банк, Үндэсний статистикийн хороо, Сангийн яам, ДБ мэргэжилтнүүдийн тооцоо</w:t>
      </w:r>
      <w:r w:rsidR="00875508" w:rsidRPr="00630B23">
        <w:rPr>
          <w:rFonts w:ascii="Arial" w:hAnsi="Arial" w:cs="Arial"/>
          <w:sz w:val="18"/>
          <w:szCs w:val="18"/>
        </w:rPr>
        <w:t xml:space="preserve"> </w:t>
      </w:r>
    </w:p>
    <w:p w14:paraId="45CA145C" w14:textId="77777777" w:rsidR="00504CA8" w:rsidRDefault="00504CA8">
      <w:pPr>
        <w:rPr>
          <w:rFonts w:cstheme="minorHAnsi"/>
          <w:sz w:val="18"/>
          <w:szCs w:val="18"/>
        </w:rPr>
      </w:pPr>
    </w:p>
    <w:sectPr w:rsidR="00504CA8" w:rsidSect="008049DA">
      <w:footerReference w:type="default" r:id="rId74"/>
      <w:type w:val="continuous"/>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78" w:author="Taehyun Lee" w:date="2013-11-04T11:23:00Z" w:initials="TL">
    <w:p w14:paraId="51FA9B71" w14:textId="77777777" w:rsidR="00A767D1" w:rsidRDefault="00A767D1" w:rsidP="008003C7">
      <w:pPr>
        <w:pStyle w:val="CommentText"/>
      </w:pPr>
      <w:r>
        <w:rPr>
          <w:rStyle w:val="CommentReference"/>
        </w:rPr>
        <w:annotationRef/>
      </w:r>
      <w:r>
        <w:t>Can you put exact name of the law? Thx ^^</w:t>
      </w:r>
    </w:p>
  </w:comment>
  <w:comment w:id="79" w:author="Taehyun Lee" w:date="2013-11-04T11:23:00Z" w:initials="TL">
    <w:p w14:paraId="162A26CE" w14:textId="77777777" w:rsidR="00A767D1" w:rsidRDefault="00A767D1" w:rsidP="008003C7">
      <w:pPr>
        <w:pStyle w:val="CommentText"/>
      </w:pPr>
      <w:r>
        <w:rPr>
          <w:rStyle w:val="CommentReference"/>
        </w:rPr>
        <w:annotationRef/>
      </w:r>
      <w:r>
        <w:t>Also exact name please?</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984B653" w15:done="0"/>
  <w15:commentEx w15:paraId="135347A0" w15:done="0"/>
  <w15:commentEx w15:paraId="7CEF84D0" w15:done="0"/>
  <w15:commentEx w15:paraId="40285928" w15:done="0"/>
  <w15:commentEx w15:paraId="60B8875F"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EB7DE80" w14:textId="77777777" w:rsidR="001A57A1" w:rsidRDefault="001A57A1" w:rsidP="0004706B">
      <w:pPr>
        <w:spacing w:after="0" w:line="240" w:lineRule="auto"/>
      </w:pPr>
      <w:r>
        <w:separator/>
      </w:r>
    </w:p>
  </w:endnote>
  <w:endnote w:type="continuationSeparator" w:id="0">
    <w:p w14:paraId="78243AC6" w14:textId="77777777" w:rsidR="001A57A1" w:rsidRDefault="001A57A1" w:rsidP="000470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lgun Gothic">
    <w:altName w:val="맑은 고딕"/>
    <w:panose1 w:val="020B0503020000020004"/>
    <w:charset w:val="81"/>
    <w:family w:val="swiss"/>
    <w:pitch w:val="variable"/>
    <w:sig w:usb0="900002AF" w:usb1="09D77CFB" w:usb2="00000012" w:usb3="00000000" w:csb0="0008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78352552"/>
      <w:docPartObj>
        <w:docPartGallery w:val="Page Numbers (Bottom of Page)"/>
        <w:docPartUnique/>
      </w:docPartObj>
    </w:sdtPr>
    <w:sdtEndPr>
      <w:rPr>
        <w:noProof/>
      </w:rPr>
    </w:sdtEndPr>
    <w:sdtContent>
      <w:p w14:paraId="13E7B21A" w14:textId="77777777" w:rsidR="00A767D1" w:rsidRDefault="00A767D1">
        <w:pPr>
          <w:pStyle w:val="Footer"/>
          <w:jc w:val="right"/>
        </w:pPr>
        <w:r>
          <w:fldChar w:fldCharType="begin"/>
        </w:r>
        <w:r>
          <w:instrText xml:space="preserve"> PAGE   \* MERGEFORMAT </w:instrText>
        </w:r>
        <w:r>
          <w:fldChar w:fldCharType="separate"/>
        </w:r>
        <w:r>
          <w:rPr>
            <w:noProof/>
          </w:rPr>
          <w:t>1</w:t>
        </w:r>
        <w:r>
          <w:rPr>
            <w:noProof/>
          </w:rPr>
          <w:fldChar w:fldCharType="end"/>
        </w:r>
      </w:p>
    </w:sdtContent>
  </w:sdt>
  <w:p w14:paraId="3AA850B5" w14:textId="77777777" w:rsidR="00A767D1" w:rsidRDefault="00A767D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AE885B" w14:textId="77777777" w:rsidR="00A767D1" w:rsidRDefault="00A767D1">
    <w:pPr>
      <w:pStyle w:val="Footer"/>
      <w:jc w:val="right"/>
    </w:pPr>
  </w:p>
  <w:p w14:paraId="01B1F96F" w14:textId="77777777" w:rsidR="00A767D1" w:rsidRDefault="00A767D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b/>
        <w:color w:val="000000" w:themeColor="text1"/>
      </w:rPr>
      <w:id w:val="-1343615704"/>
      <w:docPartObj>
        <w:docPartGallery w:val="Page Numbers (Bottom of Page)"/>
        <w:docPartUnique/>
      </w:docPartObj>
    </w:sdtPr>
    <w:sdtEndPr>
      <w:rPr>
        <w:b w:val="0"/>
        <w:noProof/>
        <w:sz w:val="20"/>
        <w:szCs w:val="20"/>
      </w:rPr>
    </w:sdtEndPr>
    <w:sdtContent>
      <w:p w14:paraId="4D766981" w14:textId="77777777" w:rsidR="00A767D1" w:rsidRPr="00873E38" w:rsidRDefault="00A767D1">
        <w:pPr>
          <w:pStyle w:val="Footer"/>
          <w:jc w:val="right"/>
          <w:rPr>
            <w:color w:val="000000" w:themeColor="text1"/>
            <w:sz w:val="20"/>
            <w:szCs w:val="20"/>
          </w:rPr>
        </w:pPr>
        <w:r w:rsidRPr="00873E38">
          <w:rPr>
            <w:color w:val="000000" w:themeColor="text1"/>
            <w:sz w:val="20"/>
            <w:szCs w:val="20"/>
          </w:rPr>
          <w:fldChar w:fldCharType="begin"/>
        </w:r>
        <w:r w:rsidRPr="00873E38">
          <w:rPr>
            <w:color w:val="000000" w:themeColor="text1"/>
            <w:sz w:val="20"/>
            <w:szCs w:val="20"/>
          </w:rPr>
          <w:instrText xml:space="preserve"> PAGE   \* MERGEFORMAT </w:instrText>
        </w:r>
        <w:r w:rsidRPr="00873E38">
          <w:rPr>
            <w:color w:val="000000" w:themeColor="text1"/>
            <w:sz w:val="20"/>
            <w:szCs w:val="20"/>
          </w:rPr>
          <w:fldChar w:fldCharType="separate"/>
        </w:r>
        <w:r w:rsidR="00D05364">
          <w:rPr>
            <w:noProof/>
            <w:color w:val="000000" w:themeColor="text1"/>
            <w:sz w:val="20"/>
            <w:szCs w:val="20"/>
          </w:rPr>
          <w:t>2</w:t>
        </w:r>
        <w:r w:rsidRPr="00873E38">
          <w:rPr>
            <w:noProof/>
            <w:color w:val="000000" w:themeColor="text1"/>
            <w:sz w:val="20"/>
            <w:szCs w:val="20"/>
          </w:rPr>
          <w:fldChar w:fldCharType="end"/>
        </w:r>
      </w:p>
    </w:sdtContent>
  </w:sdt>
  <w:p w14:paraId="52BA52A7" w14:textId="77777777" w:rsidR="00A767D1" w:rsidRDefault="00A767D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DC7A934" w14:textId="77777777" w:rsidR="001A57A1" w:rsidRDefault="001A57A1" w:rsidP="0004706B">
      <w:pPr>
        <w:spacing w:after="0" w:line="240" w:lineRule="auto"/>
      </w:pPr>
      <w:r>
        <w:separator/>
      </w:r>
    </w:p>
  </w:footnote>
  <w:footnote w:type="continuationSeparator" w:id="0">
    <w:p w14:paraId="44E1E194" w14:textId="77777777" w:rsidR="001A57A1" w:rsidRDefault="001A57A1" w:rsidP="0004706B">
      <w:pPr>
        <w:spacing w:after="0" w:line="240" w:lineRule="auto"/>
      </w:pPr>
      <w:r>
        <w:continuationSeparator/>
      </w:r>
    </w:p>
  </w:footnote>
  <w:footnote w:id="1">
    <w:p w14:paraId="00FA1818" w14:textId="6B589653" w:rsidR="00A767D1" w:rsidRPr="00660167" w:rsidRDefault="00A767D1" w:rsidP="000F6650">
      <w:pPr>
        <w:pStyle w:val="FootnoteText"/>
        <w:rPr>
          <w:sz w:val="16"/>
          <w:lang w:val="mn-MN"/>
        </w:rPr>
      </w:pPr>
      <w:r w:rsidRPr="00EE23A5">
        <w:rPr>
          <w:rStyle w:val="FootnoteReference"/>
          <w:sz w:val="16"/>
        </w:rPr>
        <w:footnoteRef/>
      </w:r>
      <w:r w:rsidRPr="00EE23A5">
        <w:rPr>
          <w:sz w:val="16"/>
        </w:rPr>
        <w:t xml:space="preserve"> </w:t>
      </w:r>
      <w:r>
        <w:rPr>
          <w:sz w:val="16"/>
          <w:lang w:val="mn-MN"/>
        </w:rPr>
        <w:t>Энэ хэсэг нь “Зүүн Ази, Номхон далайн эдийн засгийн тойм” дүгнэн авч үзсэн</w:t>
      </w:r>
      <w:r w:rsidRPr="00EE23A5">
        <w:rPr>
          <w:sz w:val="16"/>
        </w:rPr>
        <w:t xml:space="preserve"> (2013</w:t>
      </w:r>
      <w:r>
        <w:rPr>
          <w:sz w:val="16"/>
          <w:lang w:val="mn-MN"/>
        </w:rPr>
        <w:t xml:space="preserve"> оны 10 дугаар сар</w:t>
      </w:r>
      <w:r>
        <w:rPr>
          <w:sz w:val="16"/>
        </w:rPr>
        <w:t>)</w:t>
      </w:r>
    </w:p>
  </w:footnote>
  <w:footnote w:id="2">
    <w:p w14:paraId="3C1476EB" w14:textId="486420C4" w:rsidR="00A767D1" w:rsidRPr="00EE23A5" w:rsidRDefault="00A767D1" w:rsidP="001D13DB">
      <w:pPr>
        <w:pStyle w:val="FootnoteText"/>
        <w:rPr>
          <w:rFonts w:ascii="Arial" w:hAnsi="Arial" w:cs="Arial"/>
          <w:sz w:val="18"/>
          <w:szCs w:val="18"/>
        </w:rPr>
      </w:pPr>
      <w:r w:rsidRPr="00EE23A5">
        <w:rPr>
          <w:rStyle w:val="FootnoteReference"/>
          <w:rFonts w:ascii="Arial" w:hAnsi="Arial" w:cs="Arial"/>
          <w:sz w:val="18"/>
          <w:szCs w:val="18"/>
        </w:rPr>
        <w:footnoteRef/>
      </w:r>
      <w:r w:rsidRPr="00EE23A5">
        <w:rPr>
          <w:rFonts w:ascii="Arial" w:hAnsi="Arial" w:cs="Arial"/>
          <w:sz w:val="18"/>
          <w:szCs w:val="18"/>
        </w:rPr>
        <w:t xml:space="preserve"> </w:t>
      </w:r>
      <w:r>
        <w:rPr>
          <w:rFonts w:ascii="Arial" w:hAnsi="Arial" w:cs="Arial"/>
          <w:sz w:val="18"/>
          <w:szCs w:val="18"/>
          <w:lang w:val="mn-MN"/>
        </w:rPr>
        <w:t>Түлш нь 2012 онд Индонезийн нийт экспортын 33 хувь нь байсан, мөн хүдэр болон метал 6 хувь</w:t>
      </w:r>
      <w:r w:rsidRPr="00EE23A5">
        <w:rPr>
          <w:rFonts w:ascii="Arial" w:hAnsi="Arial" w:cs="Arial"/>
          <w:sz w:val="18"/>
          <w:szCs w:val="18"/>
        </w:rPr>
        <w:t>.</w:t>
      </w:r>
    </w:p>
  </w:footnote>
  <w:footnote w:id="3">
    <w:p w14:paraId="3C4D0641" w14:textId="4449CD0E" w:rsidR="00A767D1" w:rsidRPr="00063C74" w:rsidRDefault="00A767D1" w:rsidP="00D1149A">
      <w:pPr>
        <w:pStyle w:val="FootnoteText"/>
        <w:rPr>
          <w:rFonts w:ascii="Arial" w:hAnsi="Arial" w:cs="Arial"/>
          <w:sz w:val="18"/>
          <w:szCs w:val="18"/>
        </w:rPr>
      </w:pPr>
      <w:r w:rsidRPr="00063C74">
        <w:rPr>
          <w:rStyle w:val="FootnoteReference"/>
          <w:rFonts w:ascii="Arial" w:hAnsi="Arial" w:cs="Arial"/>
          <w:sz w:val="18"/>
          <w:szCs w:val="18"/>
        </w:rPr>
        <w:footnoteRef/>
      </w:r>
      <w:r w:rsidRPr="00063C74">
        <w:rPr>
          <w:rFonts w:ascii="Arial" w:hAnsi="Arial" w:cs="Arial"/>
          <w:sz w:val="18"/>
          <w:szCs w:val="18"/>
        </w:rPr>
        <w:t xml:space="preserve"> </w:t>
      </w:r>
      <w:r>
        <w:rPr>
          <w:rFonts w:ascii="Arial" w:hAnsi="Arial" w:cs="Arial"/>
          <w:sz w:val="18"/>
          <w:szCs w:val="18"/>
          <w:lang w:val="mn-MN"/>
        </w:rPr>
        <w:t xml:space="preserve">Түлшний экспорт нь 2012 онд Малайз улсын нийт экспортын 20 хувь нь байсан харин Вьетнамд 9 хувь байна. </w:t>
      </w:r>
    </w:p>
  </w:footnote>
  <w:footnote w:id="4">
    <w:p w14:paraId="71F5D123" w14:textId="333FE701" w:rsidR="00A767D1" w:rsidRPr="00063C74" w:rsidRDefault="00A767D1" w:rsidP="00D1149A">
      <w:pPr>
        <w:pStyle w:val="FootnoteText"/>
        <w:rPr>
          <w:rFonts w:ascii="Arial" w:hAnsi="Arial" w:cs="Arial"/>
          <w:sz w:val="18"/>
          <w:szCs w:val="18"/>
        </w:rPr>
      </w:pPr>
      <w:r w:rsidRPr="00063C74">
        <w:rPr>
          <w:rStyle w:val="FootnoteReference"/>
          <w:rFonts w:ascii="Arial" w:hAnsi="Arial" w:cs="Arial"/>
          <w:sz w:val="18"/>
          <w:szCs w:val="18"/>
        </w:rPr>
        <w:footnoteRef/>
      </w:r>
      <w:r w:rsidRPr="00063C74">
        <w:rPr>
          <w:rFonts w:ascii="Arial" w:hAnsi="Arial" w:cs="Arial"/>
          <w:sz w:val="18"/>
          <w:szCs w:val="18"/>
        </w:rPr>
        <w:t xml:space="preserve"> </w:t>
      </w:r>
      <w:r>
        <w:rPr>
          <w:rFonts w:ascii="Arial" w:hAnsi="Arial" w:cs="Arial"/>
          <w:sz w:val="18"/>
          <w:szCs w:val="18"/>
          <w:lang w:val="mn-MN"/>
        </w:rPr>
        <w:t xml:space="preserve">Хүдэр болон металын экспорт нь 2012 онд Лаос улсын нийт экспортын 53 хувь нь байлаа. </w:t>
      </w:r>
    </w:p>
  </w:footnote>
  <w:footnote w:id="5">
    <w:p w14:paraId="3C5B9754" w14:textId="05730A1D" w:rsidR="00A767D1" w:rsidRPr="005058C3" w:rsidRDefault="00A767D1" w:rsidP="00D82CD0">
      <w:pPr>
        <w:autoSpaceDE w:val="0"/>
        <w:autoSpaceDN w:val="0"/>
        <w:adjustRightInd w:val="0"/>
        <w:spacing w:after="0"/>
        <w:ind w:left="180" w:hanging="180"/>
        <w:rPr>
          <w:rFonts w:eastAsia="Calibri" w:cstheme="minorHAnsi"/>
          <w:sz w:val="18"/>
          <w:szCs w:val="18"/>
        </w:rPr>
      </w:pPr>
      <w:r>
        <w:rPr>
          <w:rStyle w:val="FootnoteReference"/>
        </w:rPr>
        <w:footnoteRef/>
      </w:r>
      <w:r>
        <w:t xml:space="preserve"> </w:t>
      </w:r>
      <w:r>
        <w:tab/>
      </w:r>
      <w:r>
        <w:rPr>
          <w:sz w:val="18"/>
          <w:szCs w:val="18"/>
          <w:lang w:val="mn-MN"/>
        </w:rPr>
        <w:t xml:space="preserve">Фишерын үнийн индекс нь бараа, үйлчилээний үнийг хэмждэг, сагсны үндсэн дээр суурь болон өнөөгийн үед харьцуулан гаргадаг үнийн статистикд хэрэглэгддэг индекс юм. Энэ нь </w:t>
      </w:r>
      <w:hyperlink r:id="rId1" w:tooltip="Glossary:Laspeyres price index" w:history="1">
        <w:r>
          <w:rPr>
            <w:rStyle w:val="Hyperlink"/>
            <w:sz w:val="18"/>
            <w:szCs w:val="18"/>
            <w:lang w:val="mn-MN"/>
          </w:rPr>
          <w:t>Ласперсийн</w:t>
        </w:r>
      </w:hyperlink>
      <w:r>
        <w:rPr>
          <w:rStyle w:val="Hyperlink"/>
          <w:sz w:val="18"/>
          <w:szCs w:val="18"/>
          <w:lang w:val="mn-MN"/>
        </w:rPr>
        <w:t xml:space="preserve"> үнийн индексийг</w:t>
      </w:r>
      <w:r w:rsidRPr="005058C3">
        <w:rPr>
          <w:sz w:val="18"/>
          <w:szCs w:val="18"/>
          <w:lang w:val="en"/>
        </w:rPr>
        <w:t xml:space="preserve"> (</w:t>
      </w:r>
      <w:r>
        <w:rPr>
          <w:sz w:val="18"/>
          <w:szCs w:val="18"/>
          <w:lang w:val="mn-MN"/>
        </w:rPr>
        <w:t>энэ нь зөвхөн суурь үеийн сагсанд хэрэглэгддэг</w:t>
      </w:r>
      <w:r w:rsidRPr="005058C3">
        <w:rPr>
          <w:sz w:val="18"/>
          <w:szCs w:val="18"/>
          <w:lang w:val="en"/>
        </w:rPr>
        <w:t>)</w:t>
      </w:r>
      <w:r>
        <w:rPr>
          <w:sz w:val="18"/>
          <w:szCs w:val="18"/>
          <w:lang w:val="mn-MN"/>
        </w:rPr>
        <w:t xml:space="preserve"> болон</w:t>
      </w:r>
      <w:r w:rsidRPr="005058C3">
        <w:rPr>
          <w:sz w:val="18"/>
          <w:szCs w:val="18"/>
          <w:lang w:val="en"/>
        </w:rPr>
        <w:t xml:space="preserve"> </w:t>
      </w:r>
      <w:hyperlink r:id="rId2" w:tooltip="Glossary:Paasche price index" w:history="1">
        <w:r>
          <w:rPr>
            <w:rStyle w:val="Hyperlink"/>
            <w:sz w:val="18"/>
            <w:szCs w:val="18"/>
            <w:lang w:val="mn-MN"/>
          </w:rPr>
          <w:t>Паашийн ү</w:t>
        </w:r>
      </w:hyperlink>
      <w:r>
        <w:rPr>
          <w:rStyle w:val="Hyperlink"/>
          <w:sz w:val="18"/>
          <w:szCs w:val="18"/>
          <w:lang w:val="mn-MN"/>
        </w:rPr>
        <w:t xml:space="preserve">нийн индексүүдийн </w:t>
      </w:r>
      <w:r w:rsidRPr="005058C3">
        <w:rPr>
          <w:sz w:val="18"/>
          <w:szCs w:val="18"/>
          <w:lang w:val="en"/>
        </w:rPr>
        <w:t>(</w:t>
      </w:r>
      <w:r>
        <w:rPr>
          <w:sz w:val="18"/>
          <w:szCs w:val="18"/>
          <w:lang w:val="mn-MN"/>
        </w:rPr>
        <w:t>энэ нь зөвхөн тухайн үеийн сагсанд хэрэглэгддэг</w:t>
      </w:r>
      <w:r w:rsidRPr="005058C3">
        <w:rPr>
          <w:sz w:val="18"/>
          <w:szCs w:val="18"/>
          <w:lang w:val="en"/>
        </w:rPr>
        <w:t xml:space="preserve">) </w:t>
      </w:r>
      <w:r>
        <w:rPr>
          <w:sz w:val="18"/>
          <w:szCs w:val="18"/>
          <w:lang w:val="mn-MN"/>
        </w:rPr>
        <w:t xml:space="preserve"> </w:t>
      </w:r>
      <w:hyperlink r:id="rId3" w:tooltip="Glossary:Geometric average" w:history="1">
        <w:r>
          <w:rPr>
            <w:rStyle w:val="Hyperlink"/>
            <w:sz w:val="18"/>
            <w:szCs w:val="18"/>
            <w:lang w:val="mn-MN"/>
          </w:rPr>
          <w:t>геометрийн</w:t>
        </w:r>
      </w:hyperlink>
      <w:r>
        <w:rPr>
          <w:rStyle w:val="Hyperlink"/>
          <w:sz w:val="18"/>
          <w:szCs w:val="18"/>
          <w:lang w:val="mn-MN"/>
        </w:rPr>
        <w:t xml:space="preserve"> дунджаар тодорхойлогддог</w:t>
      </w:r>
      <w:r w:rsidRPr="005058C3">
        <w:rPr>
          <w:sz w:val="18"/>
          <w:szCs w:val="18"/>
          <w:lang w:val="en"/>
        </w:rPr>
        <w:t xml:space="preserve"> . </w:t>
      </w:r>
      <w:r>
        <w:rPr>
          <w:sz w:val="18"/>
          <w:szCs w:val="18"/>
          <w:lang w:val="mn-MN"/>
        </w:rPr>
        <w:t>Иймээс Фишерийн үнийн индексийг</w:t>
      </w:r>
      <w:r w:rsidRPr="005058C3">
        <w:rPr>
          <w:sz w:val="18"/>
          <w:szCs w:val="18"/>
          <w:lang w:val="en"/>
        </w:rPr>
        <w:t xml:space="preserve"> (</w:t>
      </w:r>
      <w:r>
        <w:rPr>
          <w:sz w:val="18"/>
          <w:szCs w:val="18"/>
          <w:lang w:val="mn-MN"/>
        </w:rPr>
        <w:t>АНУ-ын эдийн засагч Ирвинг Фишерээр нэрлэсэн</w:t>
      </w:r>
      <w:r w:rsidRPr="005058C3">
        <w:rPr>
          <w:sz w:val="18"/>
          <w:szCs w:val="18"/>
          <w:lang w:val="en"/>
        </w:rPr>
        <w:t>)</w:t>
      </w:r>
      <w:r>
        <w:rPr>
          <w:sz w:val="18"/>
          <w:szCs w:val="18"/>
          <w:lang w:val="mn-MN"/>
        </w:rPr>
        <w:t xml:space="preserve"> үнийн индексийн </w:t>
      </w:r>
      <w:r w:rsidRPr="005058C3">
        <w:rPr>
          <w:sz w:val="18"/>
          <w:szCs w:val="18"/>
          <w:lang w:val="en"/>
        </w:rPr>
        <w:t>"</w:t>
      </w:r>
      <w:r w:rsidRPr="005058C3" w:rsidDel="00C1750B">
        <w:rPr>
          <w:sz w:val="18"/>
          <w:szCs w:val="18"/>
          <w:lang w:val="en"/>
        </w:rPr>
        <w:t xml:space="preserve"> </w:t>
      </w:r>
      <w:r>
        <w:rPr>
          <w:sz w:val="18"/>
          <w:szCs w:val="18"/>
          <w:lang w:val="mn-MN"/>
        </w:rPr>
        <w:t>хамгийн боломжит</w:t>
      </w:r>
      <w:r w:rsidRPr="005058C3">
        <w:rPr>
          <w:sz w:val="18"/>
          <w:szCs w:val="18"/>
          <w:lang w:val="en"/>
        </w:rPr>
        <w:t>"</w:t>
      </w:r>
      <w:r>
        <w:rPr>
          <w:sz w:val="18"/>
          <w:szCs w:val="18"/>
          <w:lang w:val="mn-MN"/>
        </w:rPr>
        <w:t xml:space="preserve"> хэлбэр гэж үздэг</w:t>
      </w:r>
      <w:r>
        <w:rPr>
          <w:sz w:val="18"/>
          <w:szCs w:val="18"/>
          <w:lang w:val="en"/>
        </w:rPr>
        <w:t xml:space="preserve"> (Eurostat. </w:t>
      </w:r>
      <w:r w:rsidRPr="00DC76AB">
        <w:rPr>
          <w:sz w:val="18"/>
          <w:szCs w:val="18"/>
          <w:lang w:val="en"/>
        </w:rPr>
        <w:t>http://epp.eurostat.ec.europa.eu/statistics_explained/index.php/Glossary:Fisher_price_index</w:t>
      </w:r>
      <w:r>
        <w:rPr>
          <w:sz w:val="18"/>
          <w:szCs w:val="18"/>
          <w:lang w:val="en"/>
        </w:rPr>
        <w:t>)</w:t>
      </w:r>
      <w:r w:rsidRPr="005058C3">
        <w:rPr>
          <w:sz w:val="18"/>
          <w:szCs w:val="18"/>
          <w:lang w:val="en"/>
        </w:rPr>
        <w:t>.</w:t>
      </w:r>
    </w:p>
  </w:footnote>
  <w:footnote w:id="6">
    <w:p w14:paraId="65E0EDC8" w14:textId="584E746B" w:rsidR="00A767D1" w:rsidRPr="004D1383" w:rsidRDefault="00A767D1" w:rsidP="006C0AC3">
      <w:pPr>
        <w:pStyle w:val="FootnoteText"/>
        <w:rPr>
          <w:sz w:val="22"/>
        </w:rPr>
      </w:pPr>
      <w:r w:rsidRPr="004D1383">
        <w:rPr>
          <w:rStyle w:val="FootnoteReference"/>
          <w:sz w:val="22"/>
        </w:rPr>
        <w:footnoteRef/>
      </w:r>
      <w:r w:rsidRPr="004D1383">
        <w:rPr>
          <w:sz w:val="22"/>
        </w:rPr>
        <w:t xml:space="preserve"> </w:t>
      </w:r>
      <w:r>
        <w:rPr>
          <w:sz w:val="18"/>
          <w:szCs w:val="16"/>
          <w:lang w:val="mn-MN"/>
        </w:rPr>
        <w:t>Өрхийн орлого зарлага болон амьжиргааны түвшний судалгаануудыг нэгтгэж өрхийн нийгэм, эдийн засгийн судалгаа болгосон.</w:t>
      </w:r>
    </w:p>
  </w:footnote>
  <w:footnote w:id="7">
    <w:p w14:paraId="010EED4C" w14:textId="2957A087" w:rsidR="00A767D1" w:rsidRDefault="00A767D1" w:rsidP="00EB209C">
      <w:pPr>
        <w:pStyle w:val="FootnoteText"/>
      </w:pPr>
      <w:r>
        <w:rPr>
          <w:rStyle w:val="FootnoteReference"/>
        </w:rPr>
        <w:footnoteRef/>
      </w:r>
      <w:r>
        <w:t xml:space="preserve"> </w:t>
      </w:r>
      <w:r>
        <w:rPr>
          <w:lang w:val="mn-MN"/>
        </w:rPr>
        <w:t>АХС нь бүртгэлтэй болон бүртгэлгүй ажилгүйчүүдийг аль алиныг нь гаргадаг</w:t>
      </w:r>
      <w:r>
        <w:t>.</w:t>
      </w:r>
    </w:p>
  </w:footnote>
  <w:footnote w:id="8">
    <w:p w14:paraId="34B235B5" w14:textId="58F0187A" w:rsidR="00A767D1" w:rsidRPr="00397700" w:rsidRDefault="00A767D1" w:rsidP="00190B18">
      <w:pPr>
        <w:pStyle w:val="FootnoteText"/>
        <w:rPr>
          <w:sz w:val="18"/>
        </w:rPr>
      </w:pPr>
      <w:r w:rsidRPr="00397700">
        <w:rPr>
          <w:rStyle w:val="FootnoteReference"/>
          <w:sz w:val="18"/>
        </w:rPr>
        <w:footnoteRef/>
      </w:r>
      <w:r w:rsidRPr="00397700">
        <w:rPr>
          <w:sz w:val="18"/>
        </w:rPr>
        <w:t xml:space="preserve"> </w:t>
      </w:r>
      <w:r>
        <w:rPr>
          <w:sz w:val="18"/>
          <w:lang w:val="mn-MN"/>
        </w:rPr>
        <w:t xml:space="preserve">МУХБ нь 5 жилийн хугацаатай Евро бондыг </w:t>
      </w:r>
      <w:r w:rsidRPr="00397700">
        <w:rPr>
          <w:sz w:val="18"/>
        </w:rPr>
        <w:t xml:space="preserve">(580 </w:t>
      </w:r>
      <w:r>
        <w:rPr>
          <w:sz w:val="18"/>
          <w:lang w:val="mn-MN"/>
        </w:rPr>
        <w:t>сая ам.долларыг</w:t>
      </w:r>
      <w:r w:rsidRPr="00397700">
        <w:rPr>
          <w:sz w:val="18"/>
        </w:rPr>
        <w:t>) 2012</w:t>
      </w:r>
      <w:r>
        <w:rPr>
          <w:sz w:val="18"/>
          <w:lang w:val="mn-MN"/>
        </w:rPr>
        <w:t xml:space="preserve"> оны 3 дугаар сард</w:t>
      </w:r>
      <w:r w:rsidRPr="00397700">
        <w:rPr>
          <w:sz w:val="18"/>
        </w:rPr>
        <w:t xml:space="preserve"> 5.75 </w:t>
      </w:r>
      <w:r>
        <w:rPr>
          <w:sz w:val="18"/>
          <w:lang w:val="mn-MN"/>
        </w:rPr>
        <w:t>хувийн хүүтэй гаргасан өмнө нь 2011 оны 12 сард эхний 20 сая ам.долларын Евро бондыг гаргасан</w:t>
      </w:r>
      <w:r w:rsidRPr="00397700">
        <w:rPr>
          <w:sz w:val="18"/>
        </w:rPr>
        <w:t xml:space="preserve"> (</w:t>
      </w:r>
      <w:r>
        <w:rPr>
          <w:sz w:val="18"/>
          <w:lang w:val="mn-MN"/>
        </w:rPr>
        <w:t xml:space="preserve">нэг жилийн хугацаатай 6 хувийн хүүтэй </w:t>
      </w:r>
      <w:r w:rsidRPr="00397700">
        <w:rPr>
          <w:sz w:val="18"/>
        </w:rPr>
        <w:t xml:space="preserve">). </w:t>
      </w:r>
    </w:p>
  </w:footnote>
  <w:footnote w:id="9">
    <w:p w14:paraId="6A1F5DC3" w14:textId="77777777" w:rsidR="00A767D1" w:rsidRPr="00630B23" w:rsidRDefault="00A767D1" w:rsidP="008003C7">
      <w:pPr>
        <w:pStyle w:val="FootnoteText"/>
        <w:rPr>
          <w:sz w:val="18"/>
          <w:lang w:val="mn-MN"/>
        </w:rPr>
      </w:pPr>
      <w:r>
        <w:rPr>
          <w:rStyle w:val="FootnoteReference"/>
          <w:sz w:val="18"/>
        </w:rPr>
        <w:footnoteRef/>
      </w:r>
      <w:r w:rsidRPr="00630B23">
        <w:rPr>
          <w:sz w:val="18"/>
          <w:lang w:val="mn-MN"/>
        </w:rPr>
        <w:t>Монгол улс: “өсөн нэмэгдэж буй дэд бүтцийн асуудлыг шийдэхийн тулд улсын хөрөнгө оруулалтыг сайжруулах нь", 2013  оны 1 дүгээр сар, Дэлхийн банк</w:t>
      </w:r>
    </w:p>
  </w:footnote>
  <w:footnote w:id="10">
    <w:p w14:paraId="505CF321" w14:textId="59D7B154" w:rsidR="00A767D1" w:rsidRDefault="00A767D1" w:rsidP="008003C7">
      <w:pPr>
        <w:pStyle w:val="FootnoteText"/>
      </w:pPr>
      <w:r>
        <w:rPr>
          <w:rStyle w:val="FootnoteReference"/>
        </w:rPr>
        <w:footnoteRef/>
      </w:r>
      <w:r>
        <w:t xml:space="preserve"> </w:t>
      </w:r>
      <w:r w:rsidRPr="00F751C0">
        <w:rPr>
          <w:lang w:val="mn-MN"/>
        </w:rPr>
        <w:t>Уул уурхайн бус экспортын бидний тодорхойлолт нь алтны экспорт</w:t>
      </w:r>
      <w:r w:rsidRPr="00630B23">
        <w:t>ыг</w:t>
      </w:r>
      <w:r>
        <w:rPr>
          <w:lang w:val="mn-MN"/>
        </w:rPr>
        <w:t xml:space="preserve"> оруулсан</w:t>
      </w:r>
      <w:r w:rsidRPr="00F751C0">
        <w:rPr>
          <w:lang w:val="mn-MN"/>
        </w:rPr>
        <w:t xml:space="preserve"> бол энэ нь м</w:t>
      </w:r>
      <w:r>
        <w:rPr>
          <w:lang w:val="mn-MN"/>
        </w:rPr>
        <w:t>ө</w:t>
      </w:r>
      <w:r w:rsidRPr="00F751C0">
        <w:rPr>
          <w:lang w:val="mn-MN"/>
        </w:rPr>
        <w:t>н ҮСХ эмхэтгэлд ний</w:t>
      </w:r>
      <w:r>
        <w:rPr>
          <w:lang w:val="mn-MN"/>
        </w:rPr>
        <w:t xml:space="preserve">т экспортын 19.9 хувийг эзэлж </w:t>
      </w:r>
      <w:r w:rsidRPr="00F751C0">
        <w:rPr>
          <w:lang w:val="mn-MN"/>
        </w:rPr>
        <w:t xml:space="preserve">уурхайн бус экспортод </w:t>
      </w:r>
      <w:r>
        <w:rPr>
          <w:lang w:val="mn-MN"/>
        </w:rPr>
        <w:t>о</w:t>
      </w:r>
      <w:r w:rsidRPr="00F751C0">
        <w:rPr>
          <w:lang w:val="mn-MN"/>
        </w:rPr>
        <w:t>рж байна. ҮСХ-ны ангилалаар, уул уурхайн бус экспорт (алтыг оруулаад) нь нийт экспортын 2012 онд 10.8 хувийг эзэлж байсан бол одоо 19.9 хувийг эзэлж байна.</w:t>
      </w:r>
      <w:r>
        <w:rPr>
          <w:rFonts w:ascii="Arial" w:hAnsi="Arial" w:cs="Arial"/>
          <w:lang w:val="mn-MN"/>
        </w:rPr>
        <w:t xml:space="preserve"> </w:t>
      </w:r>
    </w:p>
  </w:footnote>
  <w:footnote w:id="11">
    <w:p w14:paraId="18E82B68" w14:textId="2B609109" w:rsidR="00A767D1" w:rsidRDefault="00A767D1" w:rsidP="008003C7">
      <w:pPr>
        <w:pStyle w:val="FootnoteText"/>
      </w:pPr>
      <w:r>
        <w:rPr>
          <w:rStyle w:val="FootnoteReference"/>
          <w:sz w:val="18"/>
        </w:rPr>
        <w:footnoteRef/>
      </w:r>
      <w:r>
        <w:rPr>
          <w:sz w:val="18"/>
        </w:rPr>
        <w:t xml:space="preserve"> </w:t>
      </w:r>
      <w:r>
        <w:rPr>
          <w:sz w:val="18"/>
          <w:lang w:val="mn-MN"/>
        </w:rPr>
        <w:t xml:space="preserve">Муудийз </w:t>
      </w:r>
      <w:r>
        <w:rPr>
          <w:sz w:val="18"/>
        </w:rPr>
        <w:t xml:space="preserve">(9 </w:t>
      </w:r>
      <w:r>
        <w:rPr>
          <w:sz w:val="18"/>
          <w:lang w:val="mn-MN"/>
        </w:rPr>
        <w:t xml:space="preserve">сарын </w:t>
      </w:r>
      <w:r>
        <w:rPr>
          <w:sz w:val="18"/>
        </w:rPr>
        <w:t xml:space="preserve">5), </w:t>
      </w:r>
      <w:r>
        <w:rPr>
          <w:sz w:val="18"/>
          <w:lang w:val="mn-MN"/>
        </w:rPr>
        <w:t>Эс энд Пи</w:t>
      </w:r>
      <w:r>
        <w:rPr>
          <w:sz w:val="18"/>
        </w:rPr>
        <w:t xml:space="preserve"> (</w:t>
      </w:r>
      <w:r>
        <w:rPr>
          <w:sz w:val="18"/>
          <w:lang w:val="mn-MN"/>
        </w:rPr>
        <w:t>5 сарын</w:t>
      </w:r>
      <w:r>
        <w:rPr>
          <w:sz w:val="18"/>
        </w:rPr>
        <w:t xml:space="preserve"> 15), </w:t>
      </w:r>
      <w:r>
        <w:rPr>
          <w:sz w:val="18"/>
          <w:lang w:val="mn-MN"/>
        </w:rPr>
        <w:t>Фитчс</w:t>
      </w:r>
      <w:r>
        <w:rPr>
          <w:sz w:val="18"/>
        </w:rPr>
        <w:t xml:space="preserve"> (</w:t>
      </w:r>
      <w:r>
        <w:rPr>
          <w:sz w:val="18"/>
          <w:lang w:val="mn-MN"/>
        </w:rPr>
        <w:t>7 сарын</w:t>
      </w:r>
      <w:r>
        <w:rPr>
          <w:sz w:val="18"/>
        </w:rPr>
        <w:t xml:space="preserve"> 29)</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959"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9511"/>
    </w:tblGrid>
    <w:tr w:rsidR="00A767D1" w14:paraId="6950E8AF" w14:textId="77777777" w:rsidTr="006F1D26">
      <w:trPr>
        <w:trHeight w:val="319"/>
      </w:trPr>
      <w:sdt>
        <w:sdtPr>
          <w:rPr>
            <w:rFonts w:eastAsiaTheme="majorEastAsia" w:cstheme="minorHAnsi"/>
            <w:b/>
            <w:i/>
            <w:sz w:val="24"/>
            <w:szCs w:val="24"/>
          </w:rPr>
          <w:alias w:val="Title"/>
          <w:id w:val="24681170"/>
          <w:dataBinding w:prefixMappings="xmlns:ns0='http://schemas.openxmlformats.org/package/2006/metadata/core-properties' xmlns:ns1='http://purl.org/dc/elements/1.1/'" w:xpath="/ns0:coreProperties[1]/ns1:title[1]" w:storeItemID="{6C3C8BC8-F283-45AE-878A-BAB7291924A1}"/>
          <w:text/>
        </w:sdtPr>
        <w:sdtEndPr/>
        <w:sdtContent>
          <w:tc>
            <w:tcPr>
              <w:tcW w:w="9512" w:type="dxa"/>
            </w:tcPr>
            <w:p w14:paraId="3716308A" w14:textId="2CB6221A" w:rsidR="00A767D1" w:rsidRDefault="00630B23" w:rsidP="00B66F2C">
              <w:pPr>
                <w:pStyle w:val="Header"/>
                <w:jc w:val="right"/>
                <w:rPr>
                  <w:rFonts w:asciiTheme="majorHAnsi" w:eastAsiaTheme="majorEastAsia" w:hAnsiTheme="majorHAnsi" w:cstheme="majorBidi"/>
                  <w:sz w:val="36"/>
                  <w:szCs w:val="36"/>
                </w:rPr>
              </w:pPr>
              <w:r>
                <w:rPr>
                  <w:rFonts w:eastAsiaTheme="majorEastAsia" w:cstheme="minorHAnsi"/>
                  <w:b/>
                  <w:i/>
                  <w:sz w:val="24"/>
                  <w:szCs w:val="24"/>
                </w:rPr>
                <w:t>Монгол улсын эдийн засгийн улирлын тойм</w:t>
              </w:r>
            </w:p>
          </w:tc>
        </w:sdtContent>
      </w:sdt>
    </w:tr>
  </w:tbl>
  <w:p w14:paraId="5FFB7782" w14:textId="77777777" w:rsidR="00A767D1" w:rsidRDefault="00A767D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761" w:type="pct"/>
      <w:tblInd w:w="-695" w:type="dxa"/>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11050"/>
    </w:tblGrid>
    <w:tr w:rsidR="00A767D1" w14:paraId="071C8F86" w14:textId="77777777" w:rsidTr="00AD58D9">
      <w:trPr>
        <w:trHeight w:val="349"/>
      </w:trPr>
      <w:tc>
        <w:tcPr>
          <w:tcW w:w="11050" w:type="dxa"/>
        </w:tcPr>
        <w:p w14:paraId="6A09700D" w14:textId="570DCA9D" w:rsidR="00A767D1" w:rsidRPr="00135920" w:rsidRDefault="00D05364" w:rsidP="00135920">
          <w:pPr>
            <w:spacing w:after="0"/>
            <w:rPr>
              <w:b/>
            </w:rPr>
          </w:pPr>
          <w:r>
            <w:rPr>
              <w:noProof/>
            </w:rPr>
            <mc:AlternateContent>
              <mc:Choice Requires="wps">
                <w:drawing>
                  <wp:anchor distT="0" distB="0" distL="114300" distR="114300" simplePos="0" relativeHeight="251661312" behindDoc="0" locked="0" layoutInCell="1" allowOverlap="1" wp14:anchorId="4722C07A" wp14:editId="6C4B9FF8">
                    <wp:simplePos x="0" y="0"/>
                    <wp:positionH relativeFrom="column">
                      <wp:posOffset>5801995</wp:posOffset>
                    </wp:positionH>
                    <wp:positionV relativeFrom="paragraph">
                      <wp:posOffset>-292100</wp:posOffset>
                    </wp:positionV>
                    <wp:extent cx="2374265" cy="1403985"/>
                    <wp:effectExtent l="0" t="0" r="381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14:paraId="40FF6224" w14:textId="53D773A6" w:rsidR="00D05364" w:rsidRPr="00D05364" w:rsidRDefault="00D05364">
                                <w:pPr>
                                  <w:rPr>
                                    <w:rFonts w:ascii="Arial" w:hAnsi="Arial" w:cs="Arial"/>
                                    <w:sz w:val="44"/>
                                    <w:szCs w:val="44"/>
                                  </w:rPr>
                                </w:pPr>
                                <w:r w:rsidRPr="00D05364">
                                  <w:rPr>
                                    <w:rFonts w:ascii="Arial" w:hAnsi="Arial" w:cs="Arial"/>
                                    <w:sz w:val="44"/>
                                    <w:szCs w:val="44"/>
                                  </w:rPr>
                                  <w:t>82605</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31" type="#_x0000_t202" style="position:absolute;margin-left:456.85pt;margin-top:-23pt;width:186.95pt;height:110.55pt;z-index:25166131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" stroked="f">
                    <v:textbox style="mso-fit-shape-to-text:t">
                      <w:txbxContent>
                        <w:p w14:paraId="40FF6224" w14:textId="53D773A6" w:rsidR="00D05364" w:rsidRPr="00D05364" w:rsidRDefault="00D05364">
                          <w:pPr>
                            <w:rPr>
                              <w:rFonts w:ascii="Arial" w:hAnsi="Arial" w:cs="Arial"/>
                              <w:sz w:val="44"/>
                              <w:szCs w:val="44"/>
                            </w:rPr>
                          </w:pPr>
                          <w:r w:rsidRPr="00D05364">
                            <w:rPr>
                              <w:rFonts w:ascii="Arial" w:hAnsi="Arial" w:cs="Arial"/>
                              <w:sz w:val="44"/>
                              <w:szCs w:val="44"/>
                            </w:rPr>
                            <w:t>82605</w:t>
                          </w:r>
                        </w:p>
                      </w:txbxContent>
                    </v:textbox>
                  </v:shape>
                </w:pict>
              </mc:Fallback>
            </mc:AlternateContent>
          </w:r>
          <w:r w:rsidR="00A767D1" w:rsidRPr="00A527D0">
            <w:rPr>
              <w:noProof/>
            </w:rPr>
            <w:drawing>
              <wp:inline distT="0" distB="0" distL="0" distR="0" wp14:anchorId="44651B47" wp14:editId="75D4497B">
                <wp:extent cx="531628" cy="499729"/>
                <wp:effectExtent l="19050" t="19050" r="20955" b="15240"/>
                <wp:docPr id="60" name="Picture 60" descr="WB Cube 144x138"/>
                <wp:cNvGraphicFramePr/>
                <a:graphic xmlns:a="http://schemas.openxmlformats.org/drawingml/2006/main">
                  <a:graphicData uri="http://schemas.openxmlformats.org/drawingml/2006/picture">
                    <pic:pic xmlns:pic="http://schemas.openxmlformats.org/drawingml/2006/picture">
                      <pic:nvPicPr>
                        <pic:cNvPr id="12" name="Picture 11" descr="WB Cube 144x138"/>
                        <pic:cNvPicPr/>
                      </pic:nvPicPr>
                      <pic:blipFill>
                        <a:blip r:embed="rId1" cstate="print"/>
                        <a:srcRect/>
                        <a:stretch>
                          <a:fillRect/>
                        </a:stretch>
                      </pic:blipFill>
                      <pic:spPr bwMode="auto">
                        <a:xfrm>
                          <a:off x="0" y="0"/>
                          <a:ext cx="539531" cy="507157"/>
                        </a:xfrm>
                        <a:prstGeom prst="rect">
                          <a:avLst/>
                        </a:prstGeom>
                        <a:noFill/>
                        <a:ln w="9525">
                          <a:solidFill>
                            <a:sysClr val="window" lastClr="FFFFFF"/>
                          </a:solidFill>
                          <a:miter lim="800000"/>
                          <a:headEnd/>
                          <a:tailEnd/>
                        </a:ln>
                      </pic:spPr>
                    </pic:pic>
                  </a:graphicData>
                </a:graphic>
              </wp:inline>
            </w:drawing>
          </w:r>
          <w:r w:rsidR="00A767D1">
            <w:rPr>
              <w:noProof/>
              <w:lang w:eastAsia="ko-KR"/>
            </w:rPr>
            <w:t xml:space="preserve"> </w:t>
          </w:r>
          <w:r w:rsidR="00A767D1">
            <w:rPr>
              <w:noProof/>
            </w:rPr>
            <mc:AlternateContent>
              <mc:Choice Requires="wps">
                <w:drawing>
                  <wp:anchor distT="0" distB="0" distL="114300" distR="114300" simplePos="0" relativeHeight="251659264" behindDoc="0" locked="0" layoutInCell="0" allowOverlap="1" wp14:anchorId="6C13F9F4" wp14:editId="5568F2A9">
                    <wp:simplePos x="0" y="0"/>
                    <wp:positionH relativeFrom="page">
                      <wp:align>left</wp:align>
                    </wp:positionH>
                    <mc:AlternateContent>
                      <mc:Choice Requires="wp14">
                        <wp:positionV relativeFrom="page">
                          <wp14:pctPosVOffset>25000</wp14:pctPosVOffset>
                        </wp:positionV>
                      </mc:Choice>
                      <mc:Fallback>
                        <wp:positionV relativeFrom="page">
                          <wp:posOffset>2514600</wp:posOffset>
                        </wp:positionV>
                      </mc:Fallback>
                    </mc:AlternateContent>
                    <wp:extent cx="7729268" cy="640080"/>
                    <wp:effectExtent l="0" t="0" r="24130" b="23495"/>
                    <wp:wrapNone/>
                    <wp:docPr id="11"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29268" cy="640080"/>
                            </a:xfrm>
                            <a:prstGeom prst="rect">
                              <a:avLst/>
                            </a:prstGeom>
                            <a:solidFill>
                              <a:schemeClr val="accent6">
                                <a:lumMod val="50000"/>
                              </a:schemeClr>
                            </a:solidFill>
                            <a:ln w="12700">
                              <a:solidFill>
                                <a:schemeClr val="bg1"/>
                              </a:solidFill>
                              <a:miter lim="800000"/>
                              <a:headEnd/>
                              <a:tailEnd/>
                            </a:ln>
                            <a:extLst/>
                          </wps:spPr>
                          <wps:txbx>
                            <w:txbxContent>
                              <w:sdt>
                                <w:sdtPr>
                                  <w:rPr>
                                    <w:rFonts w:eastAsiaTheme="majorEastAsia" w:cstheme="minorHAnsi"/>
                                    <w:b/>
                                    <w:color w:val="EEECE1" w:themeColor="background2"/>
                                    <w:sz w:val="56"/>
                                    <w:szCs w:val="72"/>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alias w:val="Title"/>
                                  <w:id w:val="-1055011897"/>
                                  <w:dataBinding w:prefixMappings="xmlns:ns0='http://schemas.openxmlformats.org/package/2006/metadata/core-properties' xmlns:ns1='http://purl.org/dc/elements/1.1/'" w:xpath="/ns0:coreProperties[1]/ns1:title[1]" w:storeItemID="{6C3C8BC8-F283-45AE-878A-BAB7291924A1}"/>
                                  <w:text/>
                                </w:sdtPr>
                                <w:sdtEndPr/>
                                <w:sdtContent>
                                  <w:p w14:paraId="249D183A" w14:textId="44CE189D" w:rsidR="00A767D1" w:rsidRPr="007D7720" w:rsidRDefault="00630B23" w:rsidP="00135920">
                                    <w:pPr>
                                      <w:pStyle w:val="NoSpacing"/>
                                      <w:jc w:val="center"/>
                                      <w:rPr>
                                        <w:rFonts w:eastAsiaTheme="majorEastAsia" w:cstheme="minorHAnsi"/>
                                        <w:color w:val="FFFFFF" w:themeColor="background1"/>
                                        <w:sz w:val="72"/>
                                        <w:szCs w:val="72"/>
                                      </w:rPr>
                                    </w:pPr>
                                    <w:r>
                                      <w:rPr>
                                        <w:rFonts w:eastAsiaTheme="majorEastAsia" w:cstheme="minorHAnsi"/>
                                        <w:b/>
                                        <w:color w:val="EEECE1" w:themeColor="background2"/>
                                        <w:sz w:val="56"/>
                                        <w:szCs w:val="72"/>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Монгол улсын эдийн засгийн улирлын тойм</w:t>
                                    </w:r>
                                  </w:p>
                                </w:sdtContent>
                              </w:sdt>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7300</wp14:pctHeight>
                    </wp14:sizeRelV>
                  </wp:anchor>
                </w:drawing>
              </mc:Choice>
              <mc:Fallback>
                <w:pict>
                  <v:rect id="Rectangle 16" o:spid="_x0000_s1031" style="position:absolute;margin-left:0;margin-top:0;width:608.6pt;height:50.4pt;z-index:251659264;visibility:visible;mso-wrap-style:square;mso-width-percent:0;mso-height-percent:73;mso-top-percent:250;mso-wrap-distance-left:9pt;mso-wrap-distance-top:0;mso-wrap-distance-right:9pt;mso-wrap-distance-bottom:0;mso-position-horizontal:left;mso-position-horizontal-relative:page;mso-position-vertical-relative:page;mso-width-percent:0;mso-height-percent:73;mso-top-percent:2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" o:allowincell="f" fillcolor="#974706 [1609]" strokecolor="white [3212]" strokeweight="1pt">
                    <v:textbox style="mso-fit-shape-to-text:t" inset="14.4pt,,14.4pt">
                      <w:txbxContent>
                        <w:sdt>
                          <w:sdtPr>
                            <w:rPr>
                              <w:rFonts w:eastAsiaTheme="majorEastAsia" w:cstheme="minorHAnsi"/>
                              <w:b/>
                              <w:color w:val="EEECE1" w:themeColor="background2"/>
                              <w:sz w:val="56"/>
                              <w:szCs w:val="72"/>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alias w:val="Title"/>
                            <w:id w:val="-1055011897"/>
                            <w:dataBinding w:prefixMappings="xmlns:ns0='http://schemas.openxmlformats.org/package/2006/metadata/core-properties' xmlns:ns1='http://purl.org/dc/elements/1.1/'" w:xpath="/ns0:coreProperties[1]/ns1:title[1]" w:storeItemID="{6C3C8BC8-F283-45AE-878A-BAB7291924A1}"/>
                            <w:text/>
                          </w:sdtPr>
                          <w:sdtEndPr/>
                          <w:sdtContent>
                            <w:p w14:paraId="249D183A" w14:textId="44CE189D" w:rsidR="00A767D1" w:rsidRPr="007D7720" w:rsidRDefault="00630B23" w:rsidP="00135920">
                              <w:pPr>
                                <w:pStyle w:val="NoSpacing"/>
                                <w:jc w:val="center"/>
                                <w:rPr>
                                  <w:rFonts w:eastAsiaTheme="majorEastAsia" w:cstheme="minorHAnsi"/>
                                  <w:color w:val="FFFFFF" w:themeColor="background1"/>
                                  <w:sz w:val="72"/>
                                  <w:szCs w:val="72"/>
                                </w:rPr>
                              </w:pPr>
                              <w:r>
                                <w:rPr>
                                  <w:rFonts w:eastAsiaTheme="majorEastAsia" w:cstheme="minorHAnsi"/>
                                  <w:b/>
                                  <w:color w:val="EEECE1" w:themeColor="background2"/>
                                  <w:sz w:val="56"/>
                                  <w:szCs w:val="72"/>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Монгол улсын эдийн засгийн улирлын тойм</w:t>
                              </w:r>
                            </w:p>
                          </w:sdtContent>
                        </w:sdt>
                      </w:txbxContent>
                    </v:textbox>
                    <w10:wrap anchorx="page" anchory="page"/>
                  </v:rect>
                </w:pict>
              </mc:Fallback>
            </mc:AlternateContent>
          </w:r>
          <w:r w:rsidR="00A767D1">
            <w:rPr>
              <w:noProof/>
            </w:rPr>
            <w:t xml:space="preserve">  </w:t>
          </w:r>
          <w:r w:rsidR="00A767D1">
            <w:rPr>
              <w:b/>
              <w:noProof/>
              <w:lang w:val="mn-MN"/>
            </w:rPr>
            <w:t>МОНГОЛ ДАХЬ ДЭЛХИЙН БАНКНЫ ГРУПП</w:t>
          </w:r>
        </w:p>
      </w:tc>
    </w:tr>
  </w:tbl>
  <w:p w14:paraId="6DBAB143" w14:textId="77777777" w:rsidR="00A767D1" w:rsidRDefault="00A767D1" w:rsidP="00B41B68">
    <w:pPr>
      <w:pStyle w:val="Header"/>
    </w:pPr>
  </w:p>
  <w:p w14:paraId="2E2F5047" w14:textId="77777777" w:rsidR="00A767D1" w:rsidRDefault="00A767D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E0BA6"/>
    <w:multiLevelType w:val="hybridMultilevel"/>
    <w:tmpl w:val="072684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8645E93"/>
    <w:multiLevelType w:val="hybridMultilevel"/>
    <w:tmpl w:val="057CB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A527A4F"/>
    <w:multiLevelType w:val="hybridMultilevel"/>
    <w:tmpl w:val="FC7A93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1CCD180B"/>
    <w:multiLevelType w:val="hybridMultilevel"/>
    <w:tmpl w:val="41DC00EE"/>
    <w:lvl w:ilvl="0" w:tplc="0414CE06">
      <w:start w:val="18"/>
      <w:numFmt w:val="bullet"/>
      <w:lvlText w:val="-"/>
      <w:lvlJc w:val="left"/>
      <w:pPr>
        <w:ind w:left="720" w:hanging="360"/>
      </w:pPr>
      <w:rPr>
        <w:rFonts w:ascii="Calibri" w:eastAsiaTheme="minorEastAsia" w:hAnsi="Calibri" w:cs="Calibri"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1FA3BB9"/>
    <w:multiLevelType w:val="hybridMultilevel"/>
    <w:tmpl w:val="BBD2F0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3B056A0"/>
    <w:multiLevelType w:val="hybridMultilevel"/>
    <w:tmpl w:val="1EC494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A4F42D0"/>
    <w:multiLevelType w:val="hybridMultilevel"/>
    <w:tmpl w:val="EED272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9484EBC"/>
    <w:multiLevelType w:val="hybridMultilevel"/>
    <w:tmpl w:val="8C8A08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9B77129"/>
    <w:multiLevelType w:val="hybridMultilevel"/>
    <w:tmpl w:val="EF7AD4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9C042F5"/>
    <w:multiLevelType w:val="hybridMultilevel"/>
    <w:tmpl w:val="5D68FC8A"/>
    <w:lvl w:ilvl="0" w:tplc="0FEE791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6A325FB"/>
    <w:multiLevelType w:val="hybridMultilevel"/>
    <w:tmpl w:val="A784EF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B5D75B1"/>
    <w:multiLevelType w:val="hybridMultilevel"/>
    <w:tmpl w:val="B406F2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C676098"/>
    <w:multiLevelType w:val="hybridMultilevel"/>
    <w:tmpl w:val="CA908468"/>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3">
    <w:nsid w:val="505345FD"/>
    <w:multiLevelType w:val="hybridMultilevel"/>
    <w:tmpl w:val="8320DE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29A1DB7"/>
    <w:multiLevelType w:val="hybridMultilevel"/>
    <w:tmpl w:val="530EB0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90F56CB"/>
    <w:multiLevelType w:val="hybridMultilevel"/>
    <w:tmpl w:val="A478017E"/>
    <w:lvl w:ilvl="0" w:tplc="A0AC606A">
      <w:start w:val="1"/>
      <w:numFmt w:val="decimal"/>
      <w:pStyle w:val="ParagraphNumbering"/>
      <w:lvlText w:val="%1.     "/>
      <w:lvlJc w:val="left"/>
      <w:pPr>
        <w:tabs>
          <w:tab w:val="num" w:pos="720"/>
        </w:tabs>
        <w:ind w:left="0" w:firstLine="0"/>
      </w:pPr>
      <w:rPr>
        <w:rFonts w:hint="default"/>
        <w:b w:val="0"/>
        <w:bCs w:val="0"/>
        <w:i w:val="0"/>
        <w:iCs w:val="0"/>
        <w:sz w:val="24"/>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6">
    <w:nsid w:val="5DBB1651"/>
    <w:multiLevelType w:val="hybridMultilevel"/>
    <w:tmpl w:val="8A44E1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0EA34D3"/>
    <w:multiLevelType w:val="hybridMultilevel"/>
    <w:tmpl w:val="9C1C53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AFA4A3B"/>
    <w:multiLevelType w:val="hybridMultilevel"/>
    <w:tmpl w:val="EB3619D2"/>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9">
    <w:nsid w:val="78A36010"/>
    <w:multiLevelType w:val="hybridMultilevel"/>
    <w:tmpl w:val="7DF219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9E33F9A"/>
    <w:multiLevelType w:val="hybridMultilevel"/>
    <w:tmpl w:val="48C8AF80"/>
    <w:lvl w:ilvl="0" w:tplc="C224899A">
      <w:start w:val="21"/>
      <w:numFmt w:val="bullet"/>
      <w:lvlText w:val=""/>
      <w:lvlJc w:val="left"/>
      <w:pPr>
        <w:ind w:left="720" w:hanging="360"/>
      </w:pPr>
      <w:rPr>
        <w:rFonts w:ascii="Wingdings" w:eastAsiaTheme="minorEastAsia" w:hAnsi="Wingdings"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D625C59"/>
    <w:multiLevelType w:val="hybridMultilevel"/>
    <w:tmpl w:val="0A78E8D6"/>
    <w:lvl w:ilvl="0" w:tplc="04090001">
      <w:start w:val="1"/>
      <w:numFmt w:val="bullet"/>
      <w:lvlText w:val=""/>
      <w:lvlJc w:val="left"/>
      <w:pPr>
        <w:ind w:left="720" w:hanging="360"/>
      </w:pPr>
      <w:rPr>
        <w:rFonts w:ascii="Symbol" w:hAnsi="Symbo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FE543BC"/>
    <w:multiLevelType w:val="hybridMultilevel"/>
    <w:tmpl w:val="88E400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5"/>
  </w:num>
  <w:num w:numId="3">
    <w:abstractNumId w:val="17"/>
  </w:num>
  <w:num w:numId="4">
    <w:abstractNumId w:val="11"/>
  </w:num>
  <w:num w:numId="5">
    <w:abstractNumId w:val="1"/>
  </w:num>
  <w:num w:numId="6">
    <w:abstractNumId w:val="0"/>
  </w:num>
  <w:num w:numId="7">
    <w:abstractNumId w:val="16"/>
  </w:num>
  <w:num w:numId="8">
    <w:abstractNumId w:val="19"/>
  </w:num>
  <w:num w:numId="9">
    <w:abstractNumId w:val="10"/>
  </w:num>
  <w:num w:numId="10">
    <w:abstractNumId w:val="6"/>
  </w:num>
  <w:num w:numId="11">
    <w:abstractNumId w:val="4"/>
  </w:num>
  <w:num w:numId="12">
    <w:abstractNumId w:val="9"/>
  </w:num>
  <w:num w:numId="13">
    <w:abstractNumId w:val="12"/>
  </w:num>
  <w:num w:numId="14">
    <w:abstractNumId w:val="7"/>
  </w:num>
  <w:num w:numId="15">
    <w:abstractNumId w:val="18"/>
  </w:num>
  <w:num w:numId="16">
    <w:abstractNumId w:val="21"/>
  </w:num>
  <w:num w:numId="17">
    <w:abstractNumId w:val="13"/>
  </w:num>
  <w:num w:numId="18">
    <w:abstractNumId w:val="3"/>
  </w:num>
  <w:num w:numId="19">
    <w:abstractNumId w:val="14"/>
  </w:num>
  <w:num w:numId="20">
    <w:abstractNumId w:val="22"/>
  </w:num>
  <w:num w:numId="21">
    <w:abstractNumId w:val="20"/>
  </w:num>
  <w:num w:numId="22">
    <w:abstractNumId w:val="8"/>
  </w:num>
  <w:num w:numId="23">
    <w:abstractNumId w:val="5"/>
  </w:num>
  <w:num w:numId="2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0"/>
  </w:num>
  <w:num w:numId="26">
    <w:abstractNumId w:val="16"/>
  </w:num>
  <w:num w:numId="27">
    <w:abstractNumId w:val="6"/>
  </w:num>
  <w:num w:numId="28">
    <w:abstractNumId w:val="19"/>
  </w:num>
  <w:num w:numId="29">
    <w:abstractNumId w:val="10"/>
  </w:num>
  <w:num w:numId="30">
    <w:abstractNumId w:val="5"/>
  </w:num>
  <w:num w:numId="31">
    <w:abstractNumId w:val="4"/>
  </w:num>
  <w:num w:numId="32">
    <w:abstractNumId w:val="14"/>
  </w:num>
  <w:num w:numId="3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2"/>
  </w:num>
  <w:num w:numId="35">
    <w:abstractNumId w:val="7"/>
  </w:num>
  <w:num w:numId="36">
    <w:abstractNumId w:val="18"/>
  </w:num>
  <w:numIdMacAtCleanup w:val="17"/>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ruce Fitzgerald">
    <w15:presenceInfo w15:providerId="Windows Live" w15:userId="eb913eba0e7db32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hideSpellingErrors/>
  <w:proofState w:grammar="clean"/>
  <w:revisionView w:markup="0"/>
  <w:defaultTabStop w:val="720"/>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040E"/>
    <w:rsid w:val="000008D6"/>
    <w:rsid w:val="00000B67"/>
    <w:rsid w:val="000011B6"/>
    <w:rsid w:val="00002C08"/>
    <w:rsid w:val="00004742"/>
    <w:rsid w:val="00005E6B"/>
    <w:rsid w:val="00006B37"/>
    <w:rsid w:val="00007A35"/>
    <w:rsid w:val="00010761"/>
    <w:rsid w:val="00010806"/>
    <w:rsid w:val="00011186"/>
    <w:rsid w:val="000115DE"/>
    <w:rsid w:val="00011EED"/>
    <w:rsid w:val="0001236A"/>
    <w:rsid w:val="00012FDD"/>
    <w:rsid w:val="000130A3"/>
    <w:rsid w:val="000130FB"/>
    <w:rsid w:val="00013194"/>
    <w:rsid w:val="00013A09"/>
    <w:rsid w:val="00013AC8"/>
    <w:rsid w:val="00013D6C"/>
    <w:rsid w:val="000203C6"/>
    <w:rsid w:val="00021380"/>
    <w:rsid w:val="00021AD0"/>
    <w:rsid w:val="00021B14"/>
    <w:rsid w:val="000226BF"/>
    <w:rsid w:val="00023C81"/>
    <w:rsid w:val="000245E1"/>
    <w:rsid w:val="000247A5"/>
    <w:rsid w:val="00024913"/>
    <w:rsid w:val="000269BB"/>
    <w:rsid w:val="00026DC2"/>
    <w:rsid w:val="00026EA3"/>
    <w:rsid w:val="00026F8B"/>
    <w:rsid w:val="000273CC"/>
    <w:rsid w:val="00027758"/>
    <w:rsid w:val="000309AF"/>
    <w:rsid w:val="00030FD0"/>
    <w:rsid w:val="00032738"/>
    <w:rsid w:val="00033224"/>
    <w:rsid w:val="0003469C"/>
    <w:rsid w:val="00034EE8"/>
    <w:rsid w:val="00035D0E"/>
    <w:rsid w:val="00036B34"/>
    <w:rsid w:val="000405E1"/>
    <w:rsid w:val="00043CB0"/>
    <w:rsid w:val="00045A2C"/>
    <w:rsid w:val="00045C72"/>
    <w:rsid w:val="00045D9D"/>
    <w:rsid w:val="00045E9E"/>
    <w:rsid w:val="000465B6"/>
    <w:rsid w:val="00046ED5"/>
    <w:rsid w:val="00046FF6"/>
    <w:rsid w:val="0004706B"/>
    <w:rsid w:val="000522D0"/>
    <w:rsid w:val="00052B38"/>
    <w:rsid w:val="00053292"/>
    <w:rsid w:val="00053B5E"/>
    <w:rsid w:val="00053F7B"/>
    <w:rsid w:val="0005478E"/>
    <w:rsid w:val="000569BD"/>
    <w:rsid w:val="000571EB"/>
    <w:rsid w:val="00060974"/>
    <w:rsid w:val="0006148C"/>
    <w:rsid w:val="00063C13"/>
    <w:rsid w:val="00065B2B"/>
    <w:rsid w:val="00066E12"/>
    <w:rsid w:val="00067A45"/>
    <w:rsid w:val="000711CB"/>
    <w:rsid w:val="00073A74"/>
    <w:rsid w:val="00073C3B"/>
    <w:rsid w:val="00074F8C"/>
    <w:rsid w:val="00075984"/>
    <w:rsid w:val="0007626F"/>
    <w:rsid w:val="0007704D"/>
    <w:rsid w:val="00077AC1"/>
    <w:rsid w:val="00080818"/>
    <w:rsid w:val="00080882"/>
    <w:rsid w:val="0008181B"/>
    <w:rsid w:val="000820CB"/>
    <w:rsid w:val="000827EA"/>
    <w:rsid w:val="00083038"/>
    <w:rsid w:val="00083CC5"/>
    <w:rsid w:val="0008473D"/>
    <w:rsid w:val="000857CC"/>
    <w:rsid w:val="00086C56"/>
    <w:rsid w:val="00087B22"/>
    <w:rsid w:val="00087CCE"/>
    <w:rsid w:val="00094E51"/>
    <w:rsid w:val="00095C58"/>
    <w:rsid w:val="00097368"/>
    <w:rsid w:val="000A1252"/>
    <w:rsid w:val="000A41C4"/>
    <w:rsid w:val="000A4C33"/>
    <w:rsid w:val="000A5398"/>
    <w:rsid w:val="000B12B4"/>
    <w:rsid w:val="000B4174"/>
    <w:rsid w:val="000B4A42"/>
    <w:rsid w:val="000B4D18"/>
    <w:rsid w:val="000B547B"/>
    <w:rsid w:val="000B58CF"/>
    <w:rsid w:val="000B5B4C"/>
    <w:rsid w:val="000B6DF9"/>
    <w:rsid w:val="000B79D9"/>
    <w:rsid w:val="000C23DE"/>
    <w:rsid w:val="000C3C7A"/>
    <w:rsid w:val="000C4255"/>
    <w:rsid w:val="000C46DF"/>
    <w:rsid w:val="000C4FA7"/>
    <w:rsid w:val="000C5AB1"/>
    <w:rsid w:val="000C5BC2"/>
    <w:rsid w:val="000C6228"/>
    <w:rsid w:val="000D083D"/>
    <w:rsid w:val="000D0E8F"/>
    <w:rsid w:val="000D3AC1"/>
    <w:rsid w:val="000D45D7"/>
    <w:rsid w:val="000D45FF"/>
    <w:rsid w:val="000D5BDF"/>
    <w:rsid w:val="000D5BFE"/>
    <w:rsid w:val="000D710E"/>
    <w:rsid w:val="000D7300"/>
    <w:rsid w:val="000D7B80"/>
    <w:rsid w:val="000D7EE8"/>
    <w:rsid w:val="000E003F"/>
    <w:rsid w:val="000E0072"/>
    <w:rsid w:val="000E0ED2"/>
    <w:rsid w:val="000E2113"/>
    <w:rsid w:val="000E35EA"/>
    <w:rsid w:val="000E4427"/>
    <w:rsid w:val="000E466D"/>
    <w:rsid w:val="000E4F95"/>
    <w:rsid w:val="000E5467"/>
    <w:rsid w:val="000E5A02"/>
    <w:rsid w:val="000E75A4"/>
    <w:rsid w:val="000F00B4"/>
    <w:rsid w:val="000F100B"/>
    <w:rsid w:val="000F135D"/>
    <w:rsid w:val="000F3EEB"/>
    <w:rsid w:val="000F4018"/>
    <w:rsid w:val="000F42AE"/>
    <w:rsid w:val="000F42D8"/>
    <w:rsid w:val="000F45A2"/>
    <w:rsid w:val="000F48D4"/>
    <w:rsid w:val="000F6031"/>
    <w:rsid w:val="000F6482"/>
    <w:rsid w:val="000F6650"/>
    <w:rsid w:val="00101FB8"/>
    <w:rsid w:val="00102673"/>
    <w:rsid w:val="00102CA3"/>
    <w:rsid w:val="00105624"/>
    <w:rsid w:val="001061AA"/>
    <w:rsid w:val="001066D4"/>
    <w:rsid w:val="00106963"/>
    <w:rsid w:val="00107491"/>
    <w:rsid w:val="0011049D"/>
    <w:rsid w:val="00110C46"/>
    <w:rsid w:val="00111670"/>
    <w:rsid w:val="00111A11"/>
    <w:rsid w:val="00112888"/>
    <w:rsid w:val="00112D6B"/>
    <w:rsid w:val="00114CBD"/>
    <w:rsid w:val="00115FB8"/>
    <w:rsid w:val="00116817"/>
    <w:rsid w:val="00116D6A"/>
    <w:rsid w:val="00116F48"/>
    <w:rsid w:val="00121739"/>
    <w:rsid w:val="00122FD5"/>
    <w:rsid w:val="00127192"/>
    <w:rsid w:val="00130C35"/>
    <w:rsid w:val="00131051"/>
    <w:rsid w:val="00131A1D"/>
    <w:rsid w:val="00131E38"/>
    <w:rsid w:val="001322B1"/>
    <w:rsid w:val="00132937"/>
    <w:rsid w:val="00132BAD"/>
    <w:rsid w:val="00133E9C"/>
    <w:rsid w:val="0013503D"/>
    <w:rsid w:val="0013519B"/>
    <w:rsid w:val="00135920"/>
    <w:rsid w:val="001362B0"/>
    <w:rsid w:val="00137468"/>
    <w:rsid w:val="001403C7"/>
    <w:rsid w:val="00140480"/>
    <w:rsid w:val="00140A40"/>
    <w:rsid w:val="001418F9"/>
    <w:rsid w:val="0014206A"/>
    <w:rsid w:val="001448BD"/>
    <w:rsid w:val="0014521B"/>
    <w:rsid w:val="00145BB7"/>
    <w:rsid w:val="00145EB8"/>
    <w:rsid w:val="001461D2"/>
    <w:rsid w:val="0014658D"/>
    <w:rsid w:val="00146C57"/>
    <w:rsid w:val="00146DCF"/>
    <w:rsid w:val="001473D6"/>
    <w:rsid w:val="00147507"/>
    <w:rsid w:val="00147BBB"/>
    <w:rsid w:val="001502FE"/>
    <w:rsid w:val="00150A39"/>
    <w:rsid w:val="00151D55"/>
    <w:rsid w:val="00151D78"/>
    <w:rsid w:val="00152B52"/>
    <w:rsid w:val="00152EF6"/>
    <w:rsid w:val="001532BF"/>
    <w:rsid w:val="001539D0"/>
    <w:rsid w:val="0015403D"/>
    <w:rsid w:val="00155DCB"/>
    <w:rsid w:val="00157149"/>
    <w:rsid w:val="00157416"/>
    <w:rsid w:val="0015746F"/>
    <w:rsid w:val="001602E2"/>
    <w:rsid w:val="001606D4"/>
    <w:rsid w:val="00160BF0"/>
    <w:rsid w:val="0016190F"/>
    <w:rsid w:val="00161AD2"/>
    <w:rsid w:val="00161EE6"/>
    <w:rsid w:val="001623B9"/>
    <w:rsid w:val="00162D9B"/>
    <w:rsid w:val="0016375F"/>
    <w:rsid w:val="001637B0"/>
    <w:rsid w:val="00163F40"/>
    <w:rsid w:val="00164F03"/>
    <w:rsid w:val="00165250"/>
    <w:rsid w:val="00166990"/>
    <w:rsid w:val="0016788F"/>
    <w:rsid w:val="00167B28"/>
    <w:rsid w:val="00170D17"/>
    <w:rsid w:val="0017164F"/>
    <w:rsid w:val="00174365"/>
    <w:rsid w:val="00174C5E"/>
    <w:rsid w:val="00175203"/>
    <w:rsid w:val="001752B3"/>
    <w:rsid w:val="00175E25"/>
    <w:rsid w:val="00176FE9"/>
    <w:rsid w:val="00181C44"/>
    <w:rsid w:val="00182455"/>
    <w:rsid w:val="001835B3"/>
    <w:rsid w:val="00183C4F"/>
    <w:rsid w:val="00183FA1"/>
    <w:rsid w:val="0018405A"/>
    <w:rsid w:val="0018622E"/>
    <w:rsid w:val="00186388"/>
    <w:rsid w:val="00190B18"/>
    <w:rsid w:val="00190C84"/>
    <w:rsid w:val="0019108D"/>
    <w:rsid w:val="00191224"/>
    <w:rsid w:val="00191585"/>
    <w:rsid w:val="00191625"/>
    <w:rsid w:val="001918EE"/>
    <w:rsid w:val="001919C8"/>
    <w:rsid w:val="00191EF5"/>
    <w:rsid w:val="00192079"/>
    <w:rsid w:val="001930CB"/>
    <w:rsid w:val="0019369D"/>
    <w:rsid w:val="00195912"/>
    <w:rsid w:val="00195914"/>
    <w:rsid w:val="0019598D"/>
    <w:rsid w:val="0019657E"/>
    <w:rsid w:val="001967FA"/>
    <w:rsid w:val="001A11B4"/>
    <w:rsid w:val="001A2144"/>
    <w:rsid w:val="001A2219"/>
    <w:rsid w:val="001A269B"/>
    <w:rsid w:val="001A4C4B"/>
    <w:rsid w:val="001A57A1"/>
    <w:rsid w:val="001A5D9E"/>
    <w:rsid w:val="001A728B"/>
    <w:rsid w:val="001A7439"/>
    <w:rsid w:val="001A7ABA"/>
    <w:rsid w:val="001B0985"/>
    <w:rsid w:val="001B0B22"/>
    <w:rsid w:val="001B0D84"/>
    <w:rsid w:val="001B130B"/>
    <w:rsid w:val="001B2215"/>
    <w:rsid w:val="001B3DF1"/>
    <w:rsid w:val="001B4932"/>
    <w:rsid w:val="001B4969"/>
    <w:rsid w:val="001B5E4E"/>
    <w:rsid w:val="001B6401"/>
    <w:rsid w:val="001B6F33"/>
    <w:rsid w:val="001B707D"/>
    <w:rsid w:val="001B7313"/>
    <w:rsid w:val="001B7F20"/>
    <w:rsid w:val="001C0267"/>
    <w:rsid w:val="001C048F"/>
    <w:rsid w:val="001C04A6"/>
    <w:rsid w:val="001C0CFE"/>
    <w:rsid w:val="001C2126"/>
    <w:rsid w:val="001C258D"/>
    <w:rsid w:val="001C2C73"/>
    <w:rsid w:val="001C46CC"/>
    <w:rsid w:val="001C4DA1"/>
    <w:rsid w:val="001C5587"/>
    <w:rsid w:val="001C5673"/>
    <w:rsid w:val="001C5D7C"/>
    <w:rsid w:val="001C6620"/>
    <w:rsid w:val="001C7FAB"/>
    <w:rsid w:val="001D0088"/>
    <w:rsid w:val="001D10C1"/>
    <w:rsid w:val="001D13DB"/>
    <w:rsid w:val="001D1EDA"/>
    <w:rsid w:val="001D3B37"/>
    <w:rsid w:val="001D3C40"/>
    <w:rsid w:val="001D44D9"/>
    <w:rsid w:val="001D4ABC"/>
    <w:rsid w:val="001D7151"/>
    <w:rsid w:val="001D77E9"/>
    <w:rsid w:val="001E0DEC"/>
    <w:rsid w:val="001E1B2F"/>
    <w:rsid w:val="001E24F3"/>
    <w:rsid w:val="001E378A"/>
    <w:rsid w:val="001E3B2A"/>
    <w:rsid w:val="001E3E3A"/>
    <w:rsid w:val="001E6A3F"/>
    <w:rsid w:val="001E6B87"/>
    <w:rsid w:val="001E7560"/>
    <w:rsid w:val="001F0220"/>
    <w:rsid w:val="001F0F39"/>
    <w:rsid w:val="001F11DE"/>
    <w:rsid w:val="001F21ED"/>
    <w:rsid w:val="001F238F"/>
    <w:rsid w:val="001F34D9"/>
    <w:rsid w:val="001F5C62"/>
    <w:rsid w:val="001F5DEC"/>
    <w:rsid w:val="001F63D5"/>
    <w:rsid w:val="001F694F"/>
    <w:rsid w:val="001F6C62"/>
    <w:rsid w:val="001F7102"/>
    <w:rsid w:val="001F7909"/>
    <w:rsid w:val="0020047B"/>
    <w:rsid w:val="00200688"/>
    <w:rsid w:val="00200BF5"/>
    <w:rsid w:val="00201122"/>
    <w:rsid w:val="0020172F"/>
    <w:rsid w:val="002017CF"/>
    <w:rsid w:val="00201D9B"/>
    <w:rsid w:val="00204134"/>
    <w:rsid w:val="00204235"/>
    <w:rsid w:val="00204C73"/>
    <w:rsid w:val="002051E8"/>
    <w:rsid w:val="002059DF"/>
    <w:rsid w:val="00205BDE"/>
    <w:rsid w:val="00207174"/>
    <w:rsid w:val="002078CF"/>
    <w:rsid w:val="00207D9C"/>
    <w:rsid w:val="002105A8"/>
    <w:rsid w:val="00210C87"/>
    <w:rsid w:val="0021130C"/>
    <w:rsid w:val="00212722"/>
    <w:rsid w:val="00212ADE"/>
    <w:rsid w:val="002157D5"/>
    <w:rsid w:val="0021728E"/>
    <w:rsid w:val="0022009B"/>
    <w:rsid w:val="0022010B"/>
    <w:rsid w:val="0022082F"/>
    <w:rsid w:val="0022127C"/>
    <w:rsid w:val="002215C8"/>
    <w:rsid w:val="00221A14"/>
    <w:rsid w:val="002222D4"/>
    <w:rsid w:val="0022299B"/>
    <w:rsid w:val="002231E0"/>
    <w:rsid w:val="00223FB6"/>
    <w:rsid w:val="00224BD8"/>
    <w:rsid w:val="00224C84"/>
    <w:rsid w:val="002250EF"/>
    <w:rsid w:val="00230822"/>
    <w:rsid w:val="00234505"/>
    <w:rsid w:val="0023452A"/>
    <w:rsid w:val="00235AB0"/>
    <w:rsid w:val="0023736E"/>
    <w:rsid w:val="00237A01"/>
    <w:rsid w:val="00237AC3"/>
    <w:rsid w:val="00237D23"/>
    <w:rsid w:val="002404C9"/>
    <w:rsid w:val="00241546"/>
    <w:rsid w:val="00241A3B"/>
    <w:rsid w:val="002421AC"/>
    <w:rsid w:val="00243E98"/>
    <w:rsid w:val="00244172"/>
    <w:rsid w:val="00244DD0"/>
    <w:rsid w:val="002452AA"/>
    <w:rsid w:val="0024576B"/>
    <w:rsid w:val="00245853"/>
    <w:rsid w:val="00245E0F"/>
    <w:rsid w:val="0024755C"/>
    <w:rsid w:val="00247EC7"/>
    <w:rsid w:val="0025096D"/>
    <w:rsid w:val="00251053"/>
    <w:rsid w:val="0025233E"/>
    <w:rsid w:val="002528FE"/>
    <w:rsid w:val="002547A9"/>
    <w:rsid w:val="00254951"/>
    <w:rsid w:val="00254D2C"/>
    <w:rsid w:val="00254E24"/>
    <w:rsid w:val="00255DCC"/>
    <w:rsid w:val="00256032"/>
    <w:rsid w:val="0026047D"/>
    <w:rsid w:val="00260E74"/>
    <w:rsid w:val="002617DF"/>
    <w:rsid w:val="0026409A"/>
    <w:rsid w:val="00264CCD"/>
    <w:rsid w:val="00264E58"/>
    <w:rsid w:val="0026621A"/>
    <w:rsid w:val="002667B1"/>
    <w:rsid w:val="00266914"/>
    <w:rsid w:val="00266E3F"/>
    <w:rsid w:val="0026716C"/>
    <w:rsid w:val="002671A2"/>
    <w:rsid w:val="002707DC"/>
    <w:rsid w:val="00271013"/>
    <w:rsid w:val="00272E5E"/>
    <w:rsid w:val="00273396"/>
    <w:rsid w:val="002736BD"/>
    <w:rsid w:val="0027373C"/>
    <w:rsid w:val="00273B0D"/>
    <w:rsid w:val="00273C23"/>
    <w:rsid w:val="002748A2"/>
    <w:rsid w:val="00275D70"/>
    <w:rsid w:val="002804DC"/>
    <w:rsid w:val="00280979"/>
    <w:rsid w:val="00280CBB"/>
    <w:rsid w:val="00281FD9"/>
    <w:rsid w:val="0028478F"/>
    <w:rsid w:val="00285853"/>
    <w:rsid w:val="002863A0"/>
    <w:rsid w:val="00292FBB"/>
    <w:rsid w:val="002936DA"/>
    <w:rsid w:val="002939A8"/>
    <w:rsid w:val="00293A24"/>
    <w:rsid w:val="002954BA"/>
    <w:rsid w:val="002A2A6D"/>
    <w:rsid w:val="002A31ED"/>
    <w:rsid w:val="002A38CA"/>
    <w:rsid w:val="002A77FD"/>
    <w:rsid w:val="002B02E0"/>
    <w:rsid w:val="002B1093"/>
    <w:rsid w:val="002B211C"/>
    <w:rsid w:val="002B2829"/>
    <w:rsid w:val="002B2B8A"/>
    <w:rsid w:val="002B2D4A"/>
    <w:rsid w:val="002B3B64"/>
    <w:rsid w:val="002B3CC3"/>
    <w:rsid w:val="002B5D69"/>
    <w:rsid w:val="002B5E2A"/>
    <w:rsid w:val="002B69B5"/>
    <w:rsid w:val="002C08C1"/>
    <w:rsid w:val="002C1753"/>
    <w:rsid w:val="002C228B"/>
    <w:rsid w:val="002C304D"/>
    <w:rsid w:val="002C3B2D"/>
    <w:rsid w:val="002C4330"/>
    <w:rsid w:val="002C5578"/>
    <w:rsid w:val="002C561A"/>
    <w:rsid w:val="002C68C7"/>
    <w:rsid w:val="002C73FD"/>
    <w:rsid w:val="002C7EC3"/>
    <w:rsid w:val="002D04A0"/>
    <w:rsid w:val="002D0DFF"/>
    <w:rsid w:val="002D1B47"/>
    <w:rsid w:val="002D1F30"/>
    <w:rsid w:val="002D2674"/>
    <w:rsid w:val="002D2CF5"/>
    <w:rsid w:val="002D340A"/>
    <w:rsid w:val="002E0109"/>
    <w:rsid w:val="002E0C1F"/>
    <w:rsid w:val="002E0F55"/>
    <w:rsid w:val="002E1658"/>
    <w:rsid w:val="002E1CB5"/>
    <w:rsid w:val="002E29A0"/>
    <w:rsid w:val="002E38E0"/>
    <w:rsid w:val="002E44D1"/>
    <w:rsid w:val="002E5200"/>
    <w:rsid w:val="002E6E93"/>
    <w:rsid w:val="002F0CD2"/>
    <w:rsid w:val="002F14FB"/>
    <w:rsid w:val="002F1CB9"/>
    <w:rsid w:val="002F2F97"/>
    <w:rsid w:val="002F3379"/>
    <w:rsid w:val="002F5204"/>
    <w:rsid w:val="002F58E2"/>
    <w:rsid w:val="002F5FCB"/>
    <w:rsid w:val="002F7B15"/>
    <w:rsid w:val="00300870"/>
    <w:rsid w:val="00301E55"/>
    <w:rsid w:val="00302FE2"/>
    <w:rsid w:val="00303829"/>
    <w:rsid w:val="00303879"/>
    <w:rsid w:val="00304C4C"/>
    <w:rsid w:val="003058A8"/>
    <w:rsid w:val="00305E8C"/>
    <w:rsid w:val="00306CF0"/>
    <w:rsid w:val="003110BE"/>
    <w:rsid w:val="00312545"/>
    <w:rsid w:val="00312641"/>
    <w:rsid w:val="00312CE6"/>
    <w:rsid w:val="00314354"/>
    <w:rsid w:val="00315053"/>
    <w:rsid w:val="003159A8"/>
    <w:rsid w:val="00316FC0"/>
    <w:rsid w:val="0031734E"/>
    <w:rsid w:val="00317D4B"/>
    <w:rsid w:val="00321374"/>
    <w:rsid w:val="003223D7"/>
    <w:rsid w:val="0032255B"/>
    <w:rsid w:val="00322689"/>
    <w:rsid w:val="0032315E"/>
    <w:rsid w:val="00324992"/>
    <w:rsid w:val="00326E93"/>
    <w:rsid w:val="0032724F"/>
    <w:rsid w:val="00327479"/>
    <w:rsid w:val="00327BD3"/>
    <w:rsid w:val="00327DC6"/>
    <w:rsid w:val="00327DF7"/>
    <w:rsid w:val="0033039C"/>
    <w:rsid w:val="003323D9"/>
    <w:rsid w:val="003345C6"/>
    <w:rsid w:val="003357D8"/>
    <w:rsid w:val="00336418"/>
    <w:rsid w:val="00336592"/>
    <w:rsid w:val="003367E2"/>
    <w:rsid w:val="003369BD"/>
    <w:rsid w:val="00337E43"/>
    <w:rsid w:val="003400E5"/>
    <w:rsid w:val="003406C8"/>
    <w:rsid w:val="0034242F"/>
    <w:rsid w:val="00342612"/>
    <w:rsid w:val="0034266C"/>
    <w:rsid w:val="00343C1A"/>
    <w:rsid w:val="00344EFC"/>
    <w:rsid w:val="0034565E"/>
    <w:rsid w:val="00347B9C"/>
    <w:rsid w:val="00347E61"/>
    <w:rsid w:val="0035008B"/>
    <w:rsid w:val="0035040E"/>
    <w:rsid w:val="00352D75"/>
    <w:rsid w:val="0035583D"/>
    <w:rsid w:val="00356102"/>
    <w:rsid w:val="00356137"/>
    <w:rsid w:val="00357193"/>
    <w:rsid w:val="003575EC"/>
    <w:rsid w:val="00357C2B"/>
    <w:rsid w:val="00360159"/>
    <w:rsid w:val="00360303"/>
    <w:rsid w:val="003629D7"/>
    <w:rsid w:val="00362BDC"/>
    <w:rsid w:val="00362D4B"/>
    <w:rsid w:val="00362E70"/>
    <w:rsid w:val="00363222"/>
    <w:rsid w:val="00364550"/>
    <w:rsid w:val="00364BDF"/>
    <w:rsid w:val="00365180"/>
    <w:rsid w:val="0036768B"/>
    <w:rsid w:val="00367CE1"/>
    <w:rsid w:val="003702B2"/>
    <w:rsid w:val="003705E7"/>
    <w:rsid w:val="00370785"/>
    <w:rsid w:val="00370CE8"/>
    <w:rsid w:val="00370FC6"/>
    <w:rsid w:val="0037267F"/>
    <w:rsid w:val="003729D1"/>
    <w:rsid w:val="00373833"/>
    <w:rsid w:val="0037542F"/>
    <w:rsid w:val="003758C8"/>
    <w:rsid w:val="00375A1F"/>
    <w:rsid w:val="00375C8B"/>
    <w:rsid w:val="00376A39"/>
    <w:rsid w:val="00381FC7"/>
    <w:rsid w:val="00382E10"/>
    <w:rsid w:val="003837D9"/>
    <w:rsid w:val="00383A03"/>
    <w:rsid w:val="00384ADB"/>
    <w:rsid w:val="003854E3"/>
    <w:rsid w:val="003860B3"/>
    <w:rsid w:val="00386C50"/>
    <w:rsid w:val="00390CD2"/>
    <w:rsid w:val="003910E1"/>
    <w:rsid w:val="00391341"/>
    <w:rsid w:val="00391498"/>
    <w:rsid w:val="0039153F"/>
    <w:rsid w:val="00394569"/>
    <w:rsid w:val="00394852"/>
    <w:rsid w:val="00397700"/>
    <w:rsid w:val="003A051B"/>
    <w:rsid w:val="003A2BA1"/>
    <w:rsid w:val="003A3B7F"/>
    <w:rsid w:val="003A3E5D"/>
    <w:rsid w:val="003A5611"/>
    <w:rsid w:val="003A684D"/>
    <w:rsid w:val="003A68D2"/>
    <w:rsid w:val="003A69D2"/>
    <w:rsid w:val="003A6C82"/>
    <w:rsid w:val="003A7393"/>
    <w:rsid w:val="003B0550"/>
    <w:rsid w:val="003B0F6E"/>
    <w:rsid w:val="003B1492"/>
    <w:rsid w:val="003B2260"/>
    <w:rsid w:val="003B55FC"/>
    <w:rsid w:val="003B6901"/>
    <w:rsid w:val="003B70F5"/>
    <w:rsid w:val="003B7291"/>
    <w:rsid w:val="003B794A"/>
    <w:rsid w:val="003B7EDF"/>
    <w:rsid w:val="003C12B0"/>
    <w:rsid w:val="003C16EF"/>
    <w:rsid w:val="003C1938"/>
    <w:rsid w:val="003C236C"/>
    <w:rsid w:val="003C2A8A"/>
    <w:rsid w:val="003C3056"/>
    <w:rsid w:val="003C4CB3"/>
    <w:rsid w:val="003C52F2"/>
    <w:rsid w:val="003C5A2D"/>
    <w:rsid w:val="003C640B"/>
    <w:rsid w:val="003C7C4F"/>
    <w:rsid w:val="003D027F"/>
    <w:rsid w:val="003D0C6A"/>
    <w:rsid w:val="003D43C1"/>
    <w:rsid w:val="003D5602"/>
    <w:rsid w:val="003D72FF"/>
    <w:rsid w:val="003D7538"/>
    <w:rsid w:val="003D7B25"/>
    <w:rsid w:val="003E047C"/>
    <w:rsid w:val="003E0D77"/>
    <w:rsid w:val="003E18E7"/>
    <w:rsid w:val="003E1E17"/>
    <w:rsid w:val="003E2396"/>
    <w:rsid w:val="003E261C"/>
    <w:rsid w:val="003E2D8B"/>
    <w:rsid w:val="003E4928"/>
    <w:rsid w:val="003E49BD"/>
    <w:rsid w:val="003E511E"/>
    <w:rsid w:val="003F0183"/>
    <w:rsid w:val="003F0382"/>
    <w:rsid w:val="003F0678"/>
    <w:rsid w:val="003F073E"/>
    <w:rsid w:val="003F22D1"/>
    <w:rsid w:val="003F2B1A"/>
    <w:rsid w:val="003F2FD3"/>
    <w:rsid w:val="003F5611"/>
    <w:rsid w:val="003F5A31"/>
    <w:rsid w:val="003F66F1"/>
    <w:rsid w:val="003F690F"/>
    <w:rsid w:val="003F735F"/>
    <w:rsid w:val="003F776C"/>
    <w:rsid w:val="003F7858"/>
    <w:rsid w:val="003F7955"/>
    <w:rsid w:val="003F7F3F"/>
    <w:rsid w:val="0040146A"/>
    <w:rsid w:val="00402551"/>
    <w:rsid w:val="00402B9B"/>
    <w:rsid w:val="004031F3"/>
    <w:rsid w:val="00403F35"/>
    <w:rsid w:val="00404202"/>
    <w:rsid w:val="004047CF"/>
    <w:rsid w:val="00404F32"/>
    <w:rsid w:val="00405015"/>
    <w:rsid w:val="004055C9"/>
    <w:rsid w:val="00405DB2"/>
    <w:rsid w:val="00405F46"/>
    <w:rsid w:val="00405F62"/>
    <w:rsid w:val="004075DB"/>
    <w:rsid w:val="0040783B"/>
    <w:rsid w:val="0041053C"/>
    <w:rsid w:val="00410BED"/>
    <w:rsid w:val="0041101D"/>
    <w:rsid w:val="00411CF9"/>
    <w:rsid w:val="00412311"/>
    <w:rsid w:val="004137A6"/>
    <w:rsid w:val="00414221"/>
    <w:rsid w:val="00414F19"/>
    <w:rsid w:val="0041592F"/>
    <w:rsid w:val="00415AF5"/>
    <w:rsid w:val="00415B1C"/>
    <w:rsid w:val="00416B7B"/>
    <w:rsid w:val="0041723F"/>
    <w:rsid w:val="00421376"/>
    <w:rsid w:val="00422506"/>
    <w:rsid w:val="00422C6E"/>
    <w:rsid w:val="00422D59"/>
    <w:rsid w:val="00423BB1"/>
    <w:rsid w:val="00423DDD"/>
    <w:rsid w:val="004247F5"/>
    <w:rsid w:val="00425177"/>
    <w:rsid w:val="004267F8"/>
    <w:rsid w:val="00427DF7"/>
    <w:rsid w:val="00430129"/>
    <w:rsid w:val="004303A8"/>
    <w:rsid w:val="004303AF"/>
    <w:rsid w:val="00430C49"/>
    <w:rsid w:val="004323E3"/>
    <w:rsid w:val="00433293"/>
    <w:rsid w:val="00434FED"/>
    <w:rsid w:val="004359D7"/>
    <w:rsid w:val="00436029"/>
    <w:rsid w:val="00436646"/>
    <w:rsid w:val="00437423"/>
    <w:rsid w:val="00441B61"/>
    <w:rsid w:val="00442E5C"/>
    <w:rsid w:val="00444361"/>
    <w:rsid w:val="0044543C"/>
    <w:rsid w:val="00445689"/>
    <w:rsid w:val="00446077"/>
    <w:rsid w:val="00447044"/>
    <w:rsid w:val="00447999"/>
    <w:rsid w:val="00447D15"/>
    <w:rsid w:val="004502AF"/>
    <w:rsid w:val="0045044A"/>
    <w:rsid w:val="00452269"/>
    <w:rsid w:val="004531B4"/>
    <w:rsid w:val="00454599"/>
    <w:rsid w:val="0045556A"/>
    <w:rsid w:val="00456D34"/>
    <w:rsid w:val="0045729F"/>
    <w:rsid w:val="00461B10"/>
    <w:rsid w:val="004628F4"/>
    <w:rsid w:val="004639A0"/>
    <w:rsid w:val="00463BC3"/>
    <w:rsid w:val="00464153"/>
    <w:rsid w:val="004654FD"/>
    <w:rsid w:val="00465575"/>
    <w:rsid w:val="004656AA"/>
    <w:rsid w:val="00465E29"/>
    <w:rsid w:val="004663CF"/>
    <w:rsid w:val="00466777"/>
    <w:rsid w:val="004668AF"/>
    <w:rsid w:val="00467562"/>
    <w:rsid w:val="00470AE4"/>
    <w:rsid w:val="00471D25"/>
    <w:rsid w:val="00471DB7"/>
    <w:rsid w:val="00472978"/>
    <w:rsid w:val="00473143"/>
    <w:rsid w:val="0047380E"/>
    <w:rsid w:val="004745A5"/>
    <w:rsid w:val="004746DE"/>
    <w:rsid w:val="00474C96"/>
    <w:rsid w:val="00477DE9"/>
    <w:rsid w:val="00477EFB"/>
    <w:rsid w:val="004804F5"/>
    <w:rsid w:val="00480753"/>
    <w:rsid w:val="00481E04"/>
    <w:rsid w:val="00484AF8"/>
    <w:rsid w:val="00486203"/>
    <w:rsid w:val="00486E48"/>
    <w:rsid w:val="0049063D"/>
    <w:rsid w:val="00490FE9"/>
    <w:rsid w:val="00491344"/>
    <w:rsid w:val="00491519"/>
    <w:rsid w:val="00492562"/>
    <w:rsid w:val="00492FC3"/>
    <w:rsid w:val="00493A6B"/>
    <w:rsid w:val="00494927"/>
    <w:rsid w:val="004950D4"/>
    <w:rsid w:val="0049552D"/>
    <w:rsid w:val="00495B9A"/>
    <w:rsid w:val="00495CCB"/>
    <w:rsid w:val="00496D3C"/>
    <w:rsid w:val="004A0183"/>
    <w:rsid w:val="004A2FDA"/>
    <w:rsid w:val="004A3BBA"/>
    <w:rsid w:val="004A5144"/>
    <w:rsid w:val="004A5184"/>
    <w:rsid w:val="004A6153"/>
    <w:rsid w:val="004A61B7"/>
    <w:rsid w:val="004B11A4"/>
    <w:rsid w:val="004B1B62"/>
    <w:rsid w:val="004B23F7"/>
    <w:rsid w:val="004B3080"/>
    <w:rsid w:val="004B36FE"/>
    <w:rsid w:val="004B392F"/>
    <w:rsid w:val="004B3AF4"/>
    <w:rsid w:val="004B4337"/>
    <w:rsid w:val="004B4DAF"/>
    <w:rsid w:val="004B523E"/>
    <w:rsid w:val="004B6B89"/>
    <w:rsid w:val="004C0272"/>
    <w:rsid w:val="004C4F99"/>
    <w:rsid w:val="004C68BA"/>
    <w:rsid w:val="004C6BF0"/>
    <w:rsid w:val="004C77FC"/>
    <w:rsid w:val="004D0259"/>
    <w:rsid w:val="004D0CCD"/>
    <w:rsid w:val="004D1383"/>
    <w:rsid w:val="004D4938"/>
    <w:rsid w:val="004D4DB7"/>
    <w:rsid w:val="004D4F7E"/>
    <w:rsid w:val="004D62D3"/>
    <w:rsid w:val="004D643A"/>
    <w:rsid w:val="004E0086"/>
    <w:rsid w:val="004E13BE"/>
    <w:rsid w:val="004E1B71"/>
    <w:rsid w:val="004E21C4"/>
    <w:rsid w:val="004E2D28"/>
    <w:rsid w:val="004E2FFA"/>
    <w:rsid w:val="004E4250"/>
    <w:rsid w:val="004E4CAD"/>
    <w:rsid w:val="004E7126"/>
    <w:rsid w:val="004E74C5"/>
    <w:rsid w:val="004E779B"/>
    <w:rsid w:val="004E7E4C"/>
    <w:rsid w:val="004F05DC"/>
    <w:rsid w:val="004F0D54"/>
    <w:rsid w:val="004F0E03"/>
    <w:rsid w:val="004F1FBE"/>
    <w:rsid w:val="004F2B0F"/>
    <w:rsid w:val="004F3373"/>
    <w:rsid w:val="004F3862"/>
    <w:rsid w:val="004F38DE"/>
    <w:rsid w:val="004F3CCA"/>
    <w:rsid w:val="004F3CF3"/>
    <w:rsid w:val="004F5145"/>
    <w:rsid w:val="004F7164"/>
    <w:rsid w:val="00500A66"/>
    <w:rsid w:val="00502B98"/>
    <w:rsid w:val="00502BD6"/>
    <w:rsid w:val="00503D35"/>
    <w:rsid w:val="00504A56"/>
    <w:rsid w:val="00504CA8"/>
    <w:rsid w:val="00505927"/>
    <w:rsid w:val="0050616A"/>
    <w:rsid w:val="005071A3"/>
    <w:rsid w:val="00507E39"/>
    <w:rsid w:val="00511B04"/>
    <w:rsid w:val="00511DEF"/>
    <w:rsid w:val="00512BF0"/>
    <w:rsid w:val="00514032"/>
    <w:rsid w:val="0051494E"/>
    <w:rsid w:val="005149AB"/>
    <w:rsid w:val="00517721"/>
    <w:rsid w:val="00517D6D"/>
    <w:rsid w:val="00520747"/>
    <w:rsid w:val="00520EA2"/>
    <w:rsid w:val="00520EA3"/>
    <w:rsid w:val="00522204"/>
    <w:rsid w:val="0052253B"/>
    <w:rsid w:val="0052335E"/>
    <w:rsid w:val="0052394C"/>
    <w:rsid w:val="00523D2C"/>
    <w:rsid w:val="00523E7D"/>
    <w:rsid w:val="00523E89"/>
    <w:rsid w:val="00524F5D"/>
    <w:rsid w:val="00525AA8"/>
    <w:rsid w:val="00526F27"/>
    <w:rsid w:val="0053031C"/>
    <w:rsid w:val="00530AD9"/>
    <w:rsid w:val="00530ECA"/>
    <w:rsid w:val="0053115F"/>
    <w:rsid w:val="00531A13"/>
    <w:rsid w:val="00532B58"/>
    <w:rsid w:val="005332FB"/>
    <w:rsid w:val="00534360"/>
    <w:rsid w:val="00534847"/>
    <w:rsid w:val="0054099A"/>
    <w:rsid w:val="00540BB5"/>
    <w:rsid w:val="00541615"/>
    <w:rsid w:val="0054184E"/>
    <w:rsid w:val="00541B40"/>
    <w:rsid w:val="00541EFC"/>
    <w:rsid w:val="00542716"/>
    <w:rsid w:val="0054505D"/>
    <w:rsid w:val="005472B5"/>
    <w:rsid w:val="00547526"/>
    <w:rsid w:val="00547C83"/>
    <w:rsid w:val="00552B6E"/>
    <w:rsid w:val="00552FB1"/>
    <w:rsid w:val="005531D0"/>
    <w:rsid w:val="00556040"/>
    <w:rsid w:val="00556D41"/>
    <w:rsid w:val="0056231F"/>
    <w:rsid w:val="0056407B"/>
    <w:rsid w:val="00564BE6"/>
    <w:rsid w:val="00564FD6"/>
    <w:rsid w:val="005657FD"/>
    <w:rsid w:val="00566110"/>
    <w:rsid w:val="00567977"/>
    <w:rsid w:val="00567BAA"/>
    <w:rsid w:val="00567C61"/>
    <w:rsid w:val="005710AD"/>
    <w:rsid w:val="00571227"/>
    <w:rsid w:val="00571B9E"/>
    <w:rsid w:val="005730F8"/>
    <w:rsid w:val="0057352F"/>
    <w:rsid w:val="00573571"/>
    <w:rsid w:val="0057392F"/>
    <w:rsid w:val="0057657C"/>
    <w:rsid w:val="00576877"/>
    <w:rsid w:val="00576DC2"/>
    <w:rsid w:val="00576EF3"/>
    <w:rsid w:val="00576F4D"/>
    <w:rsid w:val="00576F6D"/>
    <w:rsid w:val="005775BE"/>
    <w:rsid w:val="00577630"/>
    <w:rsid w:val="00577740"/>
    <w:rsid w:val="00580B27"/>
    <w:rsid w:val="00581E12"/>
    <w:rsid w:val="00583144"/>
    <w:rsid w:val="005832E7"/>
    <w:rsid w:val="005836FB"/>
    <w:rsid w:val="005838CB"/>
    <w:rsid w:val="005839F5"/>
    <w:rsid w:val="005852DB"/>
    <w:rsid w:val="005858F7"/>
    <w:rsid w:val="00587D7B"/>
    <w:rsid w:val="005903B3"/>
    <w:rsid w:val="005909AF"/>
    <w:rsid w:val="005909F1"/>
    <w:rsid w:val="005913CE"/>
    <w:rsid w:val="00591416"/>
    <w:rsid w:val="00591B10"/>
    <w:rsid w:val="00592B77"/>
    <w:rsid w:val="00592F40"/>
    <w:rsid w:val="00593614"/>
    <w:rsid w:val="005A0F50"/>
    <w:rsid w:val="005A2631"/>
    <w:rsid w:val="005A29FE"/>
    <w:rsid w:val="005A36DA"/>
    <w:rsid w:val="005A3B69"/>
    <w:rsid w:val="005A4FFF"/>
    <w:rsid w:val="005A5317"/>
    <w:rsid w:val="005A56DE"/>
    <w:rsid w:val="005A685B"/>
    <w:rsid w:val="005A6A03"/>
    <w:rsid w:val="005A6CB3"/>
    <w:rsid w:val="005A6F75"/>
    <w:rsid w:val="005A721A"/>
    <w:rsid w:val="005B2A45"/>
    <w:rsid w:val="005B3230"/>
    <w:rsid w:val="005B52F7"/>
    <w:rsid w:val="005B59B9"/>
    <w:rsid w:val="005B654A"/>
    <w:rsid w:val="005B7A21"/>
    <w:rsid w:val="005B7A69"/>
    <w:rsid w:val="005B7F6F"/>
    <w:rsid w:val="005C0B31"/>
    <w:rsid w:val="005C0C05"/>
    <w:rsid w:val="005C1EB6"/>
    <w:rsid w:val="005C24A3"/>
    <w:rsid w:val="005C25B5"/>
    <w:rsid w:val="005C3718"/>
    <w:rsid w:val="005C3AAF"/>
    <w:rsid w:val="005C3C86"/>
    <w:rsid w:val="005C44DF"/>
    <w:rsid w:val="005C4D7F"/>
    <w:rsid w:val="005C536D"/>
    <w:rsid w:val="005C59F9"/>
    <w:rsid w:val="005C727B"/>
    <w:rsid w:val="005C7617"/>
    <w:rsid w:val="005C7AD3"/>
    <w:rsid w:val="005D0178"/>
    <w:rsid w:val="005D0BF2"/>
    <w:rsid w:val="005D2C0E"/>
    <w:rsid w:val="005D2C3B"/>
    <w:rsid w:val="005D4646"/>
    <w:rsid w:val="005D579E"/>
    <w:rsid w:val="005D594B"/>
    <w:rsid w:val="005D6BA2"/>
    <w:rsid w:val="005D6CF0"/>
    <w:rsid w:val="005D7511"/>
    <w:rsid w:val="005E09BC"/>
    <w:rsid w:val="005E0C29"/>
    <w:rsid w:val="005E20A0"/>
    <w:rsid w:val="005E29D5"/>
    <w:rsid w:val="005E3F74"/>
    <w:rsid w:val="005E4258"/>
    <w:rsid w:val="005E7841"/>
    <w:rsid w:val="005F0ED3"/>
    <w:rsid w:val="005F18B5"/>
    <w:rsid w:val="005F1AA6"/>
    <w:rsid w:val="005F1F09"/>
    <w:rsid w:val="005F424D"/>
    <w:rsid w:val="005F62B5"/>
    <w:rsid w:val="005F7F74"/>
    <w:rsid w:val="00600495"/>
    <w:rsid w:val="00600499"/>
    <w:rsid w:val="00600F41"/>
    <w:rsid w:val="00601556"/>
    <w:rsid w:val="00601835"/>
    <w:rsid w:val="00607AB7"/>
    <w:rsid w:val="00607CBB"/>
    <w:rsid w:val="0061063F"/>
    <w:rsid w:val="006108EE"/>
    <w:rsid w:val="00610D98"/>
    <w:rsid w:val="00610FD8"/>
    <w:rsid w:val="00612791"/>
    <w:rsid w:val="006157FA"/>
    <w:rsid w:val="0061657A"/>
    <w:rsid w:val="0061660C"/>
    <w:rsid w:val="00617B73"/>
    <w:rsid w:val="006200E5"/>
    <w:rsid w:val="00622924"/>
    <w:rsid w:val="0062299A"/>
    <w:rsid w:val="0062415B"/>
    <w:rsid w:val="00624C2E"/>
    <w:rsid w:val="00626896"/>
    <w:rsid w:val="006303E2"/>
    <w:rsid w:val="00630AC0"/>
    <w:rsid w:val="00630B23"/>
    <w:rsid w:val="006315EF"/>
    <w:rsid w:val="00631C88"/>
    <w:rsid w:val="00632BCF"/>
    <w:rsid w:val="00634D6D"/>
    <w:rsid w:val="00636327"/>
    <w:rsid w:val="00636C3C"/>
    <w:rsid w:val="00640A04"/>
    <w:rsid w:val="006410B9"/>
    <w:rsid w:val="00643FCA"/>
    <w:rsid w:val="006446B2"/>
    <w:rsid w:val="00644A54"/>
    <w:rsid w:val="00644F96"/>
    <w:rsid w:val="006459C5"/>
    <w:rsid w:val="00645B5B"/>
    <w:rsid w:val="006467A6"/>
    <w:rsid w:val="006501F3"/>
    <w:rsid w:val="00650231"/>
    <w:rsid w:val="006508C5"/>
    <w:rsid w:val="00651A7E"/>
    <w:rsid w:val="00652121"/>
    <w:rsid w:val="006529A9"/>
    <w:rsid w:val="00653722"/>
    <w:rsid w:val="00653A88"/>
    <w:rsid w:val="00654263"/>
    <w:rsid w:val="006554F5"/>
    <w:rsid w:val="00660167"/>
    <w:rsid w:val="00660DEE"/>
    <w:rsid w:val="00661840"/>
    <w:rsid w:val="00661BDB"/>
    <w:rsid w:val="00661F55"/>
    <w:rsid w:val="00662055"/>
    <w:rsid w:val="00662D60"/>
    <w:rsid w:val="00663C8F"/>
    <w:rsid w:val="0066411B"/>
    <w:rsid w:val="0066506C"/>
    <w:rsid w:val="006654EA"/>
    <w:rsid w:val="00665CF1"/>
    <w:rsid w:val="006672F1"/>
    <w:rsid w:val="00667BD0"/>
    <w:rsid w:val="00667F0D"/>
    <w:rsid w:val="00670746"/>
    <w:rsid w:val="00671343"/>
    <w:rsid w:val="006722E0"/>
    <w:rsid w:val="00672F17"/>
    <w:rsid w:val="00673DCA"/>
    <w:rsid w:val="006752E0"/>
    <w:rsid w:val="00675333"/>
    <w:rsid w:val="006753A0"/>
    <w:rsid w:val="00675485"/>
    <w:rsid w:val="00676352"/>
    <w:rsid w:val="006765A7"/>
    <w:rsid w:val="00676702"/>
    <w:rsid w:val="0068336E"/>
    <w:rsid w:val="006848DC"/>
    <w:rsid w:val="00684BC9"/>
    <w:rsid w:val="0068695E"/>
    <w:rsid w:val="00691E94"/>
    <w:rsid w:val="00692023"/>
    <w:rsid w:val="00692DCB"/>
    <w:rsid w:val="006934CB"/>
    <w:rsid w:val="00693AC4"/>
    <w:rsid w:val="006954C7"/>
    <w:rsid w:val="00695672"/>
    <w:rsid w:val="00696E8A"/>
    <w:rsid w:val="00697560"/>
    <w:rsid w:val="00697EFA"/>
    <w:rsid w:val="006A02B5"/>
    <w:rsid w:val="006A0C21"/>
    <w:rsid w:val="006A10A4"/>
    <w:rsid w:val="006A5C7C"/>
    <w:rsid w:val="006A5E91"/>
    <w:rsid w:val="006A61E4"/>
    <w:rsid w:val="006B06B1"/>
    <w:rsid w:val="006B17EE"/>
    <w:rsid w:val="006B21A0"/>
    <w:rsid w:val="006B22BF"/>
    <w:rsid w:val="006B2970"/>
    <w:rsid w:val="006B3B56"/>
    <w:rsid w:val="006B515A"/>
    <w:rsid w:val="006B5A66"/>
    <w:rsid w:val="006B7445"/>
    <w:rsid w:val="006B7C3E"/>
    <w:rsid w:val="006C05BA"/>
    <w:rsid w:val="006C0AC3"/>
    <w:rsid w:val="006C0D0C"/>
    <w:rsid w:val="006C0D3B"/>
    <w:rsid w:val="006C0EF5"/>
    <w:rsid w:val="006C102E"/>
    <w:rsid w:val="006C1134"/>
    <w:rsid w:val="006C21F0"/>
    <w:rsid w:val="006C2D70"/>
    <w:rsid w:val="006C3132"/>
    <w:rsid w:val="006C3B80"/>
    <w:rsid w:val="006C43DC"/>
    <w:rsid w:val="006C6594"/>
    <w:rsid w:val="006C67F1"/>
    <w:rsid w:val="006C777C"/>
    <w:rsid w:val="006D1BB8"/>
    <w:rsid w:val="006D21C8"/>
    <w:rsid w:val="006D394D"/>
    <w:rsid w:val="006D4E89"/>
    <w:rsid w:val="006D5455"/>
    <w:rsid w:val="006D5A8C"/>
    <w:rsid w:val="006D5B8E"/>
    <w:rsid w:val="006D5FDE"/>
    <w:rsid w:val="006D6126"/>
    <w:rsid w:val="006D614F"/>
    <w:rsid w:val="006D7F7E"/>
    <w:rsid w:val="006E0603"/>
    <w:rsid w:val="006E135C"/>
    <w:rsid w:val="006E2614"/>
    <w:rsid w:val="006E2DC4"/>
    <w:rsid w:val="006E31FC"/>
    <w:rsid w:val="006E3253"/>
    <w:rsid w:val="006E6F08"/>
    <w:rsid w:val="006F04EE"/>
    <w:rsid w:val="006F1C5B"/>
    <w:rsid w:val="006F1D26"/>
    <w:rsid w:val="006F2626"/>
    <w:rsid w:val="006F29D8"/>
    <w:rsid w:val="006F45FB"/>
    <w:rsid w:val="006F4C43"/>
    <w:rsid w:val="006F51B7"/>
    <w:rsid w:val="006F63EA"/>
    <w:rsid w:val="006F676F"/>
    <w:rsid w:val="006F6E22"/>
    <w:rsid w:val="006F79A2"/>
    <w:rsid w:val="007012CF"/>
    <w:rsid w:val="00703353"/>
    <w:rsid w:val="007039D4"/>
    <w:rsid w:val="00703C35"/>
    <w:rsid w:val="00704059"/>
    <w:rsid w:val="00704803"/>
    <w:rsid w:val="00704866"/>
    <w:rsid w:val="00707364"/>
    <w:rsid w:val="00707402"/>
    <w:rsid w:val="007077E7"/>
    <w:rsid w:val="00710677"/>
    <w:rsid w:val="00710805"/>
    <w:rsid w:val="00711087"/>
    <w:rsid w:val="00713A76"/>
    <w:rsid w:val="00714418"/>
    <w:rsid w:val="007147D2"/>
    <w:rsid w:val="0071514D"/>
    <w:rsid w:val="00716056"/>
    <w:rsid w:val="00716CF5"/>
    <w:rsid w:val="00717B1D"/>
    <w:rsid w:val="007205F3"/>
    <w:rsid w:val="0072342C"/>
    <w:rsid w:val="00723CFA"/>
    <w:rsid w:val="0072552E"/>
    <w:rsid w:val="00725543"/>
    <w:rsid w:val="0072621F"/>
    <w:rsid w:val="00726F05"/>
    <w:rsid w:val="007308B4"/>
    <w:rsid w:val="00731A82"/>
    <w:rsid w:val="007324F3"/>
    <w:rsid w:val="00732787"/>
    <w:rsid w:val="00733472"/>
    <w:rsid w:val="0073396E"/>
    <w:rsid w:val="00733FB0"/>
    <w:rsid w:val="0073696C"/>
    <w:rsid w:val="0074125A"/>
    <w:rsid w:val="0074146D"/>
    <w:rsid w:val="0074469E"/>
    <w:rsid w:val="00745E92"/>
    <w:rsid w:val="00747B51"/>
    <w:rsid w:val="00750896"/>
    <w:rsid w:val="00750A0C"/>
    <w:rsid w:val="00751635"/>
    <w:rsid w:val="0075164E"/>
    <w:rsid w:val="00752497"/>
    <w:rsid w:val="00754504"/>
    <w:rsid w:val="0075492D"/>
    <w:rsid w:val="00755161"/>
    <w:rsid w:val="0075576A"/>
    <w:rsid w:val="007570BB"/>
    <w:rsid w:val="00757527"/>
    <w:rsid w:val="007578C6"/>
    <w:rsid w:val="00757CA8"/>
    <w:rsid w:val="007609F4"/>
    <w:rsid w:val="0076161B"/>
    <w:rsid w:val="007629D5"/>
    <w:rsid w:val="007631A0"/>
    <w:rsid w:val="007644DE"/>
    <w:rsid w:val="00765C20"/>
    <w:rsid w:val="0076680B"/>
    <w:rsid w:val="0076791D"/>
    <w:rsid w:val="007709E8"/>
    <w:rsid w:val="007716DC"/>
    <w:rsid w:val="00771F87"/>
    <w:rsid w:val="007730D7"/>
    <w:rsid w:val="0077371A"/>
    <w:rsid w:val="00773951"/>
    <w:rsid w:val="00774BD3"/>
    <w:rsid w:val="00774E8D"/>
    <w:rsid w:val="00775326"/>
    <w:rsid w:val="007760BA"/>
    <w:rsid w:val="007773A1"/>
    <w:rsid w:val="00777DA0"/>
    <w:rsid w:val="00777EC3"/>
    <w:rsid w:val="00780FC9"/>
    <w:rsid w:val="007811AF"/>
    <w:rsid w:val="0078130D"/>
    <w:rsid w:val="00781487"/>
    <w:rsid w:val="007846F3"/>
    <w:rsid w:val="007854D4"/>
    <w:rsid w:val="007856FD"/>
    <w:rsid w:val="00785A04"/>
    <w:rsid w:val="00785EC3"/>
    <w:rsid w:val="00786D41"/>
    <w:rsid w:val="00787ED0"/>
    <w:rsid w:val="007900B6"/>
    <w:rsid w:val="00792149"/>
    <w:rsid w:val="00792F3A"/>
    <w:rsid w:val="00794AD6"/>
    <w:rsid w:val="007955F2"/>
    <w:rsid w:val="00796220"/>
    <w:rsid w:val="00796BE4"/>
    <w:rsid w:val="00796DC0"/>
    <w:rsid w:val="00797271"/>
    <w:rsid w:val="007A07D6"/>
    <w:rsid w:val="007A0C73"/>
    <w:rsid w:val="007A15B8"/>
    <w:rsid w:val="007A3382"/>
    <w:rsid w:val="007A39D3"/>
    <w:rsid w:val="007A4ABB"/>
    <w:rsid w:val="007A5B43"/>
    <w:rsid w:val="007A5C05"/>
    <w:rsid w:val="007A5C4B"/>
    <w:rsid w:val="007A6179"/>
    <w:rsid w:val="007A6713"/>
    <w:rsid w:val="007A7696"/>
    <w:rsid w:val="007B0A07"/>
    <w:rsid w:val="007B107C"/>
    <w:rsid w:val="007B1ACC"/>
    <w:rsid w:val="007B2163"/>
    <w:rsid w:val="007B2A33"/>
    <w:rsid w:val="007B30F6"/>
    <w:rsid w:val="007B46B0"/>
    <w:rsid w:val="007B4955"/>
    <w:rsid w:val="007B6243"/>
    <w:rsid w:val="007B63CE"/>
    <w:rsid w:val="007C04DA"/>
    <w:rsid w:val="007C06A6"/>
    <w:rsid w:val="007C13BF"/>
    <w:rsid w:val="007C1B45"/>
    <w:rsid w:val="007C1EB8"/>
    <w:rsid w:val="007C29DA"/>
    <w:rsid w:val="007C3F5C"/>
    <w:rsid w:val="007C57B0"/>
    <w:rsid w:val="007C5849"/>
    <w:rsid w:val="007C66A7"/>
    <w:rsid w:val="007C6A43"/>
    <w:rsid w:val="007D285B"/>
    <w:rsid w:val="007D2CB0"/>
    <w:rsid w:val="007D2F38"/>
    <w:rsid w:val="007D39CD"/>
    <w:rsid w:val="007D403F"/>
    <w:rsid w:val="007D6028"/>
    <w:rsid w:val="007D63AD"/>
    <w:rsid w:val="007D641F"/>
    <w:rsid w:val="007D7720"/>
    <w:rsid w:val="007D7B5E"/>
    <w:rsid w:val="007E1514"/>
    <w:rsid w:val="007E158E"/>
    <w:rsid w:val="007E1926"/>
    <w:rsid w:val="007E23B2"/>
    <w:rsid w:val="007E33CA"/>
    <w:rsid w:val="007E4312"/>
    <w:rsid w:val="007E5112"/>
    <w:rsid w:val="007E5627"/>
    <w:rsid w:val="007E697D"/>
    <w:rsid w:val="007E6EF4"/>
    <w:rsid w:val="007E6F7E"/>
    <w:rsid w:val="007F0489"/>
    <w:rsid w:val="007F234F"/>
    <w:rsid w:val="007F23FB"/>
    <w:rsid w:val="007F6573"/>
    <w:rsid w:val="007F6E09"/>
    <w:rsid w:val="007F78A6"/>
    <w:rsid w:val="008003C7"/>
    <w:rsid w:val="00800421"/>
    <w:rsid w:val="008035F3"/>
    <w:rsid w:val="008040EE"/>
    <w:rsid w:val="008049DA"/>
    <w:rsid w:val="00804F73"/>
    <w:rsid w:val="008052A2"/>
    <w:rsid w:val="0080583E"/>
    <w:rsid w:val="00806312"/>
    <w:rsid w:val="008066C7"/>
    <w:rsid w:val="0080758F"/>
    <w:rsid w:val="00807EE9"/>
    <w:rsid w:val="008107D7"/>
    <w:rsid w:val="008124D1"/>
    <w:rsid w:val="008132B2"/>
    <w:rsid w:val="00813DD0"/>
    <w:rsid w:val="0081428C"/>
    <w:rsid w:val="0081490D"/>
    <w:rsid w:val="00815FED"/>
    <w:rsid w:val="00816BF1"/>
    <w:rsid w:val="00817427"/>
    <w:rsid w:val="00817D2B"/>
    <w:rsid w:val="0082368C"/>
    <w:rsid w:val="008240E0"/>
    <w:rsid w:val="008263EC"/>
    <w:rsid w:val="00827075"/>
    <w:rsid w:val="008274EC"/>
    <w:rsid w:val="00831A60"/>
    <w:rsid w:val="00833894"/>
    <w:rsid w:val="008362E6"/>
    <w:rsid w:val="00836547"/>
    <w:rsid w:val="008369F9"/>
    <w:rsid w:val="00836B89"/>
    <w:rsid w:val="00836E71"/>
    <w:rsid w:val="00836FC9"/>
    <w:rsid w:val="00840892"/>
    <w:rsid w:val="008413F6"/>
    <w:rsid w:val="008426CC"/>
    <w:rsid w:val="008435B3"/>
    <w:rsid w:val="00844238"/>
    <w:rsid w:val="008442C5"/>
    <w:rsid w:val="008466A1"/>
    <w:rsid w:val="00852D25"/>
    <w:rsid w:val="00853C5A"/>
    <w:rsid w:val="00854B22"/>
    <w:rsid w:val="00854D92"/>
    <w:rsid w:val="008551B2"/>
    <w:rsid w:val="00855E59"/>
    <w:rsid w:val="008560F8"/>
    <w:rsid w:val="0085657B"/>
    <w:rsid w:val="00856972"/>
    <w:rsid w:val="008578ED"/>
    <w:rsid w:val="00860247"/>
    <w:rsid w:val="00860D26"/>
    <w:rsid w:val="0086169C"/>
    <w:rsid w:val="00862D9A"/>
    <w:rsid w:val="008633E0"/>
    <w:rsid w:val="00864D26"/>
    <w:rsid w:val="008658E0"/>
    <w:rsid w:val="00865C48"/>
    <w:rsid w:val="00865EB2"/>
    <w:rsid w:val="008679B9"/>
    <w:rsid w:val="00867A67"/>
    <w:rsid w:val="008701AC"/>
    <w:rsid w:val="00870E81"/>
    <w:rsid w:val="0087212A"/>
    <w:rsid w:val="008726AA"/>
    <w:rsid w:val="00872F1F"/>
    <w:rsid w:val="00873E38"/>
    <w:rsid w:val="00873FD2"/>
    <w:rsid w:val="008740AA"/>
    <w:rsid w:val="008745D3"/>
    <w:rsid w:val="00874A2D"/>
    <w:rsid w:val="008751B5"/>
    <w:rsid w:val="00875508"/>
    <w:rsid w:val="00876815"/>
    <w:rsid w:val="0087697D"/>
    <w:rsid w:val="008777CB"/>
    <w:rsid w:val="0088116E"/>
    <w:rsid w:val="00881AE5"/>
    <w:rsid w:val="0088236C"/>
    <w:rsid w:val="008837C8"/>
    <w:rsid w:val="00883B61"/>
    <w:rsid w:val="00884267"/>
    <w:rsid w:val="00884924"/>
    <w:rsid w:val="008867B3"/>
    <w:rsid w:val="00886F3A"/>
    <w:rsid w:val="008901A1"/>
    <w:rsid w:val="00890751"/>
    <w:rsid w:val="00890884"/>
    <w:rsid w:val="00892B86"/>
    <w:rsid w:val="00892F7B"/>
    <w:rsid w:val="0089325F"/>
    <w:rsid w:val="00893B4A"/>
    <w:rsid w:val="00893E5D"/>
    <w:rsid w:val="008945DB"/>
    <w:rsid w:val="00894CD6"/>
    <w:rsid w:val="008950D3"/>
    <w:rsid w:val="008956B2"/>
    <w:rsid w:val="00895C2F"/>
    <w:rsid w:val="00895F83"/>
    <w:rsid w:val="00897096"/>
    <w:rsid w:val="008A1E8B"/>
    <w:rsid w:val="008A53A6"/>
    <w:rsid w:val="008A634E"/>
    <w:rsid w:val="008A6B52"/>
    <w:rsid w:val="008B0016"/>
    <w:rsid w:val="008B052D"/>
    <w:rsid w:val="008B1A71"/>
    <w:rsid w:val="008B2297"/>
    <w:rsid w:val="008B34D7"/>
    <w:rsid w:val="008B3D9D"/>
    <w:rsid w:val="008B46A1"/>
    <w:rsid w:val="008B518F"/>
    <w:rsid w:val="008B65C0"/>
    <w:rsid w:val="008B6DC5"/>
    <w:rsid w:val="008B7120"/>
    <w:rsid w:val="008B731C"/>
    <w:rsid w:val="008C1167"/>
    <w:rsid w:val="008C18F9"/>
    <w:rsid w:val="008C2403"/>
    <w:rsid w:val="008C2AE7"/>
    <w:rsid w:val="008C2F3B"/>
    <w:rsid w:val="008C3465"/>
    <w:rsid w:val="008C34A8"/>
    <w:rsid w:val="008C3C99"/>
    <w:rsid w:val="008C5820"/>
    <w:rsid w:val="008C751F"/>
    <w:rsid w:val="008C7A4B"/>
    <w:rsid w:val="008D1CD7"/>
    <w:rsid w:val="008D2E1B"/>
    <w:rsid w:val="008D3BFC"/>
    <w:rsid w:val="008D3C24"/>
    <w:rsid w:val="008D40B8"/>
    <w:rsid w:val="008D5045"/>
    <w:rsid w:val="008D5091"/>
    <w:rsid w:val="008D5F17"/>
    <w:rsid w:val="008E028B"/>
    <w:rsid w:val="008E038D"/>
    <w:rsid w:val="008E136E"/>
    <w:rsid w:val="008E13F4"/>
    <w:rsid w:val="008E2563"/>
    <w:rsid w:val="008E4DDF"/>
    <w:rsid w:val="008E4E83"/>
    <w:rsid w:val="008E5804"/>
    <w:rsid w:val="008E6785"/>
    <w:rsid w:val="008E6ADD"/>
    <w:rsid w:val="008E6BF0"/>
    <w:rsid w:val="008E6E82"/>
    <w:rsid w:val="008F08CC"/>
    <w:rsid w:val="008F0A6C"/>
    <w:rsid w:val="008F140E"/>
    <w:rsid w:val="008F1998"/>
    <w:rsid w:val="008F4735"/>
    <w:rsid w:val="008F6ABF"/>
    <w:rsid w:val="008F762B"/>
    <w:rsid w:val="0090026C"/>
    <w:rsid w:val="009008DF"/>
    <w:rsid w:val="00901071"/>
    <w:rsid w:val="00901B39"/>
    <w:rsid w:val="00902936"/>
    <w:rsid w:val="009050CC"/>
    <w:rsid w:val="009056A1"/>
    <w:rsid w:val="00905C45"/>
    <w:rsid w:val="00905D2C"/>
    <w:rsid w:val="00906215"/>
    <w:rsid w:val="00906844"/>
    <w:rsid w:val="0090729E"/>
    <w:rsid w:val="0091006E"/>
    <w:rsid w:val="00910CCB"/>
    <w:rsid w:val="009112E0"/>
    <w:rsid w:val="00911F1A"/>
    <w:rsid w:val="00912D34"/>
    <w:rsid w:val="00914417"/>
    <w:rsid w:val="00914FF6"/>
    <w:rsid w:val="009158A4"/>
    <w:rsid w:val="00915E58"/>
    <w:rsid w:val="00916429"/>
    <w:rsid w:val="00917826"/>
    <w:rsid w:val="00917AE3"/>
    <w:rsid w:val="00920411"/>
    <w:rsid w:val="009207C9"/>
    <w:rsid w:val="00920E16"/>
    <w:rsid w:val="0092192F"/>
    <w:rsid w:val="00921C4E"/>
    <w:rsid w:val="00923A22"/>
    <w:rsid w:val="00925193"/>
    <w:rsid w:val="00925388"/>
    <w:rsid w:val="00925BD8"/>
    <w:rsid w:val="009260FC"/>
    <w:rsid w:val="00926C62"/>
    <w:rsid w:val="0093203B"/>
    <w:rsid w:val="00932044"/>
    <w:rsid w:val="0093277D"/>
    <w:rsid w:val="00933844"/>
    <w:rsid w:val="00934834"/>
    <w:rsid w:val="0093494F"/>
    <w:rsid w:val="009354FE"/>
    <w:rsid w:val="009355E9"/>
    <w:rsid w:val="009360D3"/>
    <w:rsid w:val="0093636D"/>
    <w:rsid w:val="009365BB"/>
    <w:rsid w:val="00937EC4"/>
    <w:rsid w:val="00941C4E"/>
    <w:rsid w:val="00941D77"/>
    <w:rsid w:val="00941E01"/>
    <w:rsid w:val="009420C4"/>
    <w:rsid w:val="009420DD"/>
    <w:rsid w:val="00942EA6"/>
    <w:rsid w:val="009447AE"/>
    <w:rsid w:val="00944A18"/>
    <w:rsid w:val="00945034"/>
    <w:rsid w:val="009453F7"/>
    <w:rsid w:val="00947D77"/>
    <w:rsid w:val="009518C7"/>
    <w:rsid w:val="00951FE1"/>
    <w:rsid w:val="00951FEF"/>
    <w:rsid w:val="00952268"/>
    <w:rsid w:val="0095228B"/>
    <w:rsid w:val="00953017"/>
    <w:rsid w:val="009533C5"/>
    <w:rsid w:val="00953C53"/>
    <w:rsid w:val="00954509"/>
    <w:rsid w:val="00955AF8"/>
    <w:rsid w:val="009565C3"/>
    <w:rsid w:val="00956711"/>
    <w:rsid w:val="00956B15"/>
    <w:rsid w:val="0095738E"/>
    <w:rsid w:val="0096084A"/>
    <w:rsid w:val="009616B3"/>
    <w:rsid w:val="00962B8C"/>
    <w:rsid w:val="009644DE"/>
    <w:rsid w:val="009700D6"/>
    <w:rsid w:val="009704D9"/>
    <w:rsid w:val="00970782"/>
    <w:rsid w:val="00972F0B"/>
    <w:rsid w:val="0097325A"/>
    <w:rsid w:val="009739A5"/>
    <w:rsid w:val="00973F14"/>
    <w:rsid w:val="009748AB"/>
    <w:rsid w:val="00974EBE"/>
    <w:rsid w:val="0097582B"/>
    <w:rsid w:val="00975870"/>
    <w:rsid w:val="00982D05"/>
    <w:rsid w:val="00985029"/>
    <w:rsid w:val="00985803"/>
    <w:rsid w:val="00985AE1"/>
    <w:rsid w:val="009860A2"/>
    <w:rsid w:val="009873E7"/>
    <w:rsid w:val="00987515"/>
    <w:rsid w:val="00987B2B"/>
    <w:rsid w:val="00990B48"/>
    <w:rsid w:val="00990EF6"/>
    <w:rsid w:val="009916DA"/>
    <w:rsid w:val="00991996"/>
    <w:rsid w:val="00992C89"/>
    <w:rsid w:val="00993A29"/>
    <w:rsid w:val="00993E8D"/>
    <w:rsid w:val="009942DB"/>
    <w:rsid w:val="00994942"/>
    <w:rsid w:val="00996BFA"/>
    <w:rsid w:val="009A115D"/>
    <w:rsid w:val="009A3014"/>
    <w:rsid w:val="009A3438"/>
    <w:rsid w:val="009A3C31"/>
    <w:rsid w:val="009A3FB8"/>
    <w:rsid w:val="009A510D"/>
    <w:rsid w:val="009A5314"/>
    <w:rsid w:val="009A62E6"/>
    <w:rsid w:val="009A6A97"/>
    <w:rsid w:val="009B08DB"/>
    <w:rsid w:val="009B0B93"/>
    <w:rsid w:val="009B2716"/>
    <w:rsid w:val="009B331F"/>
    <w:rsid w:val="009B3A38"/>
    <w:rsid w:val="009B3DC6"/>
    <w:rsid w:val="009B6789"/>
    <w:rsid w:val="009B718D"/>
    <w:rsid w:val="009B7DC3"/>
    <w:rsid w:val="009C0494"/>
    <w:rsid w:val="009C0AA6"/>
    <w:rsid w:val="009C13FD"/>
    <w:rsid w:val="009C20A5"/>
    <w:rsid w:val="009C218A"/>
    <w:rsid w:val="009C279B"/>
    <w:rsid w:val="009C30BC"/>
    <w:rsid w:val="009C45B3"/>
    <w:rsid w:val="009C4D7C"/>
    <w:rsid w:val="009C5320"/>
    <w:rsid w:val="009C5572"/>
    <w:rsid w:val="009C56CF"/>
    <w:rsid w:val="009C69CE"/>
    <w:rsid w:val="009C6A1F"/>
    <w:rsid w:val="009C79C3"/>
    <w:rsid w:val="009C7E15"/>
    <w:rsid w:val="009D0794"/>
    <w:rsid w:val="009D1B73"/>
    <w:rsid w:val="009D343F"/>
    <w:rsid w:val="009D35C0"/>
    <w:rsid w:val="009D3A22"/>
    <w:rsid w:val="009D4A95"/>
    <w:rsid w:val="009D4F2D"/>
    <w:rsid w:val="009D542B"/>
    <w:rsid w:val="009D7025"/>
    <w:rsid w:val="009E02D8"/>
    <w:rsid w:val="009E0A5C"/>
    <w:rsid w:val="009E0DC1"/>
    <w:rsid w:val="009E140A"/>
    <w:rsid w:val="009E2B76"/>
    <w:rsid w:val="009E3812"/>
    <w:rsid w:val="009E3C42"/>
    <w:rsid w:val="009E4764"/>
    <w:rsid w:val="009E4B83"/>
    <w:rsid w:val="009E5242"/>
    <w:rsid w:val="009E6FA7"/>
    <w:rsid w:val="009E7ED2"/>
    <w:rsid w:val="009F07E1"/>
    <w:rsid w:val="009F13F6"/>
    <w:rsid w:val="009F1CCD"/>
    <w:rsid w:val="009F2038"/>
    <w:rsid w:val="009F5408"/>
    <w:rsid w:val="009F57F3"/>
    <w:rsid w:val="009F6FA1"/>
    <w:rsid w:val="009F7ACC"/>
    <w:rsid w:val="00A009BF"/>
    <w:rsid w:val="00A0147C"/>
    <w:rsid w:val="00A01A2F"/>
    <w:rsid w:val="00A01CDA"/>
    <w:rsid w:val="00A038F4"/>
    <w:rsid w:val="00A03EB6"/>
    <w:rsid w:val="00A0486F"/>
    <w:rsid w:val="00A0532B"/>
    <w:rsid w:val="00A05863"/>
    <w:rsid w:val="00A06BB1"/>
    <w:rsid w:val="00A07CCE"/>
    <w:rsid w:val="00A11297"/>
    <w:rsid w:val="00A1135E"/>
    <w:rsid w:val="00A129D8"/>
    <w:rsid w:val="00A152D8"/>
    <w:rsid w:val="00A1543F"/>
    <w:rsid w:val="00A15544"/>
    <w:rsid w:val="00A1633E"/>
    <w:rsid w:val="00A16666"/>
    <w:rsid w:val="00A16848"/>
    <w:rsid w:val="00A16F3D"/>
    <w:rsid w:val="00A207B4"/>
    <w:rsid w:val="00A20F54"/>
    <w:rsid w:val="00A21E3D"/>
    <w:rsid w:val="00A22D65"/>
    <w:rsid w:val="00A22FAD"/>
    <w:rsid w:val="00A23A0F"/>
    <w:rsid w:val="00A24261"/>
    <w:rsid w:val="00A25138"/>
    <w:rsid w:val="00A26940"/>
    <w:rsid w:val="00A27E61"/>
    <w:rsid w:val="00A3273F"/>
    <w:rsid w:val="00A32BED"/>
    <w:rsid w:val="00A339AD"/>
    <w:rsid w:val="00A34A78"/>
    <w:rsid w:val="00A34D83"/>
    <w:rsid w:val="00A35B41"/>
    <w:rsid w:val="00A37304"/>
    <w:rsid w:val="00A40C37"/>
    <w:rsid w:val="00A4172F"/>
    <w:rsid w:val="00A421DC"/>
    <w:rsid w:val="00A422E7"/>
    <w:rsid w:val="00A4278B"/>
    <w:rsid w:val="00A43DA5"/>
    <w:rsid w:val="00A454C5"/>
    <w:rsid w:val="00A46A29"/>
    <w:rsid w:val="00A46B32"/>
    <w:rsid w:val="00A46E42"/>
    <w:rsid w:val="00A47917"/>
    <w:rsid w:val="00A47ADB"/>
    <w:rsid w:val="00A47EEF"/>
    <w:rsid w:val="00A5044D"/>
    <w:rsid w:val="00A51DA7"/>
    <w:rsid w:val="00A5330F"/>
    <w:rsid w:val="00A543FC"/>
    <w:rsid w:val="00A56411"/>
    <w:rsid w:val="00A56828"/>
    <w:rsid w:val="00A6013D"/>
    <w:rsid w:val="00A60C3E"/>
    <w:rsid w:val="00A61E93"/>
    <w:rsid w:val="00A61FC6"/>
    <w:rsid w:val="00A63097"/>
    <w:rsid w:val="00A63C65"/>
    <w:rsid w:val="00A63F13"/>
    <w:rsid w:val="00A6401E"/>
    <w:rsid w:val="00A64B44"/>
    <w:rsid w:val="00A64DC5"/>
    <w:rsid w:val="00A6588B"/>
    <w:rsid w:val="00A65984"/>
    <w:rsid w:val="00A6688D"/>
    <w:rsid w:val="00A66F34"/>
    <w:rsid w:val="00A674F2"/>
    <w:rsid w:val="00A67AD3"/>
    <w:rsid w:val="00A67B6C"/>
    <w:rsid w:val="00A700B6"/>
    <w:rsid w:val="00A713D7"/>
    <w:rsid w:val="00A7307B"/>
    <w:rsid w:val="00A73095"/>
    <w:rsid w:val="00A73C02"/>
    <w:rsid w:val="00A74E38"/>
    <w:rsid w:val="00A75329"/>
    <w:rsid w:val="00A759BF"/>
    <w:rsid w:val="00A767D1"/>
    <w:rsid w:val="00A7703E"/>
    <w:rsid w:val="00A7713C"/>
    <w:rsid w:val="00A77327"/>
    <w:rsid w:val="00A8167E"/>
    <w:rsid w:val="00A83DA8"/>
    <w:rsid w:val="00A840E1"/>
    <w:rsid w:val="00A84912"/>
    <w:rsid w:val="00A84D7D"/>
    <w:rsid w:val="00A84EDA"/>
    <w:rsid w:val="00A9050E"/>
    <w:rsid w:val="00A90E21"/>
    <w:rsid w:val="00A9114E"/>
    <w:rsid w:val="00A914C9"/>
    <w:rsid w:val="00A91AC7"/>
    <w:rsid w:val="00A92FA6"/>
    <w:rsid w:val="00A93C33"/>
    <w:rsid w:val="00A95594"/>
    <w:rsid w:val="00A956EE"/>
    <w:rsid w:val="00A95BC3"/>
    <w:rsid w:val="00A969F8"/>
    <w:rsid w:val="00A971BB"/>
    <w:rsid w:val="00A97544"/>
    <w:rsid w:val="00A97B96"/>
    <w:rsid w:val="00AA10B8"/>
    <w:rsid w:val="00AA4941"/>
    <w:rsid w:val="00AA54E2"/>
    <w:rsid w:val="00AA588B"/>
    <w:rsid w:val="00AA730D"/>
    <w:rsid w:val="00AA7C93"/>
    <w:rsid w:val="00AA7E60"/>
    <w:rsid w:val="00AA7E99"/>
    <w:rsid w:val="00AB0404"/>
    <w:rsid w:val="00AB1DEB"/>
    <w:rsid w:val="00AB29A4"/>
    <w:rsid w:val="00AB3DD4"/>
    <w:rsid w:val="00AB3F91"/>
    <w:rsid w:val="00AB7B18"/>
    <w:rsid w:val="00AC093B"/>
    <w:rsid w:val="00AC0F9E"/>
    <w:rsid w:val="00AC136E"/>
    <w:rsid w:val="00AC31F8"/>
    <w:rsid w:val="00AC7E8D"/>
    <w:rsid w:val="00AD126F"/>
    <w:rsid w:val="00AD1973"/>
    <w:rsid w:val="00AD2228"/>
    <w:rsid w:val="00AD2360"/>
    <w:rsid w:val="00AD2488"/>
    <w:rsid w:val="00AD2897"/>
    <w:rsid w:val="00AD40A0"/>
    <w:rsid w:val="00AD4333"/>
    <w:rsid w:val="00AD58D9"/>
    <w:rsid w:val="00AD71A1"/>
    <w:rsid w:val="00AD71D7"/>
    <w:rsid w:val="00AE0B73"/>
    <w:rsid w:val="00AE1540"/>
    <w:rsid w:val="00AE25F5"/>
    <w:rsid w:val="00AE2D47"/>
    <w:rsid w:val="00AE4FCB"/>
    <w:rsid w:val="00AE53BA"/>
    <w:rsid w:val="00AE62E4"/>
    <w:rsid w:val="00AE6F7D"/>
    <w:rsid w:val="00AE706E"/>
    <w:rsid w:val="00AE754E"/>
    <w:rsid w:val="00AF0E37"/>
    <w:rsid w:val="00AF0E53"/>
    <w:rsid w:val="00AF0EDC"/>
    <w:rsid w:val="00AF0EEB"/>
    <w:rsid w:val="00AF125C"/>
    <w:rsid w:val="00AF16FD"/>
    <w:rsid w:val="00AF34A3"/>
    <w:rsid w:val="00AF4897"/>
    <w:rsid w:val="00AF5825"/>
    <w:rsid w:val="00AF5F12"/>
    <w:rsid w:val="00AF5F26"/>
    <w:rsid w:val="00AF6D37"/>
    <w:rsid w:val="00AF723E"/>
    <w:rsid w:val="00B01034"/>
    <w:rsid w:val="00B0116F"/>
    <w:rsid w:val="00B019DF"/>
    <w:rsid w:val="00B01D95"/>
    <w:rsid w:val="00B037F8"/>
    <w:rsid w:val="00B03CA2"/>
    <w:rsid w:val="00B0401E"/>
    <w:rsid w:val="00B043D4"/>
    <w:rsid w:val="00B0504B"/>
    <w:rsid w:val="00B06E76"/>
    <w:rsid w:val="00B071DD"/>
    <w:rsid w:val="00B07388"/>
    <w:rsid w:val="00B0792F"/>
    <w:rsid w:val="00B07F82"/>
    <w:rsid w:val="00B103CD"/>
    <w:rsid w:val="00B104DB"/>
    <w:rsid w:val="00B10678"/>
    <w:rsid w:val="00B10E31"/>
    <w:rsid w:val="00B1107E"/>
    <w:rsid w:val="00B12763"/>
    <w:rsid w:val="00B12AEC"/>
    <w:rsid w:val="00B135E0"/>
    <w:rsid w:val="00B1385B"/>
    <w:rsid w:val="00B13999"/>
    <w:rsid w:val="00B13C93"/>
    <w:rsid w:val="00B15010"/>
    <w:rsid w:val="00B17288"/>
    <w:rsid w:val="00B20B74"/>
    <w:rsid w:val="00B20C24"/>
    <w:rsid w:val="00B21767"/>
    <w:rsid w:val="00B21FC5"/>
    <w:rsid w:val="00B22F60"/>
    <w:rsid w:val="00B246B3"/>
    <w:rsid w:val="00B24826"/>
    <w:rsid w:val="00B25384"/>
    <w:rsid w:val="00B25966"/>
    <w:rsid w:val="00B25ACE"/>
    <w:rsid w:val="00B26A44"/>
    <w:rsid w:val="00B26C80"/>
    <w:rsid w:val="00B27DFA"/>
    <w:rsid w:val="00B30594"/>
    <w:rsid w:val="00B30672"/>
    <w:rsid w:val="00B30873"/>
    <w:rsid w:val="00B32BFD"/>
    <w:rsid w:val="00B338AF"/>
    <w:rsid w:val="00B34BA2"/>
    <w:rsid w:val="00B3529D"/>
    <w:rsid w:val="00B3761F"/>
    <w:rsid w:val="00B379A3"/>
    <w:rsid w:val="00B4087E"/>
    <w:rsid w:val="00B40941"/>
    <w:rsid w:val="00B40C8E"/>
    <w:rsid w:val="00B410DC"/>
    <w:rsid w:val="00B41141"/>
    <w:rsid w:val="00B41B68"/>
    <w:rsid w:val="00B4383E"/>
    <w:rsid w:val="00B43BC5"/>
    <w:rsid w:val="00B43D32"/>
    <w:rsid w:val="00B446AE"/>
    <w:rsid w:val="00B44ADB"/>
    <w:rsid w:val="00B46815"/>
    <w:rsid w:val="00B46938"/>
    <w:rsid w:val="00B4723E"/>
    <w:rsid w:val="00B47BAD"/>
    <w:rsid w:val="00B50482"/>
    <w:rsid w:val="00B50A23"/>
    <w:rsid w:val="00B529DE"/>
    <w:rsid w:val="00B5349F"/>
    <w:rsid w:val="00B54B1E"/>
    <w:rsid w:val="00B57005"/>
    <w:rsid w:val="00B57504"/>
    <w:rsid w:val="00B6058F"/>
    <w:rsid w:val="00B60864"/>
    <w:rsid w:val="00B62466"/>
    <w:rsid w:val="00B63144"/>
    <w:rsid w:val="00B63557"/>
    <w:rsid w:val="00B6378E"/>
    <w:rsid w:val="00B63EA4"/>
    <w:rsid w:val="00B66544"/>
    <w:rsid w:val="00B66F2C"/>
    <w:rsid w:val="00B71133"/>
    <w:rsid w:val="00B71B22"/>
    <w:rsid w:val="00B71F14"/>
    <w:rsid w:val="00B72AD2"/>
    <w:rsid w:val="00B73E65"/>
    <w:rsid w:val="00B74581"/>
    <w:rsid w:val="00B75104"/>
    <w:rsid w:val="00B76449"/>
    <w:rsid w:val="00B76AA1"/>
    <w:rsid w:val="00B76FC9"/>
    <w:rsid w:val="00B77463"/>
    <w:rsid w:val="00B80A2F"/>
    <w:rsid w:val="00B821A0"/>
    <w:rsid w:val="00B82C68"/>
    <w:rsid w:val="00B8411E"/>
    <w:rsid w:val="00B850E4"/>
    <w:rsid w:val="00B856A3"/>
    <w:rsid w:val="00B865C9"/>
    <w:rsid w:val="00B86A6A"/>
    <w:rsid w:val="00B8783A"/>
    <w:rsid w:val="00B87CA3"/>
    <w:rsid w:val="00B9066B"/>
    <w:rsid w:val="00B912F8"/>
    <w:rsid w:val="00B914DC"/>
    <w:rsid w:val="00B91ACA"/>
    <w:rsid w:val="00B920D4"/>
    <w:rsid w:val="00B922D0"/>
    <w:rsid w:val="00B92346"/>
    <w:rsid w:val="00B923E1"/>
    <w:rsid w:val="00B92653"/>
    <w:rsid w:val="00B9398F"/>
    <w:rsid w:val="00B9546B"/>
    <w:rsid w:val="00B9580D"/>
    <w:rsid w:val="00B97819"/>
    <w:rsid w:val="00BA17A6"/>
    <w:rsid w:val="00BA28FC"/>
    <w:rsid w:val="00BA315E"/>
    <w:rsid w:val="00BA3AFC"/>
    <w:rsid w:val="00BA5189"/>
    <w:rsid w:val="00BA5337"/>
    <w:rsid w:val="00BA5624"/>
    <w:rsid w:val="00BA599D"/>
    <w:rsid w:val="00BA6688"/>
    <w:rsid w:val="00BA7174"/>
    <w:rsid w:val="00BA767B"/>
    <w:rsid w:val="00BA7DCD"/>
    <w:rsid w:val="00BB00ED"/>
    <w:rsid w:val="00BB0157"/>
    <w:rsid w:val="00BB1EC1"/>
    <w:rsid w:val="00BB25F1"/>
    <w:rsid w:val="00BB2966"/>
    <w:rsid w:val="00BB36B3"/>
    <w:rsid w:val="00BB39D8"/>
    <w:rsid w:val="00BB444F"/>
    <w:rsid w:val="00BB4ECA"/>
    <w:rsid w:val="00BB5767"/>
    <w:rsid w:val="00BB6900"/>
    <w:rsid w:val="00BC0DE5"/>
    <w:rsid w:val="00BC1289"/>
    <w:rsid w:val="00BC1613"/>
    <w:rsid w:val="00BC19E1"/>
    <w:rsid w:val="00BC246E"/>
    <w:rsid w:val="00BC2A91"/>
    <w:rsid w:val="00BC34B8"/>
    <w:rsid w:val="00BC3F45"/>
    <w:rsid w:val="00BC617C"/>
    <w:rsid w:val="00BC6ED4"/>
    <w:rsid w:val="00BC7099"/>
    <w:rsid w:val="00BC77A7"/>
    <w:rsid w:val="00BC7877"/>
    <w:rsid w:val="00BC78C6"/>
    <w:rsid w:val="00BC7A4D"/>
    <w:rsid w:val="00BD030C"/>
    <w:rsid w:val="00BD3C6C"/>
    <w:rsid w:val="00BD4BD8"/>
    <w:rsid w:val="00BD5430"/>
    <w:rsid w:val="00BD5B2F"/>
    <w:rsid w:val="00BD637E"/>
    <w:rsid w:val="00BD660E"/>
    <w:rsid w:val="00BE0378"/>
    <w:rsid w:val="00BE17A6"/>
    <w:rsid w:val="00BE2E6E"/>
    <w:rsid w:val="00BE4C93"/>
    <w:rsid w:val="00BE6942"/>
    <w:rsid w:val="00BE73EA"/>
    <w:rsid w:val="00BF01A2"/>
    <w:rsid w:val="00BF10F5"/>
    <w:rsid w:val="00BF1CEB"/>
    <w:rsid w:val="00BF3F0B"/>
    <w:rsid w:val="00BF456F"/>
    <w:rsid w:val="00BF4C66"/>
    <w:rsid w:val="00BF658A"/>
    <w:rsid w:val="00BF7986"/>
    <w:rsid w:val="00C00FCE"/>
    <w:rsid w:val="00C029D3"/>
    <w:rsid w:val="00C02CBB"/>
    <w:rsid w:val="00C033BA"/>
    <w:rsid w:val="00C03F2B"/>
    <w:rsid w:val="00C0430E"/>
    <w:rsid w:val="00C048C3"/>
    <w:rsid w:val="00C05F72"/>
    <w:rsid w:val="00C0681F"/>
    <w:rsid w:val="00C06A2B"/>
    <w:rsid w:val="00C06F86"/>
    <w:rsid w:val="00C1094B"/>
    <w:rsid w:val="00C12879"/>
    <w:rsid w:val="00C12D64"/>
    <w:rsid w:val="00C130DD"/>
    <w:rsid w:val="00C13F62"/>
    <w:rsid w:val="00C1453C"/>
    <w:rsid w:val="00C14AE1"/>
    <w:rsid w:val="00C15F76"/>
    <w:rsid w:val="00C162B7"/>
    <w:rsid w:val="00C1750B"/>
    <w:rsid w:val="00C177E7"/>
    <w:rsid w:val="00C2338A"/>
    <w:rsid w:val="00C255FF"/>
    <w:rsid w:val="00C257C8"/>
    <w:rsid w:val="00C25CC2"/>
    <w:rsid w:val="00C25E8D"/>
    <w:rsid w:val="00C260A2"/>
    <w:rsid w:val="00C3121D"/>
    <w:rsid w:val="00C32763"/>
    <w:rsid w:val="00C33558"/>
    <w:rsid w:val="00C3366C"/>
    <w:rsid w:val="00C345B9"/>
    <w:rsid w:val="00C34971"/>
    <w:rsid w:val="00C34B12"/>
    <w:rsid w:val="00C34ED2"/>
    <w:rsid w:val="00C367C2"/>
    <w:rsid w:val="00C36BE7"/>
    <w:rsid w:val="00C4191B"/>
    <w:rsid w:val="00C41D8E"/>
    <w:rsid w:val="00C42535"/>
    <w:rsid w:val="00C43626"/>
    <w:rsid w:val="00C43F6F"/>
    <w:rsid w:val="00C457F1"/>
    <w:rsid w:val="00C4586D"/>
    <w:rsid w:val="00C4651C"/>
    <w:rsid w:val="00C46816"/>
    <w:rsid w:val="00C50A43"/>
    <w:rsid w:val="00C50A46"/>
    <w:rsid w:val="00C544D0"/>
    <w:rsid w:val="00C55763"/>
    <w:rsid w:val="00C56AE0"/>
    <w:rsid w:val="00C577FC"/>
    <w:rsid w:val="00C60375"/>
    <w:rsid w:val="00C61294"/>
    <w:rsid w:val="00C615BD"/>
    <w:rsid w:val="00C627C5"/>
    <w:rsid w:val="00C63BB6"/>
    <w:rsid w:val="00C645E5"/>
    <w:rsid w:val="00C64E79"/>
    <w:rsid w:val="00C656CA"/>
    <w:rsid w:val="00C65C6D"/>
    <w:rsid w:val="00C6720B"/>
    <w:rsid w:val="00C67A76"/>
    <w:rsid w:val="00C707C7"/>
    <w:rsid w:val="00C71203"/>
    <w:rsid w:val="00C715F2"/>
    <w:rsid w:val="00C72B1B"/>
    <w:rsid w:val="00C72DD4"/>
    <w:rsid w:val="00C73B1C"/>
    <w:rsid w:val="00C73DA0"/>
    <w:rsid w:val="00C752F2"/>
    <w:rsid w:val="00C769F6"/>
    <w:rsid w:val="00C76DD8"/>
    <w:rsid w:val="00C77726"/>
    <w:rsid w:val="00C7778E"/>
    <w:rsid w:val="00C77AFE"/>
    <w:rsid w:val="00C83B0C"/>
    <w:rsid w:val="00C8405B"/>
    <w:rsid w:val="00C840F2"/>
    <w:rsid w:val="00C84950"/>
    <w:rsid w:val="00C855BA"/>
    <w:rsid w:val="00C86B89"/>
    <w:rsid w:val="00C90033"/>
    <w:rsid w:val="00C91BAB"/>
    <w:rsid w:val="00C92D20"/>
    <w:rsid w:val="00C92E9F"/>
    <w:rsid w:val="00C932D1"/>
    <w:rsid w:val="00C94519"/>
    <w:rsid w:val="00C94AA1"/>
    <w:rsid w:val="00C94AB7"/>
    <w:rsid w:val="00C95636"/>
    <w:rsid w:val="00C95B74"/>
    <w:rsid w:val="00C96152"/>
    <w:rsid w:val="00C96DAC"/>
    <w:rsid w:val="00C96FA8"/>
    <w:rsid w:val="00C970E1"/>
    <w:rsid w:val="00C97F2D"/>
    <w:rsid w:val="00CA0F94"/>
    <w:rsid w:val="00CA12E1"/>
    <w:rsid w:val="00CA136C"/>
    <w:rsid w:val="00CA33F4"/>
    <w:rsid w:val="00CA5730"/>
    <w:rsid w:val="00CA5BCB"/>
    <w:rsid w:val="00CA5F12"/>
    <w:rsid w:val="00CA5FB6"/>
    <w:rsid w:val="00CA6447"/>
    <w:rsid w:val="00CA7288"/>
    <w:rsid w:val="00CA7421"/>
    <w:rsid w:val="00CA7A07"/>
    <w:rsid w:val="00CA7C2D"/>
    <w:rsid w:val="00CB4E02"/>
    <w:rsid w:val="00CB6F34"/>
    <w:rsid w:val="00CC039C"/>
    <w:rsid w:val="00CC126E"/>
    <w:rsid w:val="00CC1BD3"/>
    <w:rsid w:val="00CC5252"/>
    <w:rsid w:val="00CC57AF"/>
    <w:rsid w:val="00CC5F1C"/>
    <w:rsid w:val="00CC6C5E"/>
    <w:rsid w:val="00CC6E9E"/>
    <w:rsid w:val="00CC6FA7"/>
    <w:rsid w:val="00CC7F62"/>
    <w:rsid w:val="00CD05D4"/>
    <w:rsid w:val="00CD0695"/>
    <w:rsid w:val="00CD0BE9"/>
    <w:rsid w:val="00CD174A"/>
    <w:rsid w:val="00CD1878"/>
    <w:rsid w:val="00CD26B1"/>
    <w:rsid w:val="00CD26D3"/>
    <w:rsid w:val="00CD2F60"/>
    <w:rsid w:val="00CD45D5"/>
    <w:rsid w:val="00CD4DFC"/>
    <w:rsid w:val="00CD50FF"/>
    <w:rsid w:val="00CD55F7"/>
    <w:rsid w:val="00CD59F0"/>
    <w:rsid w:val="00CD5B5E"/>
    <w:rsid w:val="00CD71BF"/>
    <w:rsid w:val="00CE0643"/>
    <w:rsid w:val="00CE0F4B"/>
    <w:rsid w:val="00CE32C4"/>
    <w:rsid w:val="00CE4E88"/>
    <w:rsid w:val="00CE5DFC"/>
    <w:rsid w:val="00CE6C52"/>
    <w:rsid w:val="00CE6CAE"/>
    <w:rsid w:val="00CF1450"/>
    <w:rsid w:val="00CF199A"/>
    <w:rsid w:val="00CF26C5"/>
    <w:rsid w:val="00CF4B2C"/>
    <w:rsid w:val="00CF6F24"/>
    <w:rsid w:val="00D00B27"/>
    <w:rsid w:val="00D010AB"/>
    <w:rsid w:val="00D018E5"/>
    <w:rsid w:val="00D0209A"/>
    <w:rsid w:val="00D02399"/>
    <w:rsid w:val="00D02BA4"/>
    <w:rsid w:val="00D0408E"/>
    <w:rsid w:val="00D048E2"/>
    <w:rsid w:val="00D04A47"/>
    <w:rsid w:val="00D04DEE"/>
    <w:rsid w:val="00D05364"/>
    <w:rsid w:val="00D053BB"/>
    <w:rsid w:val="00D077FF"/>
    <w:rsid w:val="00D07929"/>
    <w:rsid w:val="00D106EA"/>
    <w:rsid w:val="00D1073C"/>
    <w:rsid w:val="00D11138"/>
    <w:rsid w:val="00D1149A"/>
    <w:rsid w:val="00D115F3"/>
    <w:rsid w:val="00D1173A"/>
    <w:rsid w:val="00D13155"/>
    <w:rsid w:val="00D13902"/>
    <w:rsid w:val="00D14CD6"/>
    <w:rsid w:val="00D15061"/>
    <w:rsid w:val="00D16743"/>
    <w:rsid w:val="00D168B5"/>
    <w:rsid w:val="00D16D65"/>
    <w:rsid w:val="00D1765A"/>
    <w:rsid w:val="00D221F4"/>
    <w:rsid w:val="00D225C6"/>
    <w:rsid w:val="00D22C44"/>
    <w:rsid w:val="00D2417F"/>
    <w:rsid w:val="00D24378"/>
    <w:rsid w:val="00D2588D"/>
    <w:rsid w:val="00D25B68"/>
    <w:rsid w:val="00D26E51"/>
    <w:rsid w:val="00D27639"/>
    <w:rsid w:val="00D3054B"/>
    <w:rsid w:val="00D3153E"/>
    <w:rsid w:val="00D3171B"/>
    <w:rsid w:val="00D327DE"/>
    <w:rsid w:val="00D34612"/>
    <w:rsid w:val="00D34898"/>
    <w:rsid w:val="00D3510B"/>
    <w:rsid w:val="00D353B6"/>
    <w:rsid w:val="00D4098B"/>
    <w:rsid w:val="00D40FAD"/>
    <w:rsid w:val="00D4109E"/>
    <w:rsid w:val="00D4150B"/>
    <w:rsid w:val="00D454A0"/>
    <w:rsid w:val="00D457DD"/>
    <w:rsid w:val="00D45E77"/>
    <w:rsid w:val="00D46AE1"/>
    <w:rsid w:val="00D47D89"/>
    <w:rsid w:val="00D50436"/>
    <w:rsid w:val="00D50E48"/>
    <w:rsid w:val="00D52073"/>
    <w:rsid w:val="00D530C1"/>
    <w:rsid w:val="00D54861"/>
    <w:rsid w:val="00D54EE8"/>
    <w:rsid w:val="00D5556F"/>
    <w:rsid w:val="00D56FC4"/>
    <w:rsid w:val="00D57FCC"/>
    <w:rsid w:val="00D600A2"/>
    <w:rsid w:val="00D605EF"/>
    <w:rsid w:val="00D6088E"/>
    <w:rsid w:val="00D60C13"/>
    <w:rsid w:val="00D616B1"/>
    <w:rsid w:val="00D61AB2"/>
    <w:rsid w:val="00D61B60"/>
    <w:rsid w:val="00D623AD"/>
    <w:rsid w:val="00D63892"/>
    <w:rsid w:val="00D64296"/>
    <w:rsid w:val="00D64F45"/>
    <w:rsid w:val="00D65D38"/>
    <w:rsid w:val="00D66225"/>
    <w:rsid w:val="00D6630C"/>
    <w:rsid w:val="00D66EDB"/>
    <w:rsid w:val="00D67484"/>
    <w:rsid w:val="00D714FC"/>
    <w:rsid w:val="00D71A20"/>
    <w:rsid w:val="00D7342F"/>
    <w:rsid w:val="00D7496C"/>
    <w:rsid w:val="00D74E50"/>
    <w:rsid w:val="00D760D3"/>
    <w:rsid w:val="00D80209"/>
    <w:rsid w:val="00D806B1"/>
    <w:rsid w:val="00D811B7"/>
    <w:rsid w:val="00D81436"/>
    <w:rsid w:val="00D81B4E"/>
    <w:rsid w:val="00D81D24"/>
    <w:rsid w:val="00D82CD0"/>
    <w:rsid w:val="00D8361B"/>
    <w:rsid w:val="00D8398E"/>
    <w:rsid w:val="00D851B2"/>
    <w:rsid w:val="00D85971"/>
    <w:rsid w:val="00D861BF"/>
    <w:rsid w:val="00D90131"/>
    <w:rsid w:val="00D905BB"/>
    <w:rsid w:val="00D94298"/>
    <w:rsid w:val="00D9489C"/>
    <w:rsid w:val="00D94E53"/>
    <w:rsid w:val="00D959C0"/>
    <w:rsid w:val="00D959CA"/>
    <w:rsid w:val="00D968B0"/>
    <w:rsid w:val="00D96AB1"/>
    <w:rsid w:val="00D97040"/>
    <w:rsid w:val="00D9768F"/>
    <w:rsid w:val="00D97690"/>
    <w:rsid w:val="00D97D8D"/>
    <w:rsid w:val="00DA0BC7"/>
    <w:rsid w:val="00DA11B4"/>
    <w:rsid w:val="00DA2CEF"/>
    <w:rsid w:val="00DA37F8"/>
    <w:rsid w:val="00DA3C1B"/>
    <w:rsid w:val="00DA3E59"/>
    <w:rsid w:val="00DA499F"/>
    <w:rsid w:val="00DA4F30"/>
    <w:rsid w:val="00DA67EB"/>
    <w:rsid w:val="00DA6F46"/>
    <w:rsid w:val="00DA74D1"/>
    <w:rsid w:val="00DB43C5"/>
    <w:rsid w:val="00DB5CAF"/>
    <w:rsid w:val="00DB6834"/>
    <w:rsid w:val="00DB6FE8"/>
    <w:rsid w:val="00DB7DF8"/>
    <w:rsid w:val="00DC2777"/>
    <w:rsid w:val="00DC29FE"/>
    <w:rsid w:val="00DC3740"/>
    <w:rsid w:val="00DC4A50"/>
    <w:rsid w:val="00DC5985"/>
    <w:rsid w:val="00DC62C8"/>
    <w:rsid w:val="00DC7359"/>
    <w:rsid w:val="00DC740C"/>
    <w:rsid w:val="00DC7740"/>
    <w:rsid w:val="00DC7E0F"/>
    <w:rsid w:val="00DC7F2D"/>
    <w:rsid w:val="00DD11D4"/>
    <w:rsid w:val="00DD2601"/>
    <w:rsid w:val="00DD2782"/>
    <w:rsid w:val="00DD2DE6"/>
    <w:rsid w:val="00DD32FE"/>
    <w:rsid w:val="00DD5F03"/>
    <w:rsid w:val="00DD6F9A"/>
    <w:rsid w:val="00DD7812"/>
    <w:rsid w:val="00DE304B"/>
    <w:rsid w:val="00DE552A"/>
    <w:rsid w:val="00DE5A53"/>
    <w:rsid w:val="00DE66E8"/>
    <w:rsid w:val="00DE7266"/>
    <w:rsid w:val="00DE75C1"/>
    <w:rsid w:val="00DF034A"/>
    <w:rsid w:val="00DF0DEA"/>
    <w:rsid w:val="00DF25A9"/>
    <w:rsid w:val="00DF349A"/>
    <w:rsid w:val="00DF35E0"/>
    <w:rsid w:val="00DF3FD4"/>
    <w:rsid w:val="00DF42CB"/>
    <w:rsid w:val="00DF547E"/>
    <w:rsid w:val="00DF68F9"/>
    <w:rsid w:val="00DF6BE0"/>
    <w:rsid w:val="00DF6CDD"/>
    <w:rsid w:val="00E01DBD"/>
    <w:rsid w:val="00E02690"/>
    <w:rsid w:val="00E04485"/>
    <w:rsid w:val="00E05506"/>
    <w:rsid w:val="00E05911"/>
    <w:rsid w:val="00E06E83"/>
    <w:rsid w:val="00E07D23"/>
    <w:rsid w:val="00E107D2"/>
    <w:rsid w:val="00E11878"/>
    <w:rsid w:val="00E12E69"/>
    <w:rsid w:val="00E13F1E"/>
    <w:rsid w:val="00E141B5"/>
    <w:rsid w:val="00E14690"/>
    <w:rsid w:val="00E14DCD"/>
    <w:rsid w:val="00E16797"/>
    <w:rsid w:val="00E167AF"/>
    <w:rsid w:val="00E20283"/>
    <w:rsid w:val="00E20E8F"/>
    <w:rsid w:val="00E2114F"/>
    <w:rsid w:val="00E23B68"/>
    <w:rsid w:val="00E246BC"/>
    <w:rsid w:val="00E247AE"/>
    <w:rsid w:val="00E249C9"/>
    <w:rsid w:val="00E25224"/>
    <w:rsid w:val="00E26F8A"/>
    <w:rsid w:val="00E27B57"/>
    <w:rsid w:val="00E300FE"/>
    <w:rsid w:val="00E320C9"/>
    <w:rsid w:val="00E3234E"/>
    <w:rsid w:val="00E33097"/>
    <w:rsid w:val="00E34ACB"/>
    <w:rsid w:val="00E356CF"/>
    <w:rsid w:val="00E36B0E"/>
    <w:rsid w:val="00E401BC"/>
    <w:rsid w:val="00E401C7"/>
    <w:rsid w:val="00E40923"/>
    <w:rsid w:val="00E40BA4"/>
    <w:rsid w:val="00E412B0"/>
    <w:rsid w:val="00E41965"/>
    <w:rsid w:val="00E43F03"/>
    <w:rsid w:val="00E442FE"/>
    <w:rsid w:val="00E44FDA"/>
    <w:rsid w:val="00E46C75"/>
    <w:rsid w:val="00E500A0"/>
    <w:rsid w:val="00E509CA"/>
    <w:rsid w:val="00E51309"/>
    <w:rsid w:val="00E524EB"/>
    <w:rsid w:val="00E537F9"/>
    <w:rsid w:val="00E53D62"/>
    <w:rsid w:val="00E557BC"/>
    <w:rsid w:val="00E575F3"/>
    <w:rsid w:val="00E61A59"/>
    <w:rsid w:val="00E61D3E"/>
    <w:rsid w:val="00E62247"/>
    <w:rsid w:val="00E624D5"/>
    <w:rsid w:val="00E63265"/>
    <w:rsid w:val="00E63680"/>
    <w:rsid w:val="00E63F22"/>
    <w:rsid w:val="00E64142"/>
    <w:rsid w:val="00E64A7E"/>
    <w:rsid w:val="00E66F79"/>
    <w:rsid w:val="00E67601"/>
    <w:rsid w:val="00E67AAF"/>
    <w:rsid w:val="00E67FA0"/>
    <w:rsid w:val="00E71871"/>
    <w:rsid w:val="00E71C70"/>
    <w:rsid w:val="00E71E86"/>
    <w:rsid w:val="00E72126"/>
    <w:rsid w:val="00E727F4"/>
    <w:rsid w:val="00E73A84"/>
    <w:rsid w:val="00E741BE"/>
    <w:rsid w:val="00E745A1"/>
    <w:rsid w:val="00E7564A"/>
    <w:rsid w:val="00E758CF"/>
    <w:rsid w:val="00E76F78"/>
    <w:rsid w:val="00E7735C"/>
    <w:rsid w:val="00E776D6"/>
    <w:rsid w:val="00E805B6"/>
    <w:rsid w:val="00E8438D"/>
    <w:rsid w:val="00E85F8B"/>
    <w:rsid w:val="00E8672C"/>
    <w:rsid w:val="00E86E6D"/>
    <w:rsid w:val="00E87214"/>
    <w:rsid w:val="00E912C3"/>
    <w:rsid w:val="00E915A8"/>
    <w:rsid w:val="00E9204B"/>
    <w:rsid w:val="00E93EC4"/>
    <w:rsid w:val="00E94716"/>
    <w:rsid w:val="00E959D2"/>
    <w:rsid w:val="00E95E5E"/>
    <w:rsid w:val="00E95F55"/>
    <w:rsid w:val="00E96139"/>
    <w:rsid w:val="00E96819"/>
    <w:rsid w:val="00E97FAB"/>
    <w:rsid w:val="00EA03E1"/>
    <w:rsid w:val="00EA0965"/>
    <w:rsid w:val="00EA22A7"/>
    <w:rsid w:val="00EA277D"/>
    <w:rsid w:val="00EA381E"/>
    <w:rsid w:val="00EA5E6B"/>
    <w:rsid w:val="00EA6573"/>
    <w:rsid w:val="00EA6AD8"/>
    <w:rsid w:val="00EA6E77"/>
    <w:rsid w:val="00EA7696"/>
    <w:rsid w:val="00EA7956"/>
    <w:rsid w:val="00EB0AE0"/>
    <w:rsid w:val="00EB0FD7"/>
    <w:rsid w:val="00EB1434"/>
    <w:rsid w:val="00EB1AD3"/>
    <w:rsid w:val="00EB209C"/>
    <w:rsid w:val="00EB2381"/>
    <w:rsid w:val="00EB30AC"/>
    <w:rsid w:val="00EB3A0D"/>
    <w:rsid w:val="00EB4D43"/>
    <w:rsid w:val="00EB66F7"/>
    <w:rsid w:val="00EB6D7B"/>
    <w:rsid w:val="00EB7989"/>
    <w:rsid w:val="00EC1A41"/>
    <w:rsid w:val="00EC27C2"/>
    <w:rsid w:val="00EC2F6B"/>
    <w:rsid w:val="00EC3495"/>
    <w:rsid w:val="00EC47DD"/>
    <w:rsid w:val="00EC4D63"/>
    <w:rsid w:val="00EC5B5D"/>
    <w:rsid w:val="00ED01EE"/>
    <w:rsid w:val="00ED0D96"/>
    <w:rsid w:val="00ED10AE"/>
    <w:rsid w:val="00ED37A7"/>
    <w:rsid w:val="00ED37B4"/>
    <w:rsid w:val="00ED4D62"/>
    <w:rsid w:val="00ED4F8B"/>
    <w:rsid w:val="00ED56F7"/>
    <w:rsid w:val="00ED5731"/>
    <w:rsid w:val="00ED6483"/>
    <w:rsid w:val="00EE099D"/>
    <w:rsid w:val="00EE0CC7"/>
    <w:rsid w:val="00EE1EB8"/>
    <w:rsid w:val="00EE2A3A"/>
    <w:rsid w:val="00EE335D"/>
    <w:rsid w:val="00EE353A"/>
    <w:rsid w:val="00EE3BF9"/>
    <w:rsid w:val="00EE3DA0"/>
    <w:rsid w:val="00EE4DE6"/>
    <w:rsid w:val="00EE4F55"/>
    <w:rsid w:val="00EE73E6"/>
    <w:rsid w:val="00EE7B78"/>
    <w:rsid w:val="00EF1A1B"/>
    <w:rsid w:val="00EF1A73"/>
    <w:rsid w:val="00EF3298"/>
    <w:rsid w:val="00EF59F9"/>
    <w:rsid w:val="00EF5D5E"/>
    <w:rsid w:val="00EF6366"/>
    <w:rsid w:val="00F0128B"/>
    <w:rsid w:val="00F014C8"/>
    <w:rsid w:val="00F01BCD"/>
    <w:rsid w:val="00F01C75"/>
    <w:rsid w:val="00F0271E"/>
    <w:rsid w:val="00F042DA"/>
    <w:rsid w:val="00F0435D"/>
    <w:rsid w:val="00F047B1"/>
    <w:rsid w:val="00F04F90"/>
    <w:rsid w:val="00F0555D"/>
    <w:rsid w:val="00F05939"/>
    <w:rsid w:val="00F05B95"/>
    <w:rsid w:val="00F06997"/>
    <w:rsid w:val="00F07444"/>
    <w:rsid w:val="00F07AA5"/>
    <w:rsid w:val="00F11A77"/>
    <w:rsid w:val="00F12609"/>
    <w:rsid w:val="00F13BBA"/>
    <w:rsid w:val="00F14E2E"/>
    <w:rsid w:val="00F150D1"/>
    <w:rsid w:val="00F15AB8"/>
    <w:rsid w:val="00F15D9B"/>
    <w:rsid w:val="00F2035C"/>
    <w:rsid w:val="00F21A20"/>
    <w:rsid w:val="00F21D2A"/>
    <w:rsid w:val="00F222CA"/>
    <w:rsid w:val="00F227E6"/>
    <w:rsid w:val="00F22A23"/>
    <w:rsid w:val="00F23AFC"/>
    <w:rsid w:val="00F23BCA"/>
    <w:rsid w:val="00F23DA0"/>
    <w:rsid w:val="00F25BE7"/>
    <w:rsid w:val="00F26A4D"/>
    <w:rsid w:val="00F2720B"/>
    <w:rsid w:val="00F27260"/>
    <w:rsid w:val="00F27426"/>
    <w:rsid w:val="00F314ED"/>
    <w:rsid w:val="00F31516"/>
    <w:rsid w:val="00F31FBC"/>
    <w:rsid w:val="00F34A66"/>
    <w:rsid w:val="00F34B6F"/>
    <w:rsid w:val="00F34F5A"/>
    <w:rsid w:val="00F35470"/>
    <w:rsid w:val="00F36A78"/>
    <w:rsid w:val="00F375EE"/>
    <w:rsid w:val="00F3764A"/>
    <w:rsid w:val="00F41723"/>
    <w:rsid w:val="00F44A04"/>
    <w:rsid w:val="00F4677A"/>
    <w:rsid w:val="00F46924"/>
    <w:rsid w:val="00F504F8"/>
    <w:rsid w:val="00F54CA8"/>
    <w:rsid w:val="00F554D1"/>
    <w:rsid w:val="00F56465"/>
    <w:rsid w:val="00F60F5E"/>
    <w:rsid w:val="00F611D8"/>
    <w:rsid w:val="00F617E8"/>
    <w:rsid w:val="00F623A1"/>
    <w:rsid w:val="00F62D37"/>
    <w:rsid w:val="00F63A21"/>
    <w:rsid w:val="00F645AC"/>
    <w:rsid w:val="00F64789"/>
    <w:rsid w:val="00F64F99"/>
    <w:rsid w:val="00F664A7"/>
    <w:rsid w:val="00F6690D"/>
    <w:rsid w:val="00F66A59"/>
    <w:rsid w:val="00F7057A"/>
    <w:rsid w:val="00F7084C"/>
    <w:rsid w:val="00F7100E"/>
    <w:rsid w:val="00F73C1D"/>
    <w:rsid w:val="00F7466C"/>
    <w:rsid w:val="00F751C0"/>
    <w:rsid w:val="00F75E71"/>
    <w:rsid w:val="00F77281"/>
    <w:rsid w:val="00F805B0"/>
    <w:rsid w:val="00F814A8"/>
    <w:rsid w:val="00F81F25"/>
    <w:rsid w:val="00F8293E"/>
    <w:rsid w:val="00F82AE5"/>
    <w:rsid w:val="00F83844"/>
    <w:rsid w:val="00F83AFA"/>
    <w:rsid w:val="00F84F71"/>
    <w:rsid w:val="00F85250"/>
    <w:rsid w:val="00F85832"/>
    <w:rsid w:val="00F85A9F"/>
    <w:rsid w:val="00F869FE"/>
    <w:rsid w:val="00F86AFF"/>
    <w:rsid w:val="00F86E31"/>
    <w:rsid w:val="00F87C5D"/>
    <w:rsid w:val="00F9058B"/>
    <w:rsid w:val="00F90C18"/>
    <w:rsid w:val="00F91593"/>
    <w:rsid w:val="00F9542A"/>
    <w:rsid w:val="00F955CC"/>
    <w:rsid w:val="00F95FE0"/>
    <w:rsid w:val="00F96C1A"/>
    <w:rsid w:val="00F96E60"/>
    <w:rsid w:val="00F96EAF"/>
    <w:rsid w:val="00F97656"/>
    <w:rsid w:val="00F97ACB"/>
    <w:rsid w:val="00FA0A57"/>
    <w:rsid w:val="00FA21CE"/>
    <w:rsid w:val="00FA33AC"/>
    <w:rsid w:val="00FA3B7A"/>
    <w:rsid w:val="00FA4AB2"/>
    <w:rsid w:val="00FA58FA"/>
    <w:rsid w:val="00FA6925"/>
    <w:rsid w:val="00FA7192"/>
    <w:rsid w:val="00FA7EBA"/>
    <w:rsid w:val="00FB008E"/>
    <w:rsid w:val="00FB24C3"/>
    <w:rsid w:val="00FB2777"/>
    <w:rsid w:val="00FB377A"/>
    <w:rsid w:val="00FB3E4A"/>
    <w:rsid w:val="00FB7342"/>
    <w:rsid w:val="00FB7872"/>
    <w:rsid w:val="00FC05B6"/>
    <w:rsid w:val="00FC215F"/>
    <w:rsid w:val="00FC2439"/>
    <w:rsid w:val="00FC28D2"/>
    <w:rsid w:val="00FC3530"/>
    <w:rsid w:val="00FC39DD"/>
    <w:rsid w:val="00FC618F"/>
    <w:rsid w:val="00FC6B82"/>
    <w:rsid w:val="00FC769D"/>
    <w:rsid w:val="00FD015C"/>
    <w:rsid w:val="00FD033C"/>
    <w:rsid w:val="00FD057C"/>
    <w:rsid w:val="00FD0907"/>
    <w:rsid w:val="00FD0D9E"/>
    <w:rsid w:val="00FD16BC"/>
    <w:rsid w:val="00FD17F4"/>
    <w:rsid w:val="00FD1C2F"/>
    <w:rsid w:val="00FD27BC"/>
    <w:rsid w:val="00FD3938"/>
    <w:rsid w:val="00FD3E8D"/>
    <w:rsid w:val="00FD4924"/>
    <w:rsid w:val="00FD523B"/>
    <w:rsid w:val="00FD7A97"/>
    <w:rsid w:val="00FE04F1"/>
    <w:rsid w:val="00FE18B7"/>
    <w:rsid w:val="00FE1B4D"/>
    <w:rsid w:val="00FE1D64"/>
    <w:rsid w:val="00FE2041"/>
    <w:rsid w:val="00FE245A"/>
    <w:rsid w:val="00FE2DF2"/>
    <w:rsid w:val="00FE2F8C"/>
    <w:rsid w:val="00FE2FD1"/>
    <w:rsid w:val="00FE4839"/>
    <w:rsid w:val="00FE53AB"/>
    <w:rsid w:val="00FE5897"/>
    <w:rsid w:val="00FE6D46"/>
    <w:rsid w:val="00FF022D"/>
    <w:rsid w:val="00FF02D0"/>
    <w:rsid w:val="00FF09A4"/>
    <w:rsid w:val="00FF3F2A"/>
    <w:rsid w:val="00FF5918"/>
    <w:rsid w:val="00FF5BD0"/>
    <w:rsid w:val="00FF5CC4"/>
    <w:rsid w:val="00FF6816"/>
    <w:rsid w:val="00FF6946"/>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1CA062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5252"/>
  </w:style>
  <w:style w:type="paragraph" w:styleId="Heading1">
    <w:name w:val="heading 1"/>
    <w:basedOn w:val="Normal"/>
    <w:next w:val="Normal"/>
    <w:link w:val="Heading1Char"/>
    <w:uiPriority w:val="9"/>
    <w:qFormat/>
    <w:rsid w:val="001502FE"/>
    <w:pPr>
      <w:spacing w:before="480" w:after="0"/>
      <w:contextualSpacing/>
      <w:outlineLvl w:val="0"/>
    </w:pPr>
    <w:rPr>
      <w:rFonts w:eastAsiaTheme="majorEastAsia" w:cstheme="majorBidi"/>
      <w:b/>
      <w:bCs/>
      <w:color w:val="0070C0"/>
      <w:sz w:val="28"/>
      <w:szCs w:val="28"/>
    </w:rPr>
  </w:style>
  <w:style w:type="paragraph" w:styleId="Heading2">
    <w:name w:val="heading 2"/>
    <w:basedOn w:val="Normal"/>
    <w:next w:val="Normal"/>
    <w:link w:val="Heading2Char"/>
    <w:uiPriority w:val="9"/>
    <w:unhideWhenUsed/>
    <w:qFormat/>
    <w:rsid w:val="00CC5252"/>
    <w:pPr>
      <w:spacing w:before="200" w:after="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semiHidden/>
    <w:unhideWhenUsed/>
    <w:qFormat/>
    <w:rsid w:val="00CC5252"/>
    <w:pPr>
      <w:spacing w:before="200" w:after="0" w:line="271" w:lineRule="auto"/>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semiHidden/>
    <w:unhideWhenUsed/>
    <w:qFormat/>
    <w:rsid w:val="00CC5252"/>
    <w:pPr>
      <w:spacing w:before="200" w:after="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semiHidden/>
    <w:unhideWhenUsed/>
    <w:qFormat/>
    <w:rsid w:val="00CC5252"/>
    <w:pPr>
      <w:spacing w:before="200" w:after="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
    <w:semiHidden/>
    <w:unhideWhenUsed/>
    <w:qFormat/>
    <w:rsid w:val="00CC5252"/>
    <w:pPr>
      <w:spacing w:after="0"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semiHidden/>
    <w:unhideWhenUsed/>
    <w:qFormat/>
    <w:rsid w:val="00CC5252"/>
    <w:p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CC5252"/>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CC5252"/>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502FE"/>
    <w:rPr>
      <w:rFonts w:eastAsiaTheme="majorEastAsia" w:cstheme="majorBidi"/>
      <w:b/>
      <w:bCs/>
      <w:color w:val="0070C0"/>
      <w:sz w:val="28"/>
      <w:szCs w:val="28"/>
    </w:rPr>
  </w:style>
  <w:style w:type="character" w:customStyle="1" w:styleId="Heading2Char">
    <w:name w:val="Heading 2 Char"/>
    <w:basedOn w:val="DefaultParagraphFont"/>
    <w:link w:val="Heading2"/>
    <w:uiPriority w:val="9"/>
    <w:rsid w:val="00CC5252"/>
    <w:rPr>
      <w:rFonts w:asciiTheme="majorHAnsi" w:eastAsiaTheme="majorEastAsia" w:hAnsiTheme="majorHAnsi" w:cstheme="majorBidi"/>
      <w:b/>
      <w:bCs/>
      <w:sz w:val="26"/>
      <w:szCs w:val="26"/>
    </w:rPr>
  </w:style>
  <w:style w:type="character" w:customStyle="1" w:styleId="Heading3Char">
    <w:name w:val="Heading 3 Char"/>
    <w:basedOn w:val="DefaultParagraphFont"/>
    <w:link w:val="Heading3"/>
    <w:uiPriority w:val="9"/>
    <w:semiHidden/>
    <w:rsid w:val="00CC5252"/>
    <w:rPr>
      <w:rFonts w:asciiTheme="majorHAnsi" w:eastAsiaTheme="majorEastAsia" w:hAnsiTheme="majorHAnsi" w:cstheme="majorBidi"/>
      <w:b/>
      <w:bCs/>
    </w:rPr>
  </w:style>
  <w:style w:type="character" w:customStyle="1" w:styleId="Heading4Char">
    <w:name w:val="Heading 4 Char"/>
    <w:basedOn w:val="DefaultParagraphFont"/>
    <w:link w:val="Heading4"/>
    <w:uiPriority w:val="9"/>
    <w:semiHidden/>
    <w:rsid w:val="00CC5252"/>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
    <w:semiHidden/>
    <w:rsid w:val="00CC5252"/>
    <w:rPr>
      <w:rFonts w:asciiTheme="majorHAnsi" w:eastAsiaTheme="majorEastAsia" w:hAnsiTheme="majorHAnsi" w:cstheme="majorBidi"/>
      <w:b/>
      <w:bCs/>
      <w:color w:val="7F7F7F" w:themeColor="text1" w:themeTint="80"/>
    </w:rPr>
  </w:style>
  <w:style w:type="character" w:customStyle="1" w:styleId="Heading6Char">
    <w:name w:val="Heading 6 Char"/>
    <w:basedOn w:val="DefaultParagraphFont"/>
    <w:link w:val="Heading6"/>
    <w:uiPriority w:val="9"/>
    <w:semiHidden/>
    <w:rsid w:val="00CC5252"/>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semiHidden/>
    <w:rsid w:val="00CC5252"/>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CC5252"/>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CC5252"/>
    <w:rPr>
      <w:rFonts w:asciiTheme="majorHAnsi" w:eastAsiaTheme="majorEastAsia" w:hAnsiTheme="majorHAnsi" w:cstheme="majorBidi"/>
      <w:i/>
      <w:iCs/>
      <w:spacing w:val="5"/>
      <w:sz w:val="20"/>
      <w:szCs w:val="20"/>
    </w:rPr>
  </w:style>
  <w:style w:type="paragraph" w:styleId="BalloonText">
    <w:name w:val="Balloon Text"/>
    <w:basedOn w:val="Normal"/>
    <w:link w:val="BalloonTextChar"/>
    <w:uiPriority w:val="99"/>
    <w:semiHidden/>
    <w:unhideWhenUsed/>
    <w:rsid w:val="0035040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5040E"/>
    <w:rPr>
      <w:rFonts w:ascii="Tahoma" w:hAnsi="Tahoma" w:cs="Tahoma"/>
      <w:sz w:val="16"/>
      <w:szCs w:val="16"/>
    </w:rPr>
  </w:style>
  <w:style w:type="paragraph" w:styleId="ListParagraph">
    <w:name w:val="List Paragraph"/>
    <w:basedOn w:val="Normal"/>
    <w:link w:val="ListParagraphChar"/>
    <w:uiPriority w:val="34"/>
    <w:qFormat/>
    <w:rsid w:val="00CC5252"/>
    <w:pPr>
      <w:ind w:left="720"/>
      <w:contextualSpacing/>
    </w:pPr>
  </w:style>
  <w:style w:type="character" w:customStyle="1" w:styleId="ListParagraphChar">
    <w:name w:val="List Paragraph Char"/>
    <w:basedOn w:val="DefaultParagraphFont"/>
    <w:link w:val="ListParagraph"/>
    <w:uiPriority w:val="34"/>
    <w:locked/>
    <w:rsid w:val="0081428C"/>
  </w:style>
  <w:style w:type="paragraph" w:styleId="TOCHeading">
    <w:name w:val="TOC Heading"/>
    <w:basedOn w:val="Heading1"/>
    <w:next w:val="Normal"/>
    <w:uiPriority w:val="39"/>
    <w:unhideWhenUsed/>
    <w:qFormat/>
    <w:rsid w:val="00CC5252"/>
    <w:pPr>
      <w:outlineLvl w:val="9"/>
    </w:pPr>
    <w:rPr>
      <w:lang w:bidi="en-US"/>
    </w:rPr>
  </w:style>
  <w:style w:type="paragraph" w:styleId="TOC1">
    <w:name w:val="toc 1"/>
    <w:basedOn w:val="Normal"/>
    <w:next w:val="Normal"/>
    <w:autoRedefine/>
    <w:uiPriority w:val="39"/>
    <w:unhideWhenUsed/>
    <w:rsid w:val="00752497"/>
    <w:pPr>
      <w:tabs>
        <w:tab w:val="right" w:leader="dot" w:pos="9350"/>
      </w:tabs>
      <w:spacing w:after="100"/>
    </w:pPr>
    <w:rPr>
      <w:sz w:val="20"/>
    </w:rPr>
  </w:style>
  <w:style w:type="character" w:styleId="Hyperlink">
    <w:name w:val="Hyperlink"/>
    <w:basedOn w:val="DefaultParagraphFont"/>
    <w:uiPriority w:val="99"/>
    <w:unhideWhenUsed/>
    <w:rsid w:val="001D77E9"/>
    <w:rPr>
      <w:color w:val="0000FF" w:themeColor="hyperlink"/>
      <w:u w:val="single"/>
    </w:rPr>
  </w:style>
  <w:style w:type="table" w:styleId="TableGrid">
    <w:name w:val="Table Grid"/>
    <w:basedOn w:val="TableNormal"/>
    <w:uiPriority w:val="59"/>
    <w:rsid w:val="001D77E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basedOn w:val="Normal"/>
    <w:link w:val="NoSpacingChar"/>
    <w:uiPriority w:val="1"/>
    <w:qFormat/>
    <w:rsid w:val="00CC5252"/>
    <w:pPr>
      <w:spacing w:after="0" w:line="240" w:lineRule="auto"/>
    </w:pPr>
  </w:style>
  <w:style w:type="character" w:customStyle="1" w:styleId="NoSpacingChar">
    <w:name w:val="No Spacing Char"/>
    <w:basedOn w:val="DefaultParagraphFont"/>
    <w:link w:val="NoSpacing"/>
    <w:uiPriority w:val="1"/>
    <w:rsid w:val="001D77E9"/>
  </w:style>
  <w:style w:type="paragraph" w:styleId="Header">
    <w:name w:val="header"/>
    <w:basedOn w:val="Normal"/>
    <w:link w:val="HeaderChar"/>
    <w:uiPriority w:val="99"/>
    <w:unhideWhenUsed/>
    <w:rsid w:val="0004706B"/>
    <w:pPr>
      <w:tabs>
        <w:tab w:val="center" w:pos="4680"/>
        <w:tab w:val="right" w:pos="9360"/>
      </w:tabs>
      <w:spacing w:after="0" w:line="240" w:lineRule="auto"/>
    </w:pPr>
  </w:style>
  <w:style w:type="character" w:customStyle="1" w:styleId="HeaderChar">
    <w:name w:val="Header Char"/>
    <w:basedOn w:val="DefaultParagraphFont"/>
    <w:link w:val="Header"/>
    <w:uiPriority w:val="99"/>
    <w:rsid w:val="0004706B"/>
  </w:style>
  <w:style w:type="paragraph" w:styleId="Footer">
    <w:name w:val="footer"/>
    <w:basedOn w:val="Normal"/>
    <w:link w:val="FooterChar"/>
    <w:uiPriority w:val="99"/>
    <w:unhideWhenUsed/>
    <w:rsid w:val="0004706B"/>
    <w:pPr>
      <w:tabs>
        <w:tab w:val="center" w:pos="4680"/>
        <w:tab w:val="right" w:pos="9360"/>
      </w:tabs>
      <w:spacing w:after="0" w:line="240" w:lineRule="auto"/>
    </w:pPr>
  </w:style>
  <w:style w:type="character" w:customStyle="1" w:styleId="FooterChar">
    <w:name w:val="Footer Char"/>
    <w:basedOn w:val="DefaultParagraphFont"/>
    <w:link w:val="Footer"/>
    <w:uiPriority w:val="99"/>
    <w:rsid w:val="0004706B"/>
  </w:style>
  <w:style w:type="character" w:styleId="CommentReference">
    <w:name w:val="annotation reference"/>
    <w:basedOn w:val="DefaultParagraphFont"/>
    <w:uiPriority w:val="99"/>
    <w:unhideWhenUsed/>
    <w:rsid w:val="0081428C"/>
    <w:rPr>
      <w:sz w:val="16"/>
      <w:szCs w:val="16"/>
    </w:rPr>
  </w:style>
  <w:style w:type="paragraph" w:styleId="CommentText">
    <w:name w:val="annotation text"/>
    <w:basedOn w:val="Normal"/>
    <w:link w:val="CommentTextChar"/>
    <w:uiPriority w:val="99"/>
    <w:unhideWhenUsed/>
    <w:rsid w:val="0081428C"/>
    <w:pPr>
      <w:spacing w:line="240" w:lineRule="auto"/>
    </w:pPr>
    <w:rPr>
      <w:sz w:val="20"/>
      <w:szCs w:val="20"/>
    </w:rPr>
  </w:style>
  <w:style w:type="character" w:customStyle="1" w:styleId="CommentTextChar">
    <w:name w:val="Comment Text Char"/>
    <w:basedOn w:val="DefaultParagraphFont"/>
    <w:link w:val="CommentText"/>
    <w:uiPriority w:val="99"/>
    <w:rsid w:val="0081428C"/>
    <w:rPr>
      <w:sz w:val="20"/>
      <w:szCs w:val="20"/>
    </w:rPr>
  </w:style>
  <w:style w:type="paragraph" w:styleId="Caption">
    <w:name w:val="caption"/>
    <w:aliases w:val="quarterly chart caption,quarterly chart caption Char Char,Caption Char Char Char,Caption1 Char,Caption1,Table title,Figure Head,Figure Head Znak Znak,Figure Head Znak"/>
    <w:basedOn w:val="Normal"/>
    <w:next w:val="Normal"/>
    <w:link w:val="CaptionChar"/>
    <w:unhideWhenUsed/>
    <w:qFormat/>
    <w:rsid w:val="0081428C"/>
    <w:pPr>
      <w:spacing w:line="240" w:lineRule="auto"/>
    </w:pPr>
    <w:rPr>
      <w:b/>
      <w:bCs/>
      <w:color w:val="4F81BD" w:themeColor="accent1"/>
      <w:sz w:val="18"/>
      <w:szCs w:val="18"/>
    </w:rPr>
  </w:style>
  <w:style w:type="character" w:customStyle="1" w:styleId="CaptionChar">
    <w:name w:val="Caption Char"/>
    <w:aliases w:val="quarterly chart caption Char,quarterly chart caption Char Char Char,Caption Char Char Char Char,Caption1 Char Char,Caption1 Char1,Table title Char,Figure Head Char,Figure Head Znak Znak Char,Figure Head Znak Char"/>
    <w:basedOn w:val="DefaultParagraphFont"/>
    <w:link w:val="Caption"/>
    <w:locked/>
    <w:rsid w:val="00445689"/>
    <w:rPr>
      <w:b/>
      <w:bCs/>
      <w:color w:val="4F81BD" w:themeColor="accent1"/>
      <w:sz w:val="18"/>
      <w:szCs w:val="18"/>
    </w:rPr>
  </w:style>
  <w:style w:type="paragraph" w:customStyle="1" w:styleId="Default">
    <w:name w:val="Default"/>
    <w:uiPriority w:val="99"/>
    <w:rsid w:val="00FD7A97"/>
    <w:pPr>
      <w:autoSpaceDE w:val="0"/>
      <w:autoSpaceDN w:val="0"/>
      <w:adjustRightInd w:val="0"/>
      <w:spacing w:after="0" w:line="240" w:lineRule="auto"/>
    </w:pPr>
    <w:rPr>
      <w:rFonts w:ascii="Calibri" w:hAnsi="Calibri" w:cs="Calibri"/>
      <w:color w:val="000000"/>
      <w:sz w:val="24"/>
      <w:szCs w:val="24"/>
    </w:rPr>
  </w:style>
  <w:style w:type="paragraph" w:styleId="FootnoteText">
    <w:name w:val="footnote text"/>
    <w:aliases w:val="fn,single space,FOOTNOTES,Char,footnote text,footn,footn Char Char,footn Char Char Char Char,Geneva 9,Font: Geneva 9,Boston 10,f,ft, Char,ft Char Char Char,Footnote Text Char Char,ADB,ADB Char,fn Char Char Char,fn Char Char,ft2"/>
    <w:basedOn w:val="Normal"/>
    <w:link w:val="FootnoteTextChar"/>
    <w:uiPriority w:val="99"/>
    <w:unhideWhenUsed/>
    <w:rsid w:val="00FD7A97"/>
    <w:pPr>
      <w:spacing w:after="0" w:line="240" w:lineRule="auto"/>
    </w:pPr>
    <w:rPr>
      <w:sz w:val="20"/>
      <w:szCs w:val="20"/>
    </w:rPr>
  </w:style>
  <w:style w:type="character" w:customStyle="1" w:styleId="FootnoteTextChar">
    <w:name w:val="Footnote Text Char"/>
    <w:aliases w:val="fn Char,single space Char,FOOTNOTES Char,Char Char,footnote text Char,footn Char,footn Char Char Char,footn Char Char Char Char Char,Geneva 9 Char,Font: Geneva 9 Char,Boston 10 Char,f Char,ft Char, Char Char,ft Char Char Char Char"/>
    <w:basedOn w:val="DefaultParagraphFont"/>
    <w:link w:val="FootnoteText"/>
    <w:uiPriority w:val="99"/>
    <w:rsid w:val="00FD7A97"/>
    <w:rPr>
      <w:rFonts w:eastAsiaTheme="minorEastAsia"/>
      <w:sz w:val="20"/>
      <w:szCs w:val="20"/>
    </w:rPr>
  </w:style>
  <w:style w:type="character" w:styleId="FootnoteReference">
    <w:name w:val="footnote reference"/>
    <w:aliases w:val="ftref,16 Point,Superscript 6 Point,Fußnotenzeichen DISS,fr,BVI fnr,(NECG) Footnote Reference,footnote ref,Char Char Char Char Car Char"/>
    <w:basedOn w:val="DefaultParagraphFont"/>
    <w:uiPriority w:val="99"/>
    <w:unhideWhenUsed/>
    <w:rsid w:val="00FD7A97"/>
    <w:rPr>
      <w:vertAlign w:val="superscript"/>
    </w:rPr>
  </w:style>
  <w:style w:type="paragraph" w:styleId="CommentSubject">
    <w:name w:val="annotation subject"/>
    <w:basedOn w:val="CommentText"/>
    <w:next w:val="CommentText"/>
    <w:link w:val="CommentSubjectChar"/>
    <w:uiPriority w:val="99"/>
    <w:semiHidden/>
    <w:unhideWhenUsed/>
    <w:rsid w:val="009F6FA1"/>
    <w:rPr>
      <w:b/>
      <w:bCs/>
    </w:rPr>
  </w:style>
  <w:style w:type="character" w:customStyle="1" w:styleId="CommentSubjectChar">
    <w:name w:val="Comment Subject Char"/>
    <w:basedOn w:val="CommentTextChar"/>
    <w:link w:val="CommentSubject"/>
    <w:uiPriority w:val="99"/>
    <w:semiHidden/>
    <w:rsid w:val="009F6FA1"/>
    <w:rPr>
      <w:b/>
      <w:bCs/>
      <w:sz w:val="20"/>
      <w:szCs w:val="20"/>
    </w:rPr>
  </w:style>
  <w:style w:type="paragraph" w:styleId="TOC2">
    <w:name w:val="toc 2"/>
    <w:basedOn w:val="Normal"/>
    <w:next w:val="Normal"/>
    <w:autoRedefine/>
    <w:uiPriority w:val="39"/>
    <w:unhideWhenUsed/>
    <w:rsid w:val="00B4383E"/>
    <w:pPr>
      <w:spacing w:after="100"/>
      <w:ind w:left="220"/>
    </w:pPr>
  </w:style>
  <w:style w:type="table" w:styleId="LightShading-Accent6">
    <w:name w:val="Light Shading Accent 6"/>
    <w:basedOn w:val="TableNormal"/>
    <w:uiPriority w:val="60"/>
    <w:rsid w:val="00C260A2"/>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Accent2">
    <w:name w:val="Light List Accent 2"/>
    <w:basedOn w:val="TableNormal"/>
    <w:uiPriority w:val="61"/>
    <w:rsid w:val="0019122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customStyle="1" w:styleId="ParagraphNumbering">
    <w:name w:val="Paragraph Numbering"/>
    <w:basedOn w:val="Normal"/>
    <w:uiPriority w:val="99"/>
    <w:rsid w:val="00445689"/>
    <w:pPr>
      <w:numPr>
        <w:numId w:val="2"/>
      </w:numPr>
      <w:spacing w:after="0" w:line="240" w:lineRule="auto"/>
    </w:pPr>
    <w:rPr>
      <w:rFonts w:ascii="Times New Roman" w:eastAsia="Times New Roman" w:hAnsi="Times New Roman" w:cs="Times New Roman"/>
      <w:sz w:val="24"/>
      <w:szCs w:val="24"/>
    </w:rPr>
  </w:style>
  <w:style w:type="paragraph" w:styleId="TableofFigures">
    <w:name w:val="table of figures"/>
    <w:basedOn w:val="Normal"/>
    <w:next w:val="Normal"/>
    <w:uiPriority w:val="99"/>
    <w:unhideWhenUsed/>
    <w:rsid w:val="00F36A78"/>
    <w:pPr>
      <w:spacing w:after="0"/>
    </w:pPr>
  </w:style>
  <w:style w:type="paragraph" w:styleId="Index1">
    <w:name w:val="index 1"/>
    <w:basedOn w:val="Normal"/>
    <w:next w:val="Normal"/>
    <w:autoRedefine/>
    <w:uiPriority w:val="99"/>
    <w:semiHidden/>
    <w:unhideWhenUsed/>
    <w:rsid w:val="009260FC"/>
    <w:pPr>
      <w:spacing w:after="0" w:line="240" w:lineRule="auto"/>
      <w:ind w:left="220" w:hanging="220"/>
    </w:pPr>
  </w:style>
  <w:style w:type="paragraph" w:styleId="Title">
    <w:name w:val="Title"/>
    <w:basedOn w:val="Normal"/>
    <w:next w:val="Normal"/>
    <w:link w:val="TitleChar"/>
    <w:uiPriority w:val="10"/>
    <w:qFormat/>
    <w:rsid w:val="00CC5252"/>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TitleChar">
    <w:name w:val="Title Char"/>
    <w:basedOn w:val="DefaultParagraphFont"/>
    <w:link w:val="Title"/>
    <w:uiPriority w:val="10"/>
    <w:rsid w:val="00CC5252"/>
    <w:rPr>
      <w:rFonts w:asciiTheme="majorHAnsi" w:eastAsiaTheme="majorEastAsia" w:hAnsiTheme="majorHAnsi" w:cstheme="majorBidi"/>
      <w:spacing w:val="5"/>
      <w:sz w:val="52"/>
      <w:szCs w:val="52"/>
    </w:rPr>
  </w:style>
  <w:style w:type="paragraph" w:styleId="Subtitle">
    <w:name w:val="Subtitle"/>
    <w:basedOn w:val="Normal"/>
    <w:next w:val="Normal"/>
    <w:link w:val="SubtitleChar"/>
    <w:uiPriority w:val="11"/>
    <w:qFormat/>
    <w:rsid w:val="00CC5252"/>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CC5252"/>
    <w:rPr>
      <w:rFonts w:asciiTheme="majorHAnsi" w:eastAsiaTheme="majorEastAsia" w:hAnsiTheme="majorHAnsi" w:cstheme="majorBidi"/>
      <w:i/>
      <w:iCs/>
      <w:spacing w:val="13"/>
      <w:sz w:val="24"/>
      <w:szCs w:val="24"/>
    </w:rPr>
  </w:style>
  <w:style w:type="character" w:styleId="Strong">
    <w:name w:val="Strong"/>
    <w:uiPriority w:val="22"/>
    <w:qFormat/>
    <w:rsid w:val="00CC5252"/>
    <w:rPr>
      <w:b/>
      <w:bCs/>
    </w:rPr>
  </w:style>
  <w:style w:type="character" w:styleId="Emphasis">
    <w:name w:val="Emphasis"/>
    <w:uiPriority w:val="20"/>
    <w:qFormat/>
    <w:rsid w:val="00CC5252"/>
    <w:rPr>
      <w:b/>
      <w:bCs/>
      <w:i/>
      <w:iCs/>
      <w:spacing w:val="10"/>
      <w:bdr w:val="none" w:sz="0" w:space="0" w:color="auto"/>
      <w:shd w:val="clear" w:color="auto" w:fill="auto"/>
    </w:rPr>
  </w:style>
  <w:style w:type="paragraph" w:styleId="Quote">
    <w:name w:val="Quote"/>
    <w:basedOn w:val="Normal"/>
    <w:next w:val="Normal"/>
    <w:link w:val="QuoteChar"/>
    <w:uiPriority w:val="29"/>
    <w:qFormat/>
    <w:rsid w:val="00CC5252"/>
    <w:pPr>
      <w:spacing w:before="200" w:after="0"/>
      <w:ind w:left="360" w:right="360"/>
    </w:pPr>
    <w:rPr>
      <w:i/>
      <w:iCs/>
    </w:rPr>
  </w:style>
  <w:style w:type="character" w:customStyle="1" w:styleId="QuoteChar">
    <w:name w:val="Quote Char"/>
    <w:basedOn w:val="DefaultParagraphFont"/>
    <w:link w:val="Quote"/>
    <w:uiPriority w:val="29"/>
    <w:rsid w:val="00CC5252"/>
    <w:rPr>
      <w:i/>
      <w:iCs/>
    </w:rPr>
  </w:style>
  <w:style w:type="paragraph" w:styleId="IntenseQuote">
    <w:name w:val="Intense Quote"/>
    <w:basedOn w:val="Normal"/>
    <w:next w:val="Normal"/>
    <w:link w:val="IntenseQuoteChar"/>
    <w:uiPriority w:val="30"/>
    <w:qFormat/>
    <w:rsid w:val="00CC5252"/>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CC5252"/>
    <w:rPr>
      <w:b/>
      <w:bCs/>
      <w:i/>
      <w:iCs/>
    </w:rPr>
  </w:style>
  <w:style w:type="character" w:styleId="SubtleEmphasis">
    <w:name w:val="Subtle Emphasis"/>
    <w:uiPriority w:val="19"/>
    <w:qFormat/>
    <w:rsid w:val="00CC5252"/>
    <w:rPr>
      <w:i/>
      <w:iCs/>
    </w:rPr>
  </w:style>
  <w:style w:type="character" w:styleId="IntenseEmphasis">
    <w:name w:val="Intense Emphasis"/>
    <w:uiPriority w:val="21"/>
    <w:qFormat/>
    <w:rsid w:val="00CC5252"/>
    <w:rPr>
      <w:b/>
      <w:bCs/>
    </w:rPr>
  </w:style>
  <w:style w:type="character" w:styleId="SubtleReference">
    <w:name w:val="Subtle Reference"/>
    <w:uiPriority w:val="31"/>
    <w:qFormat/>
    <w:rsid w:val="00CC5252"/>
    <w:rPr>
      <w:smallCaps/>
    </w:rPr>
  </w:style>
  <w:style w:type="character" w:styleId="IntenseReference">
    <w:name w:val="Intense Reference"/>
    <w:uiPriority w:val="32"/>
    <w:qFormat/>
    <w:rsid w:val="00CC5252"/>
    <w:rPr>
      <w:smallCaps/>
      <w:spacing w:val="5"/>
      <w:u w:val="single"/>
    </w:rPr>
  </w:style>
  <w:style w:type="character" w:styleId="BookTitle">
    <w:name w:val="Book Title"/>
    <w:uiPriority w:val="33"/>
    <w:qFormat/>
    <w:rsid w:val="00CC5252"/>
    <w:rPr>
      <w:i/>
      <w:iCs/>
      <w:smallCaps/>
      <w:spacing w:val="5"/>
    </w:rPr>
  </w:style>
  <w:style w:type="paragraph" w:styleId="NormalWeb">
    <w:name w:val="Normal (Web)"/>
    <w:basedOn w:val="Normal"/>
    <w:uiPriority w:val="99"/>
    <w:semiHidden/>
    <w:unhideWhenUsed/>
    <w:rsid w:val="009C4D7C"/>
    <w:pPr>
      <w:spacing w:before="100" w:beforeAutospacing="1" w:after="100" w:afterAutospacing="1" w:line="240" w:lineRule="auto"/>
    </w:pPr>
    <w:rPr>
      <w:rFonts w:ascii="Times New Roman" w:hAnsi="Times New Roman" w:cs="Times New Roman"/>
      <w:sz w:val="24"/>
      <w:szCs w:val="24"/>
      <w:lang w:eastAsia="ko-KR"/>
    </w:rPr>
  </w:style>
  <w:style w:type="paragraph" w:styleId="Revision">
    <w:name w:val="Revision"/>
    <w:hidden/>
    <w:uiPriority w:val="99"/>
    <w:semiHidden/>
    <w:rsid w:val="00381FC7"/>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5252"/>
  </w:style>
  <w:style w:type="paragraph" w:styleId="Heading1">
    <w:name w:val="heading 1"/>
    <w:basedOn w:val="Normal"/>
    <w:next w:val="Normal"/>
    <w:link w:val="Heading1Char"/>
    <w:uiPriority w:val="9"/>
    <w:qFormat/>
    <w:rsid w:val="001502FE"/>
    <w:pPr>
      <w:spacing w:before="480" w:after="0"/>
      <w:contextualSpacing/>
      <w:outlineLvl w:val="0"/>
    </w:pPr>
    <w:rPr>
      <w:rFonts w:eastAsiaTheme="majorEastAsia" w:cstheme="majorBidi"/>
      <w:b/>
      <w:bCs/>
      <w:color w:val="0070C0"/>
      <w:sz w:val="28"/>
      <w:szCs w:val="28"/>
    </w:rPr>
  </w:style>
  <w:style w:type="paragraph" w:styleId="Heading2">
    <w:name w:val="heading 2"/>
    <w:basedOn w:val="Normal"/>
    <w:next w:val="Normal"/>
    <w:link w:val="Heading2Char"/>
    <w:uiPriority w:val="9"/>
    <w:unhideWhenUsed/>
    <w:qFormat/>
    <w:rsid w:val="00CC5252"/>
    <w:pPr>
      <w:spacing w:before="200" w:after="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semiHidden/>
    <w:unhideWhenUsed/>
    <w:qFormat/>
    <w:rsid w:val="00CC5252"/>
    <w:pPr>
      <w:spacing w:before="200" w:after="0" w:line="271" w:lineRule="auto"/>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semiHidden/>
    <w:unhideWhenUsed/>
    <w:qFormat/>
    <w:rsid w:val="00CC5252"/>
    <w:pPr>
      <w:spacing w:before="200" w:after="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semiHidden/>
    <w:unhideWhenUsed/>
    <w:qFormat/>
    <w:rsid w:val="00CC5252"/>
    <w:pPr>
      <w:spacing w:before="200" w:after="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
    <w:semiHidden/>
    <w:unhideWhenUsed/>
    <w:qFormat/>
    <w:rsid w:val="00CC5252"/>
    <w:pPr>
      <w:spacing w:after="0"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semiHidden/>
    <w:unhideWhenUsed/>
    <w:qFormat/>
    <w:rsid w:val="00CC5252"/>
    <w:p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CC5252"/>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CC5252"/>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502FE"/>
    <w:rPr>
      <w:rFonts w:eastAsiaTheme="majorEastAsia" w:cstheme="majorBidi"/>
      <w:b/>
      <w:bCs/>
      <w:color w:val="0070C0"/>
      <w:sz w:val="28"/>
      <w:szCs w:val="28"/>
    </w:rPr>
  </w:style>
  <w:style w:type="character" w:customStyle="1" w:styleId="Heading2Char">
    <w:name w:val="Heading 2 Char"/>
    <w:basedOn w:val="DefaultParagraphFont"/>
    <w:link w:val="Heading2"/>
    <w:uiPriority w:val="9"/>
    <w:rsid w:val="00CC5252"/>
    <w:rPr>
      <w:rFonts w:asciiTheme="majorHAnsi" w:eastAsiaTheme="majorEastAsia" w:hAnsiTheme="majorHAnsi" w:cstheme="majorBidi"/>
      <w:b/>
      <w:bCs/>
      <w:sz w:val="26"/>
      <w:szCs w:val="26"/>
    </w:rPr>
  </w:style>
  <w:style w:type="character" w:customStyle="1" w:styleId="Heading3Char">
    <w:name w:val="Heading 3 Char"/>
    <w:basedOn w:val="DefaultParagraphFont"/>
    <w:link w:val="Heading3"/>
    <w:uiPriority w:val="9"/>
    <w:semiHidden/>
    <w:rsid w:val="00CC5252"/>
    <w:rPr>
      <w:rFonts w:asciiTheme="majorHAnsi" w:eastAsiaTheme="majorEastAsia" w:hAnsiTheme="majorHAnsi" w:cstheme="majorBidi"/>
      <w:b/>
      <w:bCs/>
    </w:rPr>
  </w:style>
  <w:style w:type="character" w:customStyle="1" w:styleId="Heading4Char">
    <w:name w:val="Heading 4 Char"/>
    <w:basedOn w:val="DefaultParagraphFont"/>
    <w:link w:val="Heading4"/>
    <w:uiPriority w:val="9"/>
    <w:semiHidden/>
    <w:rsid w:val="00CC5252"/>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
    <w:semiHidden/>
    <w:rsid w:val="00CC5252"/>
    <w:rPr>
      <w:rFonts w:asciiTheme="majorHAnsi" w:eastAsiaTheme="majorEastAsia" w:hAnsiTheme="majorHAnsi" w:cstheme="majorBidi"/>
      <w:b/>
      <w:bCs/>
      <w:color w:val="7F7F7F" w:themeColor="text1" w:themeTint="80"/>
    </w:rPr>
  </w:style>
  <w:style w:type="character" w:customStyle="1" w:styleId="Heading6Char">
    <w:name w:val="Heading 6 Char"/>
    <w:basedOn w:val="DefaultParagraphFont"/>
    <w:link w:val="Heading6"/>
    <w:uiPriority w:val="9"/>
    <w:semiHidden/>
    <w:rsid w:val="00CC5252"/>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semiHidden/>
    <w:rsid w:val="00CC5252"/>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CC5252"/>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CC5252"/>
    <w:rPr>
      <w:rFonts w:asciiTheme="majorHAnsi" w:eastAsiaTheme="majorEastAsia" w:hAnsiTheme="majorHAnsi" w:cstheme="majorBidi"/>
      <w:i/>
      <w:iCs/>
      <w:spacing w:val="5"/>
      <w:sz w:val="20"/>
      <w:szCs w:val="20"/>
    </w:rPr>
  </w:style>
  <w:style w:type="paragraph" w:styleId="BalloonText">
    <w:name w:val="Balloon Text"/>
    <w:basedOn w:val="Normal"/>
    <w:link w:val="BalloonTextChar"/>
    <w:uiPriority w:val="99"/>
    <w:semiHidden/>
    <w:unhideWhenUsed/>
    <w:rsid w:val="0035040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5040E"/>
    <w:rPr>
      <w:rFonts w:ascii="Tahoma" w:hAnsi="Tahoma" w:cs="Tahoma"/>
      <w:sz w:val="16"/>
      <w:szCs w:val="16"/>
    </w:rPr>
  </w:style>
  <w:style w:type="paragraph" w:styleId="ListParagraph">
    <w:name w:val="List Paragraph"/>
    <w:basedOn w:val="Normal"/>
    <w:link w:val="ListParagraphChar"/>
    <w:uiPriority w:val="34"/>
    <w:qFormat/>
    <w:rsid w:val="00CC5252"/>
    <w:pPr>
      <w:ind w:left="720"/>
      <w:contextualSpacing/>
    </w:pPr>
  </w:style>
  <w:style w:type="character" w:customStyle="1" w:styleId="ListParagraphChar">
    <w:name w:val="List Paragraph Char"/>
    <w:basedOn w:val="DefaultParagraphFont"/>
    <w:link w:val="ListParagraph"/>
    <w:uiPriority w:val="34"/>
    <w:locked/>
    <w:rsid w:val="0081428C"/>
  </w:style>
  <w:style w:type="paragraph" w:styleId="TOCHeading">
    <w:name w:val="TOC Heading"/>
    <w:basedOn w:val="Heading1"/>
    <w:next w:val="Normal"/>
    <w:uiPriority w:val="39"/>
    <w:unhideWhenUsed/>
    <w:qFormat/>
    <w:rsid w:val="00CC5252"/>
    <w:pPr>
      <w:outlineLvl w:val="9"/>
    </w:pPr>
    <w:rPr>
      <w:lang w:bidi="en-US"/>
    </w:rPr>
  </w:style>
  <w:style w:type="paragraph" w:styleId="TOC1">
    <w:name w:val="toc 1"/>
    <w:basedOn w:val="Normal"/>
    <w:next w:val="Normal"/>
    <w:autoRedefine/>
    <w:uiPriority w:val="39"/>
    <w:unhideWhenUsed/>
    <w:rsid w:val="00752497"/>
    <w:pPr>
      <w:tabs>
        <w:tab w:val="right" w:leader="dot" w:pos="9350"/>
      </w:tabs>
      <w:spacing w:after="100"/>
    </w:pPr>
    <w:rPr>
      <w:sz w:val="20"/>
    </w:rPr>
  </w:style>
  <w:style w:type="character" w:styleId="Hyperlink">
    <w:name w:val="Hyperlink"/>
    <w:basedOn w:val="DefaultParagraphFont"/>
    <w:uiPriority w:val="99"/>
    <w:unhideWhenUsed/>
    <w:rsid w:val="001D77E9"/>
    <w:rPr>
      <w:color w:val="0000FF" w:themeColor="hyperlink"/>
      <w:u w:val="single"/>
    </w:rPr>
  </w:style>
  <w:style w:type="table" w:styleId="TableGrid">
    <w:name w:val="Table Grid"/>
    <w:basedOn w:val="TableNormal"/>
    <w:uiPriority w:val="59"/>
    <w:rsid w:val="001D77E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basedOn w:val="Normal"/>
    <w:link w:val="NoSpacingChar"/>
    <w:uiPriority w:val="1"/>
    <w:qFormat/>
    <w:rsid w:val="00CC5252"/>
    <w:pPr>
      <w:spacing w:after="0" w:line="240" w:lineRule="auto"/>
    </w:pPr>
  </w:style>
  <w:style w:type="character" w:customStyle="1" w:styleId="NoSpacingChar">
    <w:name w:val="No Spacing Char"/>
    <w:basedOn w:val="DefaultParagraphFont"/>
    <w:link w:val="NoSpacing"/>
    <w:uiPriority w:val="1"/>
    <w:rsid w:val="001D77E9"/>
  </w:style>
  <w:style w:type="paragraph" w:styleId="Header">
    <w:name w:val="header"/>
    <w:basedOn w:val="Normal"/>
    <w:link w:val="HeaderChar"/>
    <w:uiPriority w:val="99"/>
    <w:unhideWhenUsed/>
    <w:rsid w:val="0004706B"/>
    <w:pPr>
      <w:tabs>
        <w:tab w:val="center" w:pos="4680"/>
        <w:tab w:val="right" w:pos="9360"/>
      </w:tabs>
      <w:spacing w:after="0" w:line="240" w:lineRule="auto"/>
    </w:pPr>
  </w:style>
  <w:style w:type="character" w:customStyle="1" w:styleId="HeaderChar">
    <w:name w:val="Header Char"/>
    <w:basedOn w:val="DefaultParagraphFont"/>
    <w:link w:val="Header"/>
    <w:uiPriority w:val="99"/>
    <w:rsid w:val="0004706B"/>
  </w:style>
  <w:style w:type="paragraph" w:styleId="Footer">
    <w:name w:val="footer"/>
    <w:basedOn w:val="Normal"/>
    <w:link w:val="FooterChar"/>
    <w:uiPriority w:val="99"/>
    <w:unhideWhenUsed/>
    <w:rsid w:val="0004706B"/>
    <w:pPr>
      <w:tabs>
        <w:tab w:val="center" w:pos="4680"/>
        <w:tab w:val="right" w:pos="9360"/>
      </w:tabs>
      <w:spacing w:after="0" w:line="240" w:lineRule="auto"/>
    </w:pPr>
  </w:style>
  <w:style w:type="character" w:customStyle="1" w:styleId="FooterChar">
    <w:name w:val="Footer Char"/>
    <w:basedOn w:val="DefaultParagraphFont"/>
    <w:link w:val="Footer"/>
    <w:uiPriority w:val="99"/>
    <w:rsid w:val="0004706B"/>
  </w:style>
  <w:style w:type="character" w:styleId="CommentReference">
    <w:name w:val="annotation reference"/>
    <w:basedOn w:val="DefaultParagraphFont"/>
    <w:uiPriority w:val="99"/>
    <w:unhideWhenUsed/>
    <w:rsid w:val="0081428C"/>
    <w:rPr>
      <w:sz w:val="16"/>
      <w:szCs w:val="16"/>
    </w:rPr>
  </w:style>
  <w:style w:type="paragraph" w:styleId="CommentText">
    <w:name w:val="annotation text"/>
    <w:basedOn w:val="Normal"/>
    <w:link w:val="CommentTextChar"/>
    <w:uiPriority w:val="99"/>
    <w:unhideWhenUsed/>
    <w:rsid w:val="0081428C"/>
    <w:pPr>
      <w:spacing w:line="240" w:lineRule="auto"/>
    </w:pPr>
    <w:rPr>
      <w:sz w:val="20"/>
      <w:szCs w:val="20"/>
    </w:rPr>
  </w:style>
  <w:style w:type="character" w:customStyle="1" w:styleId="CommentTextChar">
    <w:name w:val="Comment Text Char"/>
    <w:basedOn w:val="DefaultParagraphFont"/>
    <w:link w:val="CommentText"/>
    <w:uiPriority w:val="99"/>
    <w:rsid w:val="0081428C"/>
    <w:rPr>
      <w:sz w:val="20"/>
      <w:szCs w:val="20"/>
    </w:rPr>
  </w:style>
  <w:style w:type="paragraph" w:styleId="Caption">
    <w:name w:val="caption"/>
    <w:aliases w:val="quarterly chart caption,quarterly chart caption Char Char,Caption Char Char Char,Caption1 Char,Caption1,Table title,Figure Head,Figure Head Znak Znak,Figure Head Znak"/>
    <w:basedOn w:val="Normal"/>
    <w:next w:val="Normal"/>
    <w:link w:val="CaptionChar"/>
    <w:unhideWhenUsed/>
    <w:qFormat/>
    <w:rsid w:val="0081428C"/>
    <w:pPr>
      <w:spacing w:line="240" w:lineRule="auto"/>
    </w:pPr>
    <w:rPr>
      <w:b/>
      <w:bCs/>
      <w:color w:val="4F81BD" w:themeColor="accent1"/>
      <w:sz w:val="18"/>
      <w:szCs w:val="18"/>
    </w:rPr>
  </w:style>
  <w:style w:type="character" w:customStyle="1" w:styleId="CaptionChar">
    <w:name w:val="Caption Char"/>
    <w:aliases w:val="quarterly chart caption Char,quarterly chart caption Char Char Char,Caption Char Char Char Char,Caption1 Char Char,Caption1 Char1,Table title Char,Figure Head Char,Figure Head Znak Znak Char,Figure Head Znak Char"/>
    <w:basedOn w:val="DefaultParagraphFont"/>
    <w:link w:val="Caption"/>
    <w:locked/>
    <w:rsid w:val="00445689"/>
    <w:rPr>
      <w:b/>
      <w:bCs/>
      <w:color w:val="4F81BD" w:themeColor="accent1"/>
      <w:sz w:val="18"/>
      <w:szCs w:val="18"/>
    </w:rPr>
  </w:style>
  <w:style w:type="paragraph" w:customStyle="1" w:styleId="Default">
    <w:name w:val="Default"/>
    <w:uiPriority w:val="99"/>
    <w:rsid w:val="00FD7A97"/>
    <w:pPr>
      <w:autoSpaceDE w:val="0"/>
      <w:autoSpaceDN w:val="0"/>
      <w:adjustRightInd w:val="0"/>
      <w:spacing w:after="0" w:line="240" w:lineRule="auto"/>
    </w:pPr>
    <w:rPr>
      <w:rFonts w:ascii="Calibri" w:hAnsi="Calibri" w:cs="Calibri"/>
      <w:color w:val="000000"/>
      <w:sz w:val="24"/>
      <w:szCs w:val="24"/>
    </w:rPr>
  </w:style>
  <w:style w:type="paragraph" w:styleId="FootnoteText">
    <w:name w:val="footnote text"/>
    <w:aliases w:val="fn,single space,FOOTNOTES,Char,footnote text,footn,footn Char Char,footn Char Char Char Char,Geneva 9,Font: Geneva 9,Boston 10,f,ft, Char,ft Char Char Char,Footnote Text Char Char,ADB,ADB Char,fn Char Char Char,fn Char Char,ft2"/>
    <w:basedOn w:val="Normal"/>
    <w:link w:val="FootnoteTextChar"/>
    <w:uiPriority w:val="99"/>
    <w:unhideWhenUsed/>
    <w:rsid w:val="00FD7A97"/>
    <w:pPr>
      <w:spacing w:after="0" w:line="240" w:lineRule="auto"/>
    </w:pPr>
    <w:rPr>
      <w:sz w:val="20"/>
      <w:szCs w:val="20"/>
    </w:rPr>
  </w:style>
  <w:style w:type="character" w:customStyle="1" w:styleId="FootnoteTextChar">
    <w:name w:val="Footnote Text Char"/>
    <w:aliases w:val="fn Char,single space Char,FOOTNOTES Char,Char Char,footnote text Char,footn Char,footn Char Char Char,footn Char Char Char Char Char,Geneva 9 Char,Font: Geneva 9 Char,Boston 10 Char,f Char,ft Char, Char Char,ft Char Char Char Char"/>
    <w:basedOn w:val="DefaultParagraphFont"/>
    <w:link w:val="FootnoteText"/>
    <w:uiPriority w:val="99"/>
    <w:rsid w:val="00FD7A97"/>
    <w:rPr>
      <w:rFonts w:eastAsiaTheme="minorEastAsia"/>
      <w:sz w:val="20"/>
      <w:szCs w:val="20"/>
    </w:rPr>
  </w:style>
  <w:style w:type="character" w:styleId="FootnoteReference">
    <w:name w:val="footnote reference"/>
    <w:aliases w:val="ftref,16 Point,Superscript 6 Point,Fußnotenzeichen DISS,fr,BVI fnr,(NECG) Footnote Reference,footnote ref,Char Char Char Char Car Char"/>
    <w:basedOn w:val="DefaultParagraphFont"/>
    <w:uiPriority w:val="99"/>
    <w:unhideWhenUsed/>
    <w:rsid w:val="00FD7A97"/>
    <w:rPr>
      <w:vertAlign w:val="superscript"/>
    </w:rPr>
  </w:style>
  <w:style w:type="paragraph" w:styleId="CommentSubject">
    <w:name w:val="annotation subject"/>
    <w:basedOn w:val="CommentText"/>
    <w:next w:val="CommentText"/>
    <w:link w:val="CommentSubjectChar"/>
    <w:uiPriority w:val="99"/>
    <w:semiHidden/>
    <w:unhideWhenUsed/>
    <w:rsid w:val="009F6FA1"/>
    <w:rPr>
      <w:b/>
      <w:bCs/>
    </w:rPr>
  </w:style>
  <w:style w:type="character" w:customStyle="1" w:styleId="CommentSubjectChar">
    <w:name w:val="Comment Subject Char"/>
    <w:basedOn w:val="CommentTextChar"/>
    <w:link w:val="CommentSubject"/>
    <w:uiPriority w:val="99"/>
    <w:semiHidden/>
    <w:rsid w:val="009F6FA1"/>
    <w:rPr>
      <w:b/>
      <w:bCs/>
      <w:sz w:val="20"/>
      <w:szCs w:val="20"/>
    </w:rPr>
  </w:style>
  <w:style w:type="paragraph" w:styleId="TOC2">
    <w:name w:val="toc 2"/>
    <w:basedOn w:val="Normal"/>
    <w:next w:val="Normal"/>
    <w:autoRedefine/>
    <w:uiPriority w:val="39"/>
    <w:unhideWhenUsed/>
    <w:rsid w:val="00B4383E"/>
    <w:pPr>
      <w:spacing w:after="100"/>
      <w:ind w:left="220"/>
    </w:pPr>
  </w:style>
  <w:style w:type="table" w:styleId="LightShading-Accent6">
    <w:name w:val="Light Shading Accent 6"/>
    <w:basedOn w:val="TableNormal"/>
    <w:uiPriority w:val="60"/>
    <w:rsid w:val="00C260A2"/>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Accent2">
    <w:name w:val="Light List Accent 2"/>
    <w:basedOn w:val="TableNormal"/>
    <w:uiPriority w:val="61"/>
    <w:rsid w:val="0019122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customStyle="1" w:styleId="ParagraphNumbering">
    <w:name w:val="Paragraph Numbering"/>
    <w:basedOn w:val="Normal"/>
    <w:uiPriority w:val="99"/>
    <w:rsid w:val="00445689"/>
    <w:pPr>
      <w:numPr>
        <w:numId w:val="2"/>
      </w:numPr>
      <w:spacing w:after="0" w:line="240" w:lineRule="auto"/>
    </w:pPr>
    <w:rPr>
      <w:rFonts w:ascii="Times New Roman" w:eastAsia="Times New Roman" w:hAnsi="Times New Roman" w:cs="Times New Roman"/>
      <w:sz w:val="24"/>
      <w:szCs w:val="24"/>
    </w:rPr>
  </w:style>
  <w:style w:type="paragraph" w:styleId="TableofFigures">
    <w:name w:val="table of figures"/>
    <w:basedOn w:val="Normal"/>
    <w:next w:val="Normal"/>
    <w:uiPriority w:val="99"/>
    <w:unhideWhenUsed/>
    <w:rsid w:val="00F36A78"/>
    <w:pPr>
      <w:spacing w:after="0"/>
    </w:pPr>
  </w:style>
  <w:style w:type="paragraph" w:styleId="Index1">
    <w:name w:val="index 1"/>
    <w:basedOn w:val="Normal"/>
    <w:next w:val="Normal"/>
    <w:autoRedefine/>
    <w:uiPriority w:val="99"/>
    <w:semiHidden/>
    <w:unhideWhenUsed/>
    <w:rsid w:val="009260FC"/>
    <w:pPr>
      <w:spacing w:after="0" w:line="240" w:lineRule="auto"/>
      <w:ind w:left="220" w:hanging="220"/>
    </w:pPr>
  </w:style>
  <w:style w:type="paragraph" w:styleId="Title">
    <w:name w:val="Title"/>
    <w:basedOn w:val="Normal"/>
    <w:next w:val="Normal"/>
    <w:link w:val="TitleChar"/>
    <w:uiPriority w:val="10"/>
    <w:qFormat/>
    <w:rsid w:val="00CC5252"/>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TitleChar">
    <w:name w:val="Title Char"/>
    <w:basedOn w:val="DefaultParagraphFont"/>
    <w:link w:val="Title"/>
    <w:uiPriority w:val="10"/>
    <w:rsid w:val="00CC5252"/>
    <w:rPr>
      <w:rFonts w:asciiTheme="majorHAnsi" w:eastAsiaTheme="majorEastAsia" w:hAnsiTheme="majorHAnsi" w:cstheme="majorBidi"/>
      <w:spacing w:val="5"/>
      <w:sz w:val="52"/>
      <w:szCs w:val="52"/>
    </w:rPr>
  </w:style>
  <w:style w:type="paragraph" w:styleId="Subtitle">
    <w:name w:val="Subtitle"/>
    <w:basedOn w:val="Normal"/>
    <w:next w:val="Normal"/>
    <w:link w:val="SubtitleChar"/>
    <w:uiPriority w:val="11"/>
    <w:qFormat/>
    <w:rsid w:val="00CC5252"/>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CC5252"/>
    <w:rPr>
      <w:rFonts w:asciiTheme="majorHAnsi" w:eastAsiaTheme="majorEastAsia" w:hAnsiTheme="majorHAnsi" w:cstheme="majorBidi"/>
      <w:i/>
      <w:iCs/>
      <w:spacing w:val="13"/>
      <w:sz w:val="24"/>
      <w:szCs w:val="24"/>
    </w:rPr>
  </w:style>
  <w:style w:type="character" w:styleId="Strong">
    <w:name w:val="Strong"/>
    <w:uiPriority w:val="22"/>
    <w:qFormat/>
    <w:rsid w:val="00CC5252"/>
    <w:rPr>
      <w:b/>
      <w:bCs/>
    </w:rPr>
  </w:style>
  <w:style w:type="character" w:styleId="Emphasis">
    <w:name w:val="Emphasis"/>
    <w:uiPriority w:val="20"/>
    <w:qFormat/>
    <w:rsid w:val="00CC5252"/>
    <w:rPr>
      <w:b/>
      <w:bCs/>
      <w:i/>
      <w:iCs/>
      <w:spacing w:val="10"/>
      <w:bdr w:val="none" w:sz="0" w:space="0" w:color="auto"/>
      <w:shd w:val="clear" w:color="auto" w:fill="auto"/>
    </w:rPr>
  </w:style>
  <w:style w:type="paragraph" w:styleId="Quote">
    <w:name w:val="Quote"/>
    <w:basedOn w:val="Normal"/>
    <w:next w:val="Normal"/>
    <w:link w:val="QuoteChar"/>
    <w:uiPriority w:val="29"/>
    <w:qFormat/>
    <w:rsid w:val="00CC5252"/>
    <w:pPr>
      <w:spacing w:before="200" w:after="0"/>
      <w:ind w:left="360" w:right="360"/>
    </w:pPr>
    <w:rPr>
      <w:i/>
      <w:iCs/>
    </w:rPr>
  </w:style>
  <w:style w:type="character" w:customStyle="1" w:styleId="QuoteChar">
    <w:name w:val="Quote Char"/>
    <w:basedOn w:val="DefaultParagraphFont"/>
    <w:link w:val="Quote"/>
    <w:uiPriority w:val="29"/>
    <w:rsid w:val="00CC5252"/>
    <w:rPr>
      <w:i/>
      <w:iCs/>
    </w:rPr>
  </w:style>
  <w:style w:type="paragraph" w:styleId="IntenseQuote">
    <w:name w:val="Intense Quote"/>
    <w:basedOn w:val="Normal"/>
    <w:next w:val="Normal"/>
    <w:link w:val="IntenseQuoteChar"/>
    <w:uiPriority w:val="30"/>
    <w:qFormat/>
    <w:rsid w:val="00CC5252"/>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CC5252"/>
    <w:rPr>
      <w:b/>
      <w:bCs/>
      <w:i/>
      <w:iCs/>
    </w:rPr>
  </w:style>
  <w:style w:type="character" w:styleId="SubtleEmphasis">
    <w:name w:val="Subtle Emphasis"/>
    <w:uiPriority w:val="19"/>
    <w:qFormat/>
    <w:rsid w:val="00CC5252"/>
    <w:rPr>
      <w:i/>
      <w:iCs/>
    </w:rPr>
  </w:style>
  <w:style w:type="character" w:styleId="IntenseEmphasis">
    <w:name w:val="Intense Emphasis"/>
    <w:uiPriority w:val="21"/>
    <w:qFormat/>
    <w:rsid w:val="00CC5252"/>
    <w:rPr>
      <w:b/>
      <w:bCs/>
    </w:rPr>
  </w:style>
  <w:style w:type="character" w:styleId="SubtleReference">
    <w:name w:val="Subtle Reference"/>
    <w:uiPriority w:val="31"/>
    <w:qFormat/>
    <w:rsid w:val="00CC5252"/>
    <w:rPr>
      <w:smallCaps/>
    </w:rPr>
  </w:style>
  <w:style w:type="character" w:styleId="IntenseReference">
    <w:name w:val="Intense Reference"/>
    <w:uiPriority w:val="32"/>
    <w:qFormat/>
    <w:rsid w:val="00CC5252"/>
    <w:rPr>
      <w:smallCaps/>
      <w:spacing w:val="5"/>
      <w:u w:val="single"/>
    </w:rPr>
  </w:style>
  <w:style w:type="character" w:styleId="BookTitle">
    <w:name w:val="Book Title"/>
    <w:uiPriority w:val="33"/>
    <w:qFormat/>
    <w:rsid w:val="00CC5252"/>
    <w:rPr>
      <w:i/>
      <w:iCs/>
      <w:smallCaps/>
      <w:spacing w:val="5"/>
    </w:rPr>
  </w:style>
  <w:style w:type="paragraph" w:styleId="NormalWeb">
    <w:name w:val="Normal (Web)"/>
    <w:basedOn w:val="Normal"/>
    <w:uiPriority w:val="99"/>
    <w:semiHidden/>
    <w:unhideWhenUsed/>
    <w:rsid w:val="009C4D7C"/>
    <w:pPr>
      <w:spacing w:before="100" w:beforeAutospacing="1" w:after="100" w:afterAutospacing="1" w:line="240" w:lineRule="auto"/>
    </w:pPr>
    <w:rPr>
      <w:rFonts w:ascii="Times New Roman" w:hAnsi="Times New Roman" w:cs="Times New Roman"/>
      <w:sz w:val="24"/>
      <w:szCs w:val="24"/>
      <w:lang w:eastAsia="ko-KR"/>
    </w:rPr>
  </w:style>
  <w:style w:type="paragraph" w:styleId="Revision">
    <w:name w:val="Revision"/>
    <w:hidden/>
    <w:uiPriority w:val="99"/>
    <w:semiHidden/>
    <w:rsid w:val="00381FC7"/>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7973106">
      <w:bodyDiv w:val="1"/>
      <w:marLeft w:val="0"/>
      <w:marRight w:val="0"/>
      <w:marTop w:val="0"/>
      <w:marBottom w:val="0"/>
      <w:divBdr>
        <w:top w:val="none" w:sz="0" w:space="0" w:color="auto"/>
        <w:left w:val="none" w:sz="0" w:space="0" w:color="auto"/>
        <w:bottom w:val="none" w:sz="0" w:space="0" w:color="auto"/>
        <w:right w:val="none" w:sz="0" w:space="0" w:color="auto"/>
      </w:divBdr>
    </w:div>
    <w:div w:id="531112421">
      <w:bodyDiv w:val="1"/>
      <w:marLeft w:val="0"/>
      <w:marRight w:val="0"/>
      <w:marTop w:val="0"/>
      <w:marBottom w:val="0"/>
      <w:divBdr>
        <w:top w:val="none" w:sz="0" w:space="0" w:color="auto"/>
        <w:left w:val="none" w:sz="0" w:space="0" w:color="auto"/>
        <w:bottom w:val="none" w:sz="0" w:space="0" w:color="auto"/>
        <w:right w:val="none" w:sz="0" w:space="0" w:color="auto"/>
      </w:divBdr>
    </w:div>
    <w:div w:id="1255474939">
      <w:bodyDiv w:val="1"/>
      <w:marLeft w:val="0"/>
      <w:marRight w:val="0"/>
      <w:marTop w:val="0"/>
      <w:marBottom w:val="0"/>
      <w:divBdr>
        <w:top w:val="none" w:sz="0" w:space="0" w:color="auto"/>
        <w:left w:val="none" w:sz="0" w:space="0" w:color="auto"/>
        <w:bottom w:val="none" w:sz="0" w:space="0" w:color="auto"/>
        <w:right w:val="none" w:sz="0" w:space="0" w:color="auto"/>
      </w:divBdr>
    </w:div>
    <w:div w:id="1268927386">
      <w:bodyDiv w:val="1"/>
      <w:marLeft w:val="0"/>
      <w:marRight w:val="0"/>
      <w:marTop w:val="0"/>
      <w:marBottom w:val="0"/>
      <w:divBdr>
        <w:top w:val="none" w:sz="0" w:space="0" w:color="auto"/>
        <w:left w:val="none" w:sz="0" w:space="0" w:color="auto"/>
        <w:bottom w:val="none" w:sz="0" w:space="0" w:color="auto"/>
        <w:right w:val="none" w:sz="0" w:space="0" w:color="auto"/>
      </w:divBdr>
      <w:divsChild>
        <w:div w:id="735934862">
          <w:marLeft w:val="0"/>
          <w:marRight w:val="0"/>
          <w:marTop w:val="0"/>
          <w:marBottom w:val="0"/>
          <w:divBdr>
            <w:top w:val="none" w:sz="0" w:space="0" w:color="auto"/>
            <w:left w:val="none" w:sz="0" w:space="0" w:color="auto"/>
            <w:bottom w:val="none" w:sz="0" w:space="0" w:color="auto"/>
            <w:right w:val="none" w:sz="0" w:space="0" w:color="auto"/>
          </w:divBdr>
        </w:div>
        <w:div w:id="1211575935">
          <w:marLeft w:val="0"/>
          <w:marRight w:val="0"/>
          <w:marTop w:val="0"/>
          <w:marBottom w:val="0"/>
          <w:divBdr>
            <w:top w:val="none" w:sz="0" w:space="0" w:color="auto"/>
            <w:left w:val="none" w:sz="0" w:space="0" w:color="auto"/>
            <w:bottom w:val="none" w:sz="0" w:space="0" w:color="auto"/>
            <w:right w:val="none" w:sz="0" w:space="0" w:color="auto"/>
          </w:divBdr>
        </w:div>
        <w:div w:id="1574051414">
          <w:marLeft w:val="0"/>
          <w:marRight w:val="0"/>
          <w:marTop w:val="0"/>
          <w:marBottom w:val="0"/>
          <w:divBdr>
            <w:top w:val="none" w:sz="0" w:space="0" w:color="auto"/>
            <w:left w:val="none" w:sz="0" w:space="0" w:color="auto"/>
            <w:bottom w:val="none" w:sz="0" w:space="0" w:color="auto"/>
            <w:right w:val="none" w:sz="0" w:space="0" w:color="auto"/>
          </w:divBdr>
        </w:div>
      </w:divsChild>
    </w:div>
    <w:div w:id="1281448813">
      <w:bodyDiv w:val="1"/>
      <w:marLeft w:val="0"/>
      <w:marRight w:val="0"/>
      <w:marTop w:val="0"/>
      <w:marBottom w:val="0"/>
      <w:divBdr>
        <w:top w:val="none" w:sz="0" w:space="0" w:color="auto"/>
        <w:left w:val="none" w:sz="0" w:space="0" w:color="auto"/>
        <w:bottom w:val="none" w:sz="0" w:space="0" w:color="auto"/>
        <w:right w:val="none" w:sz="0" w:space="0" w:color="auto"/>
      </w:divBdr>
    </w:div>
    <w:div w:id="1378429243">
      <w:bodyDiv w:val="1"/>
      <w:marLeft w:val="0"/>
      <w:marRight w:val="0"/>
      <w:marTop w:val="0"/>
      <w:marBottom w:val="0"/>
      <w:divBdr>
        <w:top w:val="none" w:sz="0" w:space="0" w:color="auto"/>
        <w:left w:val="none" w:sz="0" w:space="0" w:color="auto"/>
        <w:bottom w:val="none" w:sz="0" w:space="0" w:color="auto"/>
        <w:right w:val="none" w:sz="0" w:space="0" w:color="auto"/>
      </w:divBdr>
    </w:div>
    <w:div w:id="17132639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chart" Target="charts/chart2.xml"/><Relationship Id="rId26" Type="http://schemas.openxmlformats.org/officeDocument/2006/relationships/chart" Target="charts/chart10.xml"/><Relationship Id="rId39" Type="http://schemas.openxmlformats.org/officeDocument/2006/relationships/chart" Target="charts/chart23.xml"/><Relationship Id="rId117" Type="http://schemas.microsoft.com/office/2011/relationships/commentsExtended" Target="commentsExtended.xml"/><Relationship Id="rId21" Type="http://schemas.openxmlformats.org/officeDocument/2006/relationships/chart" Target="charts/chart5.xml"/><Relationship Id="rId34" Type="http://schemas.openxmlformats.org/officeDocument/2006/relationships/chart" Target="charts/chart18.xml"/><Relationship Id="rId42" Type="http://schemas.openxmlformats.org/officeDocument/2006/relationships/chart" Target="charts/chart26.xml"/><Relationship Id="rId47" Type="http://schemas.openxmlformats.org/officeDocument/2006/relationships/chart" Target="charts/chart31.xml"/><Relationship Id="rId50" Type="http://schemas.openxmlformats.org/officeDocument/2006/relationships/chart" Target="charts/chart34.xml"/><Relationship Id="rId55" Type="http://schemas.openxmlformats.org/officeDocument/2006/relationships/chart" Target="charts/chart39.xml"/><Relationship Id="rId63" Type="http://schemas.openxmlformats.org/officeDocument/2006/relationships/chart" Target="charts/chart47.xml"/><Relationship Id="rId68" Type="http://schemas.openxmlformats.org/officeDocument/2006/relationships/chart" Target="charts/chart51.xml"/><Relationship Id="rId76" Type="http://schemas.openxmlformats.org/officeDocument/2006/relationships/theme" Target="theme/theme1.xml"/><Relationship Id="rId7" Type="http://schemas.openxmlformats.org/officeDocument/2006/relationships/webSettings" Target="webSettings.xml"/><Relationship Id="rId71" Type="http://schemas.openxmlformats.org/officeDocument/2006/relationships/chart" Target="charts/chart54.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chart" Target="charts/chart13.xml"/><Relationship Id="rId11" Type="http://schemas.openxmlformats.org/officeDocument/2006/relationships/hyperlink" Target="http://www.worldbank.org.mn" TargetMode="External"/><Relationship Id="rId24" Type="http://schemas.openxmlformats.org/officeDocument/2006/relationships/chart" Target="charts/chart8.xml"/><Relationship Id="rId32" Type="http://schemas.openxmlformats.org/officeDocument/2006/relationships/chart" Target="charts/chart16.xml"/><Relationship Id="rId37" Type="http://schemas.openxmlformats.org/officeDocument/2006/relationships/chart" Target="charts/chart21.xml"/><Relationship Id="rId40" Type="http://schemas.openxmlformats.org/officeDocument/2006/relationships/chart" Target="charts/chart24.xml"/><Relationship Id="rId45" Type="http://schemas.openxmlformats.org/officeDocument/2006/relationships/chart" Target="charts/chart29.xml"/><Relationship Id="rId53" Type="http://schemas.openxmlformats.org/officeDocument/2006/relationships/chart" Target="charts/chart37.xml"/><Relationship Id="rId58" Type="http://schemas.openxmlformats.org/officeDocument/2006/relationships/chart" Target="charts/chart42.xml"/><Relationship Id="rId66" Type="http://schemas.openxmlformats.org/officeDocument/2006/relationships/chart" Target="charts/chart50.xml"/><Relationship Id="rId74" Type="http://schemas.openxmlformats.org/officeDocument/2006/relationships/footer" Target="footer3.xml"/><Relationship Id="rId5" Type="http://schemas.microsoft.com/office/2007/relationships/stylesWithEffects" Target="stylesWithEffects.xml"/><Relationship Id="rId15" Type="http://schemas.openxmlformats.org/officeDocument/2006/relationships/header" Target="header2.xml"/><Relationship Id="rId23" Type="http://schemas.openxmlformats.org/officeDocument/2006/relationships/chart" Target="charts/chart7.xml"/><Relationship Id="rId28" Type="http://schemas.openxmlformats.org/officeDocument/2006/relationships/chart" Target="charts/chart12.xml"/><Relationship Id="rId36" Type="http://schemas.openxmlformats.org/officeDocument/2006/relationships/chart" Target="charts/chart20.xml"/><Relationship Id="rId49" Type="http://schemas.openxmlformats.org/officeDocument/2006/relationships/chart" Target="charts/chart33.xml"/><Relationship Id="rId57" Type="http://schemas.openxmlformats.org/officeDocument/2006/relationships/chart" Target="charts/chart41.xml"/><Relationship Id="rId61" Type="http://schemas.openxmlformats.org/officeDocument/2006/relationships/chart" Target="charts/chart45.xml"/><Relationship Id="rId10" Type="http://schemas.openxmlformats.org/officeDocument/2006/relationships/image" Target="media/image1.png"/><Relationship Id="rId19" Type="http://schemas.openxmlformats.org/officeDocument/2006/relationships/chart" Target="charts/chart3.xml"/><Relationship Id="rId31" Type="http://schemas.openxmlformats.org/officeDocument/2006/relationships/chart" Target="charts/chart15.xml"/><Relationship Id="rId44" Type="http://schemas.openxmlformats.org/officeDocument/2006/relationships/chart" Target="charts/chart28.xml"/><Relationship Id="rId52" Type="http://schemas.openxmlformats.org/officeDocument/2006/relationships/chart" Target="charts/chart36.xml"/><Relationship Id="rId60" Type="http://schemas.openxmlformats.org/officeDocument/2006/relationships/chart" Target="charts/chart44.xml"/><Relationship Id="rId65" Type="http://schemas.openxmlformats.org/officeDocument/2006/relationships/chart" Target="charts/chart49.xml"/><Relationship Id="rId73" Type="http://schemas.openxmlformats.org/officeDocument/2006/relationships/chart" Target="charts/chart56.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footer" Target="footer1.xml"/><Relationship Id="rId22" Type="http://schemas.openxmlformats.org/officeDocument/2006/relationships/chart" Target="charts/chart6.xml"/><Relationship Id="rId27" Type="http://schemas.openxmlformats.org/officeDocument/2006/relationships/chart" Target="charts/chart11.xml"/><Relationship Id="rId30" Type="http://schemas.openxmlformats.org/officeDocument/2006/relationships/chart" Target="charts/chart14.xml"/><Relationship Id="rId35" Type="http://schemas.openxmlformats.org/officeDocument/2006/relationships/chart" Target="charts/chart19.xml"/><Relationship Id="rId43" Type="http://schemas.openxmlformats.org/officeDocument/2006/relationships/chart" Target="charts/chart27.xml"/><Relationship Id="rId48" Type="http://schemas.openxmlformats.org/officeDocument/2006/relationships/chart" Target="charts/chart32.xml"/><Relationship Id="rId56" Type="http://schemas.openxmlformats.org/officeDocument/2006/relationships/chart" Target="charts/chart40.xml"/><Relationship Id="rId64" Type="http://schemas.openxmlformats.org/officeDocument/2006/relationships/chart" Target="charts/chart48.xml"/><Relationship Id="rId69" Type="http://schemas.openxmlformats.org/officeDocument/2006/relationships/chart" Target="charts/chart52.xml"/><Relationship Id="rId118" Type="http://schemas.microsoft.com/office/2011/relationships/people" Target="people.xml"/><Relationship Id="rId8" Type="http://schemas.openxmlformats.org/officeDocument/2006/relationships/footnotes" Target="footnotes.xml"/><Relationship Id="rId51" Type="http://schemas.openxmlformats.org/officeDocument/2006/relationships/chart" Target="charts/chart35.xml"/><Relationship Id="rId72" Type="http://schemas.openxmlformats.org/officeDocument/2006/relationships/chart" Target="charts/chart55.xml"/><Relationship Id="rId3" Type="http://schemas.openxmlformats.org/officeDocument/2006/relationships/numbering" Target="numbering.xml"/><Relationship Id="rId12" Type="http://schemas.openxmlformats.org/officeDocument/2006/relationships/hyperlink" Target="mailto:tpuntsag@worldbank.org" TargetMode="External"/><Relationship Id="rId17" Type="http://schemas.openxmlformats.org/officeDocument/2006/relationships/chart" Target="charts/chart1.xml"/><Relationship Id="rId25" Type="http://schemas.openxmlformats.org/officeDocument/2006/relationships/chart" Target="charts/chart9.xml"/><Relationship Id="rId33" Type="http://schemas.openxmlformats.org/officeDocument/2006/relationships/chart" Target="charts/chart17.xml"/><Relationship Id="rId38" Type="http://schemas.openxmlformats.org/officeDocument/2006/relationships/chart" Target="charts/chart22.xml"/><Relationship Id="rId46" Type="http://schemas.openxmlformats.org/officeDocument/2006/relationships/chart" Target="charts/chart30.xml"/><Relationship Id="rId59" Type="http://schemas.openxmlformats.org/officeDocument/2006/relationships/chart" Target="charts/chart43.xml"/><Relationship Id="rId67" Type="http://schemas.openxmlformats.org/officeDocument/2006/relationships/comments" Target="comments.xml"/><Relationship Id="rId20" Type="http://schemas.openxmlformats.org/officeDocument/2006/relationships/chart" Target="charts/chart4.xml"/><Relationship Id="rId41" Type="http://schemas.openxmlformats.org/officeDocument/2006/relationships/chart" Target="charts/chart25.xml"/><Relationship Id="rId54" Type="http://schemas.openxmlformats.org/officeDocument/2006/relationships/chart" Target="charts/chart38.xml"/><Relationship Id="rId62" Type="http://schemas.openxmlformats.org/officeDocument/2006/relationships/chart" Target="charts/chart46.xml"/><Relationship Id="rId70" Type="http://schemas.openxmlformats.org/officeDocument/2006/relationships/chart" Target="charts/chart53.xm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s>
</file>

<file path=word/_rels/footnotes.xml.rels><?xml version="1.0" encoding="UTF-8" standalone="yes"?>
<Relationships xmlns="http://schemas.openxmlformats.org/package/2006/relationships"><Relationship Id="rId3" Type="http://schemas.openxmlformats.org/officeDocument/2006/relationships/hyperlink" Target="http://epp.eurostat.ec.europa.eu/statistics_explained/index.php/Glossary:Geometric_average" TargetMode="External"/><Relationship Id="rId2" Type="http://schemas.openxmlformats.org/officeDocument/2006/relationships/hyperlink" Target="http://epp.eurostat.ec.europa.eu/statistics_explained/index.php/Glossary:Paasche_price_index" TargetMode="External"/><Relationship Id="rId1" Type="http://schemas.openxmlformats.org/officeDocument/2006/relationships/hyperlink" Target="http://epp.eurostat.ec.europa.eu/statistics_explained/index.php/Glossary:Laspeyres_price_index"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1" Type="http://schemas.openxmlformats.org/officeDocument/2006/relationships/oleObject" Target="file:///D:\Bi-Annual%20Report%202013%20October\Part%20I\!GDP%20Growth%20yoy_090113.xlsx" TargetMode="Externa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package" Target="../embeddings/Microsoft_Excel_Worksheet5.xlsx"/></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WBMS9MN\MN-Shared\SM%20-%20PREM\Data\7.August%20data\GDP-Industry_Aug%20TH.xlsb" TargetMode="External"/></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embeddings/oleObject1.bin"/></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C:\Users\wb371895\Documents\Documents\Data\2013%208&#50900;\Fin.inflation_Aug%20TH.xlsb" TargetMode="External"/></Relationships>
</file>

<file path=word/charts/_rels/chart16.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embeddings/oleObject2.bin"/></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WBMS9MN\MN-Shared\SM%20-%20PREM\Data\8.Sept%20data\Fin.inflation_Sep%20TH.xlsb" TargetMode="External"/></Relationships>
</file>

<file path=word/charts/_rels/chart18.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WBMS9MN\MN-Shared\SM%20-%20PREM\Data\8.Sept%20data\Fin.inflation_Sep%20TH.xlsb" TargetMode="External"/></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oleObject" Target="file:///C:\Users\wb371895\AppData\Local\Temp\notesFD8F7A\~7084167.xls" TargetMode="Externa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wb101074\AppData\Local\Temp\notes58DEA6\Global%20High%20income%20Developing%20&amp;%20selected%20MICs.xlsx" TargetMode="External"/><Relationship Id="rId1" Type="http://schemas.openxmlformats.org/officeDocument/2006/relationships/themeOverride" Target="../theme/themeOverride1.xml"/></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oleObject" Target="file:///C:\Users\wb371895\AppData\Local\Temp\notesFD8F7A\~7084167.xls" TargetMode="External"/></Relationships>
</file>

<file path=word/charts/_rels/chart21.xml.rels><?xml version="1.0" encoding="UTF-8" standalone="yes"?>
<Relationships xmlns="http://schemas.openxmlformats.org/package/2006/relationships"><Relationship Id="rId2" Type="http://schemas.openxmlformats.org/officeDocument/2006/relationships/chartUserShapes" Target="../drawings/drawing14.xml"/><Relationship Id="rId1" Type="http://schemas.openxmlformats.org/officeDocument/2006/relationships/oleObject" Target="file:///C:\Users\wb371895\Documents\Documents\Data\Official%20Data\LFS\LFS_bull,%20tan_2013.QII%20TH.xls" TargetMode="External"/></Relationships>
</file>

<file path=word/charts/_rels/chart22.xml.rels><?xml version="1.0" encoding="UTF-8" standalone="yes"?>
<Relationships xmlns="http://schemas.openxmlformats.org/package/2006/relationships"><Relationship Id="rId2" Type="http://schemas.openxmlformats.org/officeDocument/2006/relationships/chartUserShapes" Target="../drawings/drawing15.xml"/><Relationship Id="rId1" Type="http://schemas.openxmlformats.org/officeDocument/2006/relationships/oleObject" Target="file:///C:\Users\wb371895\Documents\Documents\Data\Official%20Data\LFS\LFS_bull,%20tan_2013.QII%20TH.xls" TargetMode="External"/></Relationships>
</file>

<file path=word/charts/_rels/chart23.xml.rels><?xml version="1.0" encoding="UTF-8" standalone="yes"?>
<Relationships xmlns="http://schemas.openxmlformats.org/package/2006/relationships"><Relationship Id="rId2" Type="http://schemas.openxmlformats.org/officeDocument/2006/relationships/chartUserShapes" Target="../drawings/drawing16.xml"/><Relationship Id="rId1" Type="http://schemas.openxmlformats.org/officeDocument/2006/relationships/oleObject" Target="file:///C:\Users\wb371895\Documents\Documents\Data\2013%209&#50900;\3.Fiscal_Sept%20TH.xlsb" TargetMode="External"/></Relationships>
</file>

<file path=word/charts/_rels/chart24.xml.rels><?xml version="1.0" encoding="UTF-8" standalone="yes"?>
<Relationships xmlns="http://schemas.openxmlformats.org/package/2006/relationships"><Relationship Id="rId2" Type="http://schemas.openxmlformats.org/officeDocument/2006/relationships/chartUserShapes" Target="../drawings/drawing17.xml"/><Relationship Id="rId1" Type="http://schemas.openxmlformats.org/officeDocument/2006/relationships/package" Target="../embeddings/Microsoft_Excel_Worksheet7.xlsx"/></Relationships>
</file>

<file path=word/charts/_rels/chart25.xml.rels><?xml version="1.0" encoding="UTF-8" standalone="yes"?>
<Relationships xmlns="http://schemas.openxmlformats.org/package/2006/relationships"><Relationship Id="rId1" Type="http://schemas.openxmlformats.org/officeDocument/2006/relationships/oleObject" Target="file:///\\WBMS9MN\MN-Shared\SM%20-%20PREM\Data\7.August%20data\Fiscal_Aug%20TH.xlsb" TargetMode="External"/></Relationships>
</file>

<file path=word/charts/_rels/chart26.xml.rels><?xml version="1.0" encoding="UTF-8" standalone="yes"?>
<Relationships xmlns="http://schemas.openxmlformats.org/package/2006/relationships"><Relationship Id="rId2" Type="http://schemas.openxmlformats.org/officeDocument/2006/relationships/chartUserShapes" Target="../drawings/drawing18.xml"/><Relationship Id="rId1" Type="http://schemas.openxmlformats.org/officeDocument/2006/relationships/oleObject" Target="file:///C:\Users\wb371895\Documents\Documents\Data\2013%208&#50900;\Fiscal%20Outlook%20Sep%202013.xlsx" TargetMode="External"/></Relationships>
</file>

<file path=word/charts/_rels/chart27.xml.rels><?xml version="1.0" encoding="UTF-8" standalone="yes"?>
<Relationships xmlns="http://schemas.openxmlformats.org/package/2006/relationships"><Relationship Id="rId2" Type="http://schemas.openxmlformats.org/officeDocument/2006/relationships/chartUserShapes" Target="../drawings/drawing19.xml"/><Relationship Id="rId1" Type="http://schemas.openxmlformats.org/officeDocument/2006/relationships/oleObject" Target="file:///C:\Users\wb371895\Documents\Documents\Data\2013%208&#50900;\Fiscal%20Outlook%20Sep%202013.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C:\Users\wb371895\Documents\Documents\Data\2013%209&#50900;\3.Fiscal_Sept%20TH.xlsb" TargetMode="External"/></Relationships>
</file>

<file path=word/charts/_rels/chart29.xml.rels><?xml version="1.0" encoding="UTF-8" standalone="yes"?>
<Relationships xmlns="http://schemas.openxmlformats.org/package/2006/relationships"><Relationship Id="rId2" Type="http://schemas.openxmlformats.org/officeDocument/2006/relationships/chartUserShapes" Target="../drawings/drawing20.xml"/><Relationship Id="rId1" Type="http://schemas.openxmlformats.org/officeDocument/2006/relationships/oleObject" Target="file:///C:\Users\wb371895\Documents\Documents\Data\2013%208&#50900;\Fiscal%20Outlook%20Sep%202013.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wb50631\Bi-Annual%20Report%202013%20October\Part%20I\contribution%20to%20growth.xlsx" TargetMode="External"/></Relationships>
</file>

<file path=word/charts/_rels/chart30.xml.rels><?xml version="1.0" encoding="UTF-8" standalone="yes"?>
<Relationships xmlns="http://schemas.openxmlformats.org/package/2006/relationships"><Relationship Id="rId2" Type="http://schemas.openxmlformats.org/officeDocument/2006/relationships/chartUserShapes" Target="../drawings/drawing21.xml"/><Relationship Id="rId1" Type="http://schemas.openxmlformats.org/officeDocument/2006/relationships/oleObject" Target="file:///\\WBMS9MN\MN-Shared\SM%20-%20PREM\Data\8.Sept%20data\3.Fiscal_Sept%20TH.xlsb" TargetMode="External"/></Relationships>
</file>

<file path=word/charts/_rels/chart31.xml.rels><?xml version="1.0" encoding="UTF-8" standalone="yes"?>
<Relationships xmlns="http://schemas.openxmlformats.org/package/2006/relationships"><Relationship Id="rId2" Type="http://schemas.openxmlformats.org/officeDocument/2006/relationships/chartUserShapes" Target="../drawings/drawing22.xml"/><Relationship Id="rId1" Type="http://schemas.openxmlformats.org/officeDocument/2006/relationships/oleObject" Target="file:///C:\Users\wb371895\Documents\Documents\Data\2013%208&#50900;\Fiscal%20Outlook%20Sep%202013.xlsx" TargetMode="External"/></Relationships>
</file>

<file path=word/charts/_rels/chart32.xml.rels><?xml version="1.0" encoding="UTF-8" standalone="yes"?>
<Relationships xmlns="http://schemas.openxmlformats.org/package/2006/relationships"><Relationship Id="rId2" Type="http://schemas.openxmlformats.org/officeDocument/2006/relationships/chartUserShapes" Target="../drawings/drawing23.xml"/><Relationship Id="rId1" Type="http://schemas.openxmlformats.org/officeDocument/2006/relationships/oleObject" Target="file:///\\WBMS9MN\MN-Shared\SM%20-%20PREM\Data\8.Sept%20data\2.Fin.inflation_Sep%20TH.xlsb" TargetMode="External"/></Relationships>
</file>

<file path=word/charts/_rels/chart33.xml.rels><?xml version="1.0" encoding="UTF-8" standalone="yes"?>
<Relationships xmlns="http://schemas.openxmlformats.org/package/2006/relationships"><Relationship Id="rId2" Type="http://schemas.openxmlformats.org/officeDocument/2006/relationships/oleObject" Target="file:///C:\Users\wb371895\Documents\Documents\Data\2013%209&#50900;\2.Fin.inflation_Sep%20TH.xlsb" TargetMode="External"/><Relationship Id="rId1" Type="http://schemas.openxmlformats.org/officeDocument/2006/relationships/themeOverride" Target="../theme/themeOverride3.xml"/></Relationships>
</file>

<file path=word/charts/_rels/chart34.xml.rels><?xml version="1.0" encoding="UTF-8" standalone="yes"?>
<Relationships xmlns="http://schemas.openxmlformats.org/package/2006/relationships"><Relationship Id="rId2" Type="http://schemas.openxmlformats.org/officeDocument/2006/relationships/oleObject" Target="file:///C:\Users\wb371895\Documents\Documents\Data\2013%209&#50900;\2.Fin.inflation_Sep%20TH.xlsb" TargetMode="External"/><Relationship Id="rId1" Type="http://schemas.openxmlformats.org/officeDocument/2006/relationships/themeOverride" Target="../theme/themeOverride4.xml"/></Relationships>
</file>

<file path=word/charts/_rels/chart35.xml.rels><?xml version="1.0" encoding="UTF-8" standalone="yes"?>
<Relationships xmlns="http://schemas.openxmlformats.org/package/2006/relationships"><Relationship Id="rId2" Type="http://schemas.openxmlformats.org/officeDocument/2006/relationships/chartUserShapes" Target="../drawings/drawing24.xml"/><Relationship Id="rId1" Type="http://schemas.openxmlformats.org/officeDocument/2006/relationships/oleObject" Target="file:///\\WBMS9MN\MN-Shared\SM%20-%20PREM\Data\8.Sept%20data\2.Fin.inflation_Sep%20TH.xlsb" TargetMode="External"/></Relationships>
</file>

<file path=word/charts/_rels/chart36.xml.rels><?xml version="1.0" encoding="UTF-8" standalone="yes"?>
<Relationships xmlns="http://schemas.openxmlformats.org/package/2006/relationships"><Relationship Id="rId2" Type="http://schemas.openxmlformats.org/officeDocument/2006/relationships/chartUserShapes" Target="../drawings/drawing25.xml"/><Relationship Id="rId1" Type="http://schemas.openxmlformats.org/officeDocument/2006/relationships/oleObject" Target="file:///\\WBMS9MN\MN-Shared\SM%20-%20PREM\Data\8.Sept%20data\2.Fin.inflation_Sep%20TH.xlsb" TargetMode="External"/></Relationships>
</file>

<file path=word/charts/_rels/chart37.xml.rels><?xml version="1.0" encoding="UTF-8" standalone="yes"?>
<Relationships xmlns="http://schemas.openxmlformats.org/package/2006/relationships"><Relationship Id="rId2" Type="http://schemas.openxmlformats.org/officeDocument/2006/relationships/chartUserShapes" Target="../drawings/drawing26.xml"/><Relationship Id="rId1" Type="http://schemas.openxmlformats.org/officeDocument/2006/relationships/oleObject" Target="file:///\\WBMS9MN\MN-Shared\SM%20-%20PREM\Data\8.Sept%20data\2.Fin.inflation_Sep%20TH.xlsb" TargetMode="External"/></Relationships>
</file>

<file path=word/charts/_rels/chart38.xml.rels><?xml version="1.0" encoding="UTF-8" standalone="yes"?>
<Relationships xmlns="http://schemas.openxmlformats.org/package/2006/relationships"><Relationship Id="rId2" Type="http://schemas.openxmlformats.org/officeDocument/2006/relationships/chartUserShapes" Target="../drawings/drawing27.xml"/><Relationship Id="rId1" Type="http://schemas.openxmlformats.org/officeDocument/2006/relationships/oleObject" Target="file:///C:\Users\wb371895\Documents\Documents\Data\2013%208&#50900;\Fin.inflation_Aug%20TH.xlsb" TargetMode="External"/></Relationships>
</file>

<file path=word/charts/_rels/chart39.xml.rels><?xml version="1.0" encoding="UTF-8" standalone="yes"?>
<Relationships xmlns="http://schemas.openxmlformats.org/package/2006/relationships"><Relationship Id="rId2" Type="http://schemas.openxmlformats.org/officeDocument/2006/relationships/chartUserShapes" Target="../drawings/drawing28.xml"/><Relationship Id="rId1" Type="http://schemas.openxmlformats.org/officeDocument/2006/relationships/oleObject" Target="file:///C:\Users\wb371895\Documents\Documents\Data\2013%208&#50900;\Fin.inflation_Aug%20TH.xlsb"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wb371895\Documents\Documents\EAP%20Update\2013%20Sep\EAP%20UPDATE%20OCT%202013\PART%20I%20FIGURES%20(B)\12_BOP%20by%20Country%20(IMF)_REVISED2.xlsx" TargetMode="External"/></Relationships>
</file>

<file path=word/charts/_rels/chart40.xml.rels><?xml version="1.0" encoding="UTF-8" standalone="yes"?>
<Relationships xmlns="http://schemas.openxmlformats.org/package/2006/relationships"><Relationship Id="rId2" Type="http://schemas.openxmlformats.org/officeDocument/2006/relationships/chartUserShapes" Target="../drawings/drawing29.xml"/><Relationship Id="rId1" Type="http://schemas.openxmlformats.org/officeDocument/2006/relationships/oleObject" Target="file:///\\WBMS9MN\MN-Shared\SM%20-%20PREM\Data\8.Sept%20data\2.Fin.inflation_Sep%20TH.xlsb" TargetMode="External"/></Relationships>
</file>

<file path=word/charts/_rels/chart41.xml.rels><?xml version="1.0" encoding="UTF-8" standalone="yes"?>
<Relationships xmlns="http://schemas.openxmlformats.org/package/2006/relationships"><Relationship Id="rId2" Type="http://schemas.openxmlformats.org/officeDocument/2006/relationships/chartUserShapes" Target="../drawings/drawing30.xml"/><Relationship Id="rId1" Type="http://schemas.openxmlformats.org/officeDocument/2006/relationships/oleObject" Target="file:///\\WBMS9MN\MN-Shared\SM%20-%20PREM\Data\8.Sept%20data\2.Fin.inflation_Sep%20TH.xlsb" TargetMode="External"/></Relationships>
</file>

<file path=word/charts/_rels/chart42.xml.rels><?xml version="1.0" encoding="UTF-8" standalone="yes"?>
<Relationships xmlns="http://schemas.openxmlformats.org/package/2006/relationships"><Relationship Id="rId2" Type="http://schemas.openxmlformats.org/officeDocument/2006/relationships/chartUserShapes" Target="../drawings/drawing31.xml"/><Relationship Id="rId1" Type="http://schemas.openxmlformats.org/officeDocument/2006/relationships/oleObject" Target="file:///\\WBMS9MN\MN-Shared\SM%20-%20PREM\Data\8.Sept%20data\1.Bop_Sept%20TH.xlsx" TargetMode="External"/></Relationships>
</file>

<file path=word/charts/_rels/chart43.xml.rels><?xml version="1.0" encoding="UTF-8" standalone="yes"?>
<Relationships xmlns="http://schemas.openxmlformats.org/package/2006/relationships"><Relationship Id="rId1" Type="http://schemas.openxmlformats.org/officeDocument/2006/relationships/oleObject" Target="file:///\\WBMS9MN\MN-Shared\SM%20-%20PREM\Data\8.Sept%20data\1.Bop_Sept%20TH.xlsx" TargetMode="External"/></Relationships>
</file>

<file path=word/charts/_rels/chart44.xml.rels><?xml version="1.0" encoding="UTF-8" standalone="yes"?>
<Relationships xmlns="http://schemas.openxmlformats.org/package/2006/relationships"><Relationship Id="rId2" Type="http://schemas.openxmlformats.org/officeDocument/2006/relationships/chartUserShapes" Target="../drawings/drawing32.xml"/><Relationship Id="rId1" Type="http://schemas.openxmlformats.org/officeDocument/2006/relationships/oleObject" Target="file:///\\WBMS9MN\MN-Shared\SM%20-%20PREM\Data\8.Sept%20data\1.Bop_Sept%20TH.xlsx" TargetMode="External"/></Relationships>
</file>

<file path=word/charts/_rels/chart45.xml.rels><?xml version="1.0" encoding="UTF-8" standalone="yes"?>
<Relationships xmlns="http://schemas.openxmlformats.org/package/2006/relationships"><Relationship Id="rId2" Type="http://schemas.openxmlformats.org/officeDocument/2006/relationships/chartUserShapes" Target="../drawings/drawing33.xml"/><Relationship Id="rId1" Type="http://schemas.openxmlformats.org/officeDocument/2006/relationships/oleObject" Target="file:///\\WBMS9MN\MN-Shared\SM%20-%20PREM\Data\8.Sept%20data\1.Bop_Sept%20TH.xlsx" TargetMode="External"/></Relationships>
</file>

<file path=word/charts/_rels/chart46.xml.rels><?xml version="1.0" encoding="UTF-8" standalone="yes"?>
<Relationships xmlns="http://schemas.openxmlformats.org/package/2006/relationships"><Relationship Id="rId2" Type="http://schemas.openxmlformats.org/officeDocument/2006/relationships/chartUserShapes" Target="../drawings/drawing34.xml"/><Relationship Id="rId1" Type="http://schemas.openxmlformats.org/officeDocument/2006/relationships/oleObject" Target="file:///C:\Users\wb371895\Documents\Documents\Data\2013%208&#50900;\Bop_Aug%20TH.xlsx" TargetMode="External"/></Relationships>
</file>

<file path=word/charts/_rels/chart47.xml.rels><?xml version="1.0" encoding="UTF-8" standalone="yes"?>
<Relationships xmlns="http://schemas.openxmlformats.org/package/2006/relationships"><Relationship Id="rId2" Type="http://schemas.openxmlformats.org/officeDocument/2006/relationships/chartUserShapes" Target="../drawings/drawing35.xml"/><Relationship Id="rId1" Type="http://schemas.openxmlformats.org/officeDocument/2006/relationships/oleObject" Target="file:///C:\Users\wb371895\Documents\Documents\Data\2013%208&#50900;\Bop_Aug%20TH.xlsx" TargetMode="External"/></Relationships>
</file>

<file path=word/charts/_rels/chart48.xml.rels><?xml version="1.0" encoding="UTF-8" standalone="yes"?>
<Relationships xmlns="http://schemas.openxmlformats.org/package/2006/relationships"><Relationship Id="rId2" Type="http://schemas.openxmlformats.org/officeDocument/2006/relationships/chartUserShapes" Target="../drawings/drawing36.xml"/><Relationship Id="rId1" Type="http://schemas.openxmlformats.org/officeDocument/2006/relationships/oleObject" Target="file:///\\WBMS9MN\MN-Shared\SM%20-%20PREM\Data\8.Sept%20data\2.Fin.inflation_Sep%20TH.xlsb" TargetMode="External"/></Relationships>
</file>

<file path=word/charts/_rels/chart49.xml.rels><?xml version="1.0" encoding="UTF-8" standalone="yes"?>
<Relationships xmlns="http://schemas.openxmlformats.org/package/2006/relationships"><Relationship Id="rId2" Type="http://schemas.openxmlformats.org/officeDocument/2006/relationships/chartUserShapes" Target="../drawings/drawing37.xml"/><Relationship Id="rId1" Type="http://schemas.openxmlformats.org/officeDocument/2006/relationships/oleObject" Target="file:///C:\Users\wb371895\Documents\Documents\Data\Official%20Data\IIP\Copy%20of%20Q2_2013_EN.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wb371895\Documents\Documents\EAP%20Update\2013%20Sep\EAP%20UPDATE%20OCT%202013\PART%20I%20FIGURES%20(D)\31_EAP_Exports%20to%20All%20(IMF%20DOTS).xlsx" TargetMode="External"/></Relationships>
</file>

<file path=word/charts/_rels/chart50.xml.rels><?xml version="1.0" encoding="UTF-8" standalone="yes"?>
<Relationships xmlns="http://schemas.openxmlformats.org/package/2006/relationships"><Relationship Id="rId2" Type="http://schemas.openxmlformats.org/officeDocument/2006/relationships/chartUserShapes" Target="../drawings/drawing38.xml"/><Relationship Id="rId1" Type="http://schemas.openxmlformats.org/officeDocument/2006/relationships/oleObject" Target="file:///C:\Users\wb371895\Documents\Documents\Data\131007_&#47805;&#44264;&#44397;&#52292;%20&#48143;%20&#49345;&#54408;&#44032;&#44201;.xls" TargetMode="External"/></Relationships>
</file>

<file path=word/charts/_rels/chart51.xml.rels><?xml version="1.0" encoding="UTF-8" standalone="yes"?>
<Relationships xmlns="http://schemas.openxmlformats.org/package/2006/relationships"><Relationship Id="rId1" Type="http://schemas.openxmlformats.org/officeDocument/2006/relationships/oleObject" Target="file:///C:\Users\wb371895\Documents\Documents\Data\2013%209&#50900;\International%20Comparison.xlsx" TargetMode="External"/></Relationships>
</file>

<file path=word/charts/_rels/chart52.xml.rels><?xml version="1.0" encoding="UTF-8" standalone="yes"?>
<Relationships xmlns="http://schemas.openxmlformats.org/package/2006/relationships"><Relationship Id="rId1" Type="http://schemas.openxmlformats.org/officeDocument/2006/relationships/oleObject" Target="file:///C:\Users\wb371895\Documents\Documents\Data\2013%209&#50900;\International%20Comparison.xlsx" TargetMode="External"/></Relationships>
</file>

<file path=word/charts/_rels/chart53.xml.rels><?xml version="1.0" encoding="UTF-8" standalone="yes"?>
<Relationships xmlns="http://schemas.openxmlformats.org/package/2006/relationships"><Relationship Id="rId1" Type="http://schemas.openxmlformats.org/officeDocument/2006/relationships/oleObject" Target="file:///C:\Users\wb371895\Documents\Documents\Data\2013%209&#50900;\International%20Comparison.xlsx" TargetMode="External"/></Relationships>
</file>

<file path=word/charts/_rels/chart54.xml.rels><?xml version="1.0" encoding="UTF-8" standalone="yes"?>
<Relationships xmlns="http://schemas.openxmlformats.org/package/2006/relationships"><Relationship Id="rId1" Type="http://schemas.openxmlformats.org/officeDocument/2006/relationships/oleObject" Target="file:///C:\Users\wb371895\Documents\Documents\Data\2013%209&#50900;\International%20Comparison.xlsx" TargetMode="External"/></Relationships>
</file>

<file path=word/charts/_rels/chart55.xml.rels><?xml version="1.0" encoding="UTF-8" standalone="yes"?>
<Relationships xmlns="http://schemas.openxmlformats.org/package/2006/relationships"><Relationship Id="rId1" Type="http://schemas.openxmlformats.org/officeDocument/2006/relationships/oleObject" Target="file:///C:\Users\wb371895\Documents\Documents\Data\2013%209&#50900;\International%20Comparison.xlsx" TargetMode="External"/></Relationships>
</file>

<file path=word/charts/_rels/chart56.xml.rels><?xml version="1.0" encoding="UTF-8" standalone="yes"?>
<Relationships xmlns="http://schemas.openxmlformats.org/package/2006/relationships"><Relationship Id="rId1" Type="http://schemas.openxmlformats.org/officeDocument/2006/relationships/oleObject" Target="file:///C:\Users\wb371895\Documents\Documents\Data\2013%209&#50900;\International%20Comparison.xlsx" TargetMode="Externa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wb371895\Documents\Documents\Data\2013%207&#50900;\GDP-Industry_July%20TH.xlsb"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5255776288357829E-2"/>
          <c:y val="4.5325779036827198E-2"/>
          <c:w val="0.88043625837798722"/>
          <c:h val="0.87258727220004018"/>
        </c:manualLayout>
      </c:layout>
      <c:lineChart>
        <c:grouping val="standard"/>
        <c:varyColors val="0"/>
        <c:ser>
          <c:idx val="0"/>
          <c:order val="0"/>
          <c:tx>
            <c:strRef>
              <c:f>'GDP Growth - Qtr yoy'!$B$92</c:f>
              <c:strCache>
                <c:ptCount val="1"/>
                <c:pt idx="0">
                  <c:v>United States</c:v>
                </c:pt>
              </c:strCache>
            </c:strRef>
          </c:tx>
          <c:spPr>
            <a:ln>
              <a:solidFill>
                <a:schemeClr val="tx2">
                  <a:lumMod val="50000"/>
                </a:schemeClr>
              </a:solidFill>
            </a:ln>
          </c:spPr>
          <c:marker>
            <c:symbol val="none"/>
          </c:marker>
          <c:cat>
            <c:strRef>
              <c:f>'GDP Growth - Qtr yoy'!$DV$2:$EI$2</c:f>
              <c:strCache>
                <c:ptCount val="14"/>
                <c:pt idx="0">
                  <c:v>Q1-10</c:v>
                </c:pt>
                <c:pt idx="1">
                  <c:v>Q2-10</c:v>
                </c:pt>
                <c:pt idx="2">
                  <c:v>Q3-10</c:v>
                </c:pt>
                <c:pt idx="3">
                  <c:v>Q4-10</c:v>
                </c:pt>
                <c:pt idx="4">
                  <c:v>Q1-11</c:v>
                </c:pt>
                <c:pt idx="5">
                  <c:v>Q2-11</c:v>
                </c:pt>
                <c:pt idx="6">
                  <c:v>Q3-11</c:v>
                </c:pt>
                <c:pt idx="7">
                  <c:v>Q4-11</c:v>
                </c:pt>
                <c:pt idx="8">
                  <c:v>Q1-12</c:v>
                </c:pt>
                <c:pt idx="9">
                  <c:v>Q2-12</c:v>
                </c:pt>
                <c:pt idx="10">
                  <c:v>Q3-12</c:v>
                </c:pt>
                <c:pt idx="11">
                  <c:v>Q4-12</c:v>
                </c:pt>
                <c:pt idx="12">
                  <c:v>Q1-13</c:v>
                </c:pt>
                <c:pt idx="13">
                  <c:v>Q2-13</c:v>
                </c:pt>
              </c:strCache>
            </c:strRef>
          </c:cat>
          <c:val>
            <c:numRef>
              <c:f>'GDP Growth - Qtr yoy'!$DV$92:$EI$92</c:f>
              <c:numCache>
                <c:formatCode>General</c:formatCode>
                <c:ptCount val="14"/>
                <c:pt idx="0">
                  <c:v>1.6</c:v>
                </c:pt>
                <c:pt idx="1">
                  <c:v>3.9</c:v>
                </c:pt>
                <c:pt idx="2">
                  <c:v>2.8</c:v>
                </c:pt>
                <c:pt idx="3">
                  <c:v>2.8</c:v>
                </c:pt>
                <c:pt idx="4">
                  <c:v>-1.3</c:v>
                </c:pt>
                <c:pt idx="5">
                  <c:v>3.2</c:v>
                </c:pt>
                <c:pt idx="6">
                  <c:v>1.4</c:v>
                </c:pt>
                <c:pt idx="7">
                  <c:v>4.9000000000000004</c:v>
                </c:pt>
                <c:pt idx="8">
                  <c:v>3.7</c:v>
                </c:pt>
                <c:pt idx="9">
                  <c:v>1.2</c:v>
                </c:pt>
                <c:pt idx="10">
                  <c:v>2.8</c:v>
                </c:pt>
                <c:pt idx="11">
                  <c:v>0.1</c:v>
                </c:pt>
                <c:pt idx="12">
                  <c:v>1.1000000000000001</c:v>
                </c:pt>
                <c:pt idx="13">
                  <c:v>2.5</c:v>
                </c:pt>
              </c:numCache>
            </c:numRef>
          </c:val>
          <c:smooth val="1"/>
        </c:ser>
        <c:ser>
          <c:idx val="1"/>
          <c:order val="1"/>
          <c:tx>
            <c:strRef>
              <c:f>'GDP Growth - Qtr yoy'!$B$93</c:f>
              <c:strCache>
                <c:ptCount val="1"/>
                <c:pt idx="0">
                  <c:v>Euro Area</c:v>
                </c:pt>
              </c:strCache>
            </c:strRef>
          </c:tx>
          <c:spPr>
            <a:ln>
              <a:solidFill>
                <a:schemeClr val="accent6">
                  <a:lumMod val="75000"/>
                </a:schemeClr>
              </a:solidFill>
            </a:ln>
          </c:spPr>
          <c:marker>
            <c:symbol val="none"/>
          </c:marker>
          <c:cat>
            <c:strRef>
              <c:f>'GDP Growth - Qtr yoy'!$DV$2:$EI$2</c:f>
              <c:strCache>
                <c:ptCount val="14"/>
                <c:pt idx="0">
                  <c:v>Q1-10</c:v>
                </c:pt>
                <c:pt idx="1">
                  <c:v>Q2-10</c:v>
                </c:pt>
                <c:pt idx="2">
                  <c:v>Q3-10</c:v>
                </c:pt>
                <c:pt idx="3">
                  <c:v>Q4-10</c:v>
                </c:pt>
                <c:pt idx="4">
                  <c:v>Q1-11</c:v>
                </c:pt>
                <c:pt idx="5">
                  <c:v>Q2-11</c:v>
                </c:pt>
                <c:pt idx="6">
                  <c:v>Q3-11</c:v>
                </c:pt>
                <c:pt idx="7">
                  <c:v>Q4-11</c:v>
                </c:pt>
                <c:pt idx="8">
                  <c:v>Q1-12</c:v>
                </c:pt>
                <c:pt idx="9">
                  <c:v>Q2-12</c:v>
                </c:pt>
                <c:pt idx="10">
                  <c:v>Q3-12</c:v>
                </c:pt>
                <c:pt idx="11">
                  <c:v>Q4-12</c:v>
                </c:pt>
                <c:pt idx="12">
                  <c:v>Q1-13</c:v>
                </c:pt>
                <c:pt idx="13">
                  <c:v>Q2-13</c:v>
                </c:pt>
              </c:strCache>
            </c:strRef>
          </c:cat>
          <c:val>
            <c:numRef>
              <c:f>'GDP Growth - Qtr yoy'!$DV$93:$EI$93</c:f>
              <c:numCache>
                <c:formatCode>General</c:formatCode>
                <c:ptCount val="14"/>
                <c:pt idx="0">
                  <c:v>1.6</c:v>
                </c:pt>
                <c:pt idx="1">
                  <c:v>3.6</c:v>
                </c:pt>
                <c:pt idx="2">
                  <c:v>1.6</c:v>
                </c:pt>
                <c:pt idx="3">
                  <c:v>2</c:v>
                </c:pt>
                <c:pt idx="4">
                  <c:v>3.1</c:v>
                </c:pt>
                <c:pt idx="5">
                  <c:v>0.2</c:v>
                </c:pt>
                <c:pt idx="6">
                  <c:v>0.3</c:v>
                </c:pt>
                <c:pt idx="7">
                  <c:v>-0.9</c:v>
                </c:pt>
                <c:pt idx="8">
                  <c:v>-0.4</c:v>
                </c:pt>
                <c:pt idx="9">
                  <c:v>-1.1000000000000001</c:v>
                </c:pt>
                <c:pt idx="10">
                  <c:v>-0.4</c:v>
                </c:pt>
                <c:pt idx="11">
                  <c:v>-1.9</c:v>
                </c:pt>
                <c:pt idx="12">
                  <c:v>-0.6</c:v>
                </c:pt>
                <c:pt idx="13">
                  <c:v>1.2</c:v>
                </c:pt>
              </c:numCache>
            </c:numRef>
          </c:val>
          <c:smooth val="1"/>
        </c:ser>
        <c:ser>
          <c:idx val="2"/>
          <c:order val="2"/>
          <c:tx>
            <c:strRef>
              <c:f>'GDP Growth - Qtr yoy'!$B$94</c:f>
              <c:strCache>
                <c:ptCount val="1"/>
                <c:pt idx="0">
                  <c:v>Japan</c:v>
                </c:pt>
              </c:strCache>
            </c:strRef>
          </c:tx>
          <c:spPr>
            <a:ln>
              <a:solidFill>
                <a:schemeClr val="bg1">
                  <a:lumMod val="50000"/>
                </a:schemeClr>
              </a:solidFill>
            </a:ln>
          </c:spPr>
          <c:marker>
            <c:symbol val="none"/>
          </c:marker>
          <c:cat>
            <c:strRef>
              <c:f>'GDP Growth - Qtr yoy'!$DV$2:$EI$2</c:f>
              <c:strCache>
                <c:ptCount val="14"/>
                <c:pt idx="0">
                  <c:v>Q1-10</c:v>
                </c:pt>
                <c:pt idx="1">
                  <c:v>Q2-10</c:v>
                </c:pt>
                <c:pt idx="2">
                  <c:v>Q3-10</c:v>
                </c:pt>
                <c:pt idx="3">
                  <c:v>Q4-10</c:v>
                </c:pt>
                <c:pt idx="4">
                  <c:v>Q1-11</c:v>
                </c:pt>
                <c:pt idx="5">
                  <c:v>Q2-11</c:v>
                </c:pt>
                <c:pt idx="6">
                  <c:v>Q3-11</c:v>
                </c:pt>
                <c:pt idx="7">
                  <c:v>Q4-11</c:v>
                </c:pt>
                <c:pt idx="8">
                  <c:v>Q1-12</c:v>
                </c:pt>
                <c:pt idx="9">
                  <c:v>Q2-12</c:v>
                </c:pt>
                <c:pt idx="10">
                  <c:v>Q3-12</c:v>
                </c:pt>
                <c:pt idx="11">
                  <c:v>Q4-12</c:v>
                </c:pt>
                <c:pt idx="12">
                  <c:v>Q1-13</c:v>
                </c:pt>
                <c:pt idx="13">
                  <c:v>Q2-13</c:v>
                </c:pt>
              </c:strCache>
            </c:strRef>
          </c:cat>
          <c:val>
            <c:numRef>
              <c:f>'GDP Growth - Qtr yoy'!$DV$94:$EI$94</c:f>
              <c:numCache>
                <c:formatCode>General</c:formatCode>
                <c:ptCount val="14"/>
                <c:pt idx="0">
                  <c:v>5.9</c:v>
                </c:pt>
                <c:pt idx="1">
                  <c:v>3.7</c:v>
                </c:pt>
                <c:pt idx="2">
                  <c:v>6</c:v>
                </c:pt>
                <c:pt idx="3">
                  <c:v>-1.3</c:v>
                </c:pt>
                <c:pt idx="4">
                  <c:v>-7.6</c:v>
                </c:pt>
                <c:pt idx="5">
                  <c:v>-3.4</c:v>
                </c:pt>
                <c:pt idx="6">
                  <c:v>11</c:v>
                </c:pt>
                <c:pt idx="7">
                  <c:v>1.4</c:v>
                </c:pt>
                <c:pt idx="8">
                  <c:v>5</c:v>
                </c:pt>
                <c:pt idx="9">
                  <c:v>-1.2</c:v>
                </c:pt>
                <c:pt idx="10">
                  <c:v>-3.5</c:v>
                </c:pt>
                <c:pt idx="11">
                  <c:v>1.1000000000000001</c:v>
                </c:pt>
                <c:pt idx="12">
                  <c:v>4.0999999999999996</c:v>
                </c:pt>
                <c:pt idx="13">
                  <c:v>3.8</c:v>
                </c:pt>
              </c:numCache>
            </c:numRef>
          </c:val>
          <c:smooth val="1"/>
        </c:ser>
        <c:dLbls>
          <c:showLegendKey val="0"/>
          <c:showVal val="0"/>
          <c:showCatName val="0"/>
          <c:showSerName val="0"/>
          <c:showPercent val="0"/>
          <c:showBubbleSize val="0"/>
        </c:dLbls>
        <c:marker val="1"/>
        <c:smooth val="0"/>
        <c:axId val="222095616"/>
        <c:axId val="225902592"/>
      </c:lineChart>
      <c:catAx>
        <c:axId val="222095616"/>
        <c:scaling>
          <c:orientation val="minMax"/>
        </c:scaling>
        <c:delete val="0"/>
        <c:axPos val="b"/>
        <c:majorTickMark val="out"/>
        <c:minorTickMark val="none"/>
        <c:tickLblPos val="low"/>
        <c:crossAx val="225902592"/>
        <c:crosses val="autoZero"/>
        <c:auto val="1"/>
        <c:lblAlgn val="ctr"/>
        <c:lblOffset val="100"/>
        <c:tickLblSkip val="2"/>
        <c:noMultiLvlLbl val="0"/>
      </c:catAx>
      <c:valAx>
        <c:axId val="225902592"/>
        <c:scaling>
          <c:orientation val="minMax"/>
        </c:scaling>
        <c:delete val="0"/>
        <c:axPos val="l"/>
        <c:numFmt formatCode="General" sourceLinked="1"/>
        <c:majorTickMark val="out"/>
        <c:minorTickMark val="none"/>
        <c:tickLblPos val="nextTo"/>
        <c:crossAx val="222095616"/>
        <c:crosses val="autoZero"/>
        <c:crossBetween val="between"/>
      </c:valAx>
    </c:plotArea>
    <c:legend>
      <c:legendPos val="b"/>
      <c:layout>
        <c:manualLayout>
          <c:xMode val="edge"/>
          <c:yMode val="edge"/>
          <c:x val="0.60806113130825823"/>
          <c:y val="0.10221275456715219"/>
          <c:w val="0.34559279105429108"/>
          <c:h val="0.18957194798242291"/>
        </c:manualLayout>
      </c:layout>
      <c:overlay val="0"/>
    </c:legend>
    <c:plotVisOnly val="1"/>
    <c:dispBlanksAs val="gap"/>
    <c:showDLblsOverMax val="0"/>
  </c:chart>
  <c:spPr>
    <a:ln w="9525">
      <a:noFill/>
    </a:ln>
  </c:spPr>
  <c:txPr>
    <a:bodyPr/>
    <a:lstStyle/>
    <a:p>
      <a:pPr>
        <a:defRPr sz="600">
          <a:latin typeface="Calibri"/>
          <a:ea typeface="Calibri"/>
          <a:cs typeface="Calibri"/>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034951881014872"/>
          <c:y val="5.1400554097404488E-2"/>
          <c:w val="0.87431517935258085"/>
          <c:h val="0.89719889180519097"/>
        </c:manualLayout>
      </c:layout>
      <c:lineChart>
        <c:grouping val="standard"/>
        <c:varyColors val="0"/>
        <c:ser>
          <c:idx val="0"/>
          <c:order val="0"/>
          <c:tx>
            <c:v>Нүүрс</c:v>
          </c:tx>
          <c:marker>
            <c:symbol val="none"/>
          </c:marker>
          <c:cat>
            <c:numRef>
              <c:f>'industrial data '!$CB$1:$CU$1</c:f>
              <c:numCache>
                <c:formatCode>mmm\-yy</c:formatCode>
                <c:ptCount val="20"/>
                <c:pt idx="0">
                  <c:v>40909</c:v>
                </c:pt>
                <c:pt idx="1">
                  <c:v>40940</c:v>
                </c:pt>
                <c:pt idx="2">
                  <c:v>40969</c:v>
                </c:pt>
                <c:pt idx="3">
                  <c:v>41000</c:v>
                </c:pt>
                <c:pt idx="4">
                  <c:v>41030</c:v>
                </c:pt>
                <c:pt idx="5">
                  <c:v>41061</c:v>
                </c:pt>
                <c:pt idx="6">
                  <c:v>41091</c:v>
                </c:pt>
                <c:pt idx="7">
                  <c:v>41122</c:v>
                </c:pt>
                <c:pt idx="8">
                  <c:v>41153</c:v>
                </c:pt>
                <c:pt idx="9">
                  <c:v>41183</c:v>
                </c:pt>
                <c:pt idx="10">
                  <c:v>41214</c:v>
                </c:pt>
                <c:pt idx="11">
                  <c:v>41244</c:v>
                </c:pt>
                <c:pt idx="12">
                  <c:v>41275</c:v>
                </c:pt>
                <c:pt idx="13">
                  <c:v>41306</c:v>
                </c:pt>
                <c:pt idx="14">
                  <c:v>41334</c:v>
                </c:pt>
                <c:pt idx="15">
                  <c:v>41365</c:v>
                </c:pt>
                <c:pt idx="16">
                  <c:v>41395</c:v>
                </c:pt>
                <c:pt idx="17">
                  <c:v>41426</c:v>
                </c:pt>
                <c:pt idx="18">
                  <c:v>41456</c:v>
                </c:pt>
                <c:pt idx="19">
                  <c:v>41487</c:v>
                </c:pt>
              </c:numCache>
            </c:numRef>
          </c:cat>
          <c:val>
            <c:numRef>
              <c:f>'industrial data '!$CB$88:$CU$88</c:f>
              <c:numCache>
                <c:formatCode>0%</c:formatCode>
                <c:ptCount val="20"/>
                <c:pt idx="0">
                  <c:v>0.10518284661931165</c:v>
                </c:pt>
                <c:pt idx="1">
                  <c:v>1.5065179629541126E-2</c:v>
                </c:pt>
                <c:pt idx="2">
                  <c:v>0.10376173974185132</c:v>
                </c:pt>
                <c:pt idx="3">
                  <c:v>0.13829381718380729</c:v>
                </c:pt>
                <c:pt idx="4">
                  <c:v>0.15117042222708399</c:v>
                </c:pt>
                <c:pt idx="5">
                  <c:v>-8.6310473521372555E-2</c:v>
                </c:pt>
                <c:pt idx="6">
                  <c:v>-0.2704899991746218</c:v>
                </c:pt>
                <c:pt idx="7">
                  <c:v>-0.3010958271313452</c:v>
                </c:pt>
                <c:pt idx="8">
                  <c:v>-0.25102848101265851</c:v>
                </c:pt>
                <c:pt idx="9">
                  <c:v>-0.13282352668965081</c:v>
                </c:pt>
                <c:pt idx="10">
                  <c:v>-8.486306629127216E-2</c:v>
                </c:pt>
                <c:pt idx="11">
                  <c:v>-4.6486029621329861E-2</c:v>
                </c:pt>
                <c:pt idx="12">
                  <c:v>3.0756046467340203E-2</c:v>
                </c:pt>
                <c:pt idx="13">
                  <c:v>8.9065523693764748E-2</c:v>
                </c:pt>
                <c:pt idx="14">
                  <c:v>-9.1899106641792239E-2</c:v>
                </c:pt>
                <c:pt idx="15">
                  <c:v>-0.17547384635992236</c:v>
                </c:pt>
                <c:pt idx="16">
                  <c:v>-0.20622070188774855</c:v>
                </c:pt>
                <c:pt idx="17">
                  <c:v>-0.15963617589893131</c:v>
                </c:pt>
                <c:pt idx="18">
                  <c:v>-0.10524033112707665</c:v>
                </c:pt>
                <c:pt idx="19">
                  <c:v>-7.3806157857050914E-2</c:v>
                </c:pt>
              </c:numCache>
            </c:numRef>
          </c:val>
          <c:smooth val="0"/>
        </c:ser>
        <c:ser>
          <c:idx val="1"/>
          <c:order val="1"/>
          <c:tx>
            <c:v>Газрын тос</c:v>
          </c:tx>
          <c:marker>
            <c:symbol val="none"/>
          </c:marker>
          <c:cat>
            <c:numRef>
              <c:f>'industrial data '!$CB$1:$CU$1</c:f>
              <c:numCache>
                <c:formatCode>mmm\-yy</c:formatCode>
                <c:ptCount val="20"/>
                <c:pt idx="0">
                  <c:v>40909</c:v>
                </c:pt>
                <c:pt idx="1">
                  <c:v>40940</c:v>
                </c:pt>
                <c:pt idx="2">
                  <c:v>40969</c:v>
                </c:pt>
                <c:pt idx="3">
                  <c:v>41000</c:v>
                </c:pt>
                <c:pt idx="4">
                  <c:v>41030</c:v>
                </c:pt>
                <c:pt idx="5">
                  <c:v>41061</c:v>
                </c:pt>
                <c:pt idx="6">
                  <c:v>41091</c:v>
                </c:pt>
                <c:pt idx="7">
                  <c:v>41122</c:v>
                </c:pt>
                <c:pt idx="8">
                  <c:v>41153</c:v>
                </c:pt>
                <c:pt idx="9">
                  <c:v>41183</c:v>
                </c:pt>
                <c:pt idx="10">
                  <c:v>41214</c:v>
                </c:pt>
                <c:pt idx="11">
                  <c:v>41244</c:v>
                </c:pt>
                <c:pt idx="12">
                  <c:v>41275</c:v>
                </c:pt>
                <c:pt idx="13">
                  <c:v>41306</c:v>
                </c:pt>
                <c:pt idx="14">
                  <c:v>41334</c:v>
                </c:pt>
                <c:pt idx="15">
                  <c:v>41365</c:v>
                </c:pt>
                <c:pt idx="16">
                  <c:v>41395</c:v>
                </c:pt>
                <c:pt idx="17">
                  <c:v>41426</c:v>
                </c:pt>
                <c:pt idx="18">
                  <c:v>41456</c:v>
                </c:pt>
                <c:pt idx="19">
                  <c:v>41487</c:v>
                </c:pt>
              </c:numCache>
            </c:numRef>
          </c:cat>
          <c:val>
            <c:numRef>
              <c:f>'industrial data '!$CB$91:$CU$91</c:f>
              <c:numCache>
                <c:formatCode>0%</c:formatCode>
                <c:ptCount val="20"/>
                <c:pt idx="0">
                  <c:v>0.70780051234959984</c:v>
                </c:pt>
                <c:pt idx="1">
                  <c:v>0.74632516856001341</c:v>
                </c:pt>
                <c:pt idx="2">
                  <c:v>0.6518655732003964</c:v>
                </c:pt>
                <c:pt idx="3">
                  <c:v>0.54990576136281533</c:v>
                </c:pt>
                <c:pt idx="4">
                  <c:v>0.42221266526882317</c:v>
                </c:pt>
                <c:pt idx="5">
                  <c:v>0.42915772826869869</c:v>
                </c:pt>
                <c:pt idx="6">
                  <c:v>0.48546565793119911</c:v>
                </c:pt>
                <c:pt idx="7">
                  <c:v>0.50701203551708773</c:v>
                </c:pt>
                <c:pt idx="8">
                  <c:v>0.39219627273177182</c:v>
                </c:pt>
                <c:pt idx="9">
                  <c:v>0.35107123830507381</c:v>
                </c:pt>
                <c:pt idx="10">
                  <c:v>0.2869388521652998</c:v>
                </c:pt>
                <c:pt idx="11">
                  <c:v>0.31265639454379546</c:v>
                </c:pt>
                <c:pt idx="12">
                  <c:v>0.22052617217774872</c:v>
                </c:pt>
                <c:pt idx="13">
                  <c:v>0.19533739721262333</c:v>
                </c:pt>
                <c:pt idx="14">
                  <c:v>0.21840284839096236</c:v>
                </c:pt>
                <c:pt idx="15">
                  <c:v>0.27650312797053078</c:v>
                </c:pt>
                <c:pt idx="16">
                  <c:v>0.33691400757598755</c:v>
                </c:pt>
                <c:pt idx="17">
                  <c:v>0.41732858561762476</c:v>
                </c:pt>
                <c:pt idx="18">
                  <c:v>0.46820148295861808</c:v>
                </c:pt>
                <c:pt idx="19">
                  <c:v>0.50690158239495475</c:v>
                </c:pt>
              </c:numCache>
            </c:numRef>
          </c:val>
          <c:smooth val="0"/>
        </c:ser>
        <c:ser>
          <c:idx val="2"/>
          <c:order val="2"/>
          <c:tx>
            <c:v>Металын хүдэр</c:v>
          </c:tx>
          <c:marker>
            <c:symbol val="none"/>
          </c:marker>
          <c:cat>
            <c:numRef>
              <c:f>'industrial data '!$CB$1:$CU$1</c:f>
              <c:numCache>
                <c:formatCode>mmm\-yy</c:formatCode>
                <c:ptCount val="20"/>
                <c:pt idx="0">
                  <c:v>40909</c:v>
                </c:pt>
                <c:pt idx="1">
                  <c:v>40940</c:v>
                </c:pt>
                <c:pt idx="2">
                  <c:v>40969</c:v>
                </c:pt>
                <c:pt idx="3">
                  <c:v>41000</c:v>
                </c:pt>
                <c:pt idx="4">
                  <c:v>41030</c:v>
                </c:pt>
                <c:pt idx="5">
                  <c:v>41061</c:v>
                </c:pt>
                <c:pt idx="6">
                  <c:v>41091</c:v>
                </c:pt>
                <c:pt idx="7">
                  <c:v>41122</c:v>
                </c:pt>
                <c:pt idx="8">
                  <c:v>41153</c:v>
                </c:pt>
                <c:pt idx="9">
                  <c:v>41183</c:v>
                </c:pt>
                <c:pt idx="10">
                  <c:v>41214</c:v>
                </c:pt>
                <c:pt idx="11">
                  <c:v>41244</c:v>
                </c:pt>
                <c:pt idx="12">
                  <c:v>41275</c:v>
                </c:pt>
                <c:pt idx="13">
                  <c:v>41306</c:v>
                </c:pt>
                <c:pt idx="14">
                  <c:v>41334</c:v>
                </c:pt>
                <c:pt idx="15">
                  <c:v>41365</c:v>
                </c:pt>
                <c:pt idx="16">
                  <c:v>41395</c:v>
                </c:pt>
                <c:pt idx="17">
                  <c:v>41426</c:v>
                </c:pt>
                <c:pt idx="18">
                  <c:v>41456</c:v>
                </c:pt>
                <c:pt idx="19">
                  <c:v>41487</c:v>
                </c:pt>
              </c:numCache>
            </c:numRef>
          </c:cat>
          <c:val>
            <c:numRef>
              <c:f>'industrial data '!$CB$94:$CU$94</c:f>
              <c:numCache>
                <c:formatCode>0%</c:formatCode>
                <c:ptCount val="20"/>
                <c:pt idx="0">
                  <c:v>-7.7099125782102318E-2</c:v>
                </c:pt>
                <c:pt idx="1">
                  <c:v>-8.8601132019585527E-2</c:v>
                </c:pt>
                <c:pt idx="2">
                  <c:v>-2.9547246241105163E-2</c:v>
                </c:pt>
                <c:pt idx="3">
                  <c:v>2.1337777074305064E-2</c:v>
                </c:pt>
                <c:pt idx="4">
                  <c:v>8.9583079206830618E-2</c:v>
                </c:pt>
                <c:pt idx="5">
                  <c:v>0.1833417337239176</c:v>
                </c:pt>
                <c:pt idx="6">
                  <c:v>0.23902744016076083</c:v>
                </c:pt>
                <c:pt idx="7">
                  <c:v>0.10706781834880519</c:v>
                </c:pt>
                <c:pt idx="8">
                  <c:v>1.1553409263072245E-2</c:v>
                </c:pt>
                <c:pt idx="9">
                  <c:v>-6.3178149670371053E-2</c:v>
                </c:pt>
                <c:pt idx="10">
                  <c:v>2.4419602380981509E-2</c:v>
                </c:pt>
                <c:pt idx="11">
                  <c:v>9.9707751002931166E-2</c:v>
                </c:pt>
                <c:pt idx="12">
                  <c:v>0.13307336572324013</c:v>
                </c:pt>
                <c:pt idx="13">
                  <c:v>6.0203314542379927E-2</c:v>
                </c:pt>
                <c:pt idx="14">
                  <c:v>2.1082459380092899E-2</c:v>
                </c:pt>
                <c:pt idx="15">
                  <c:v>-3.3437592874483224E-2</c:v>
                </c:pt>
                <c:pt idx="16">
                  <c:v>-6.8950976376170203E-2</c:v>
                </c:pt>
                <c:pt idx="17">
                  <c:v>9.365956783675311E-2</c:v>
                </c:pt>
                <c:pt idx="18">
                  <c:v>0.32638463222260161</c:v>
                </c:pt>
                <c:pt idx="19">
                  <c:v>0.4603878062329132</c:v>
                </c:pt>
              </c:numCache>
            </c:numRef>
          </c:val>
          <c:smooth val="0"/>
        </c:ser>
        <c:dLbls>
          <c:showLegendKey val="0"/>
          <c:showVal val="0"/>
          <c:showCatName val="0"/>
          <c:showSerName val="0"/>
          <c:showPercent val="0"/>
          <c:showBubbleSize val="0"/>
        </c:dLbls>
        <c:marker val="1"/>
        <c:smooth val="0"/>
        <c:axId val="244512640"/>
        <c:axId val="244514176"/>
      </c:lineChart>
      <c:dateAx>
        <c:axId val="244512640"/>
        <c:scaling>
          <c:orientation val="minMax"/>
        </c:scaling>
        <c:delete val="0"/>
        <c:axPos val="b"/>
        <c:numFmt formatCode="mmm\-yy" sourceLinked="1"/>
        <c:majorTickMark val="out"/>
        <c:minorTickMark val="none"/>
        <c:tickLblPos val="nextTo"/>
        <c:txPr>
          <a:bodyPr/>
          <a:lstStyle/>
          <a:p>
            <a:pPr>
              <a:defRPr sz="600"/>
            </a:pPr>
            <a:endParaRPr lang="en-US"/>
          </a:p>
        </c:txPr>
        <c:crossAx val="244514176"/>
        <c:crosses val="autoZero"/>
        <c:auto val="1"/>
        <c:lblOffset val="100"/>
        <c:baseTimeUnit val="months"/>
      </c:dateAx>
      <c:valAx>
        <c:axId val="244514176"/>
        <c:scaling>
          <c:orientation val="minMax"/>
        </c:scaling>
        <c:delete val="0"/>
        <c:axPos val="l"/>
        <c:majorGridlines>
          <c:spPr>
            <a:ln>
              <a:noFill/>
            </a:ln>
          </c:spPr>
        </c:majorGridlines>
        <c:numFmt formatCode="0%" sourceLinked="1"/>
        <c:majorTickMark val="out"/>
        <c:minorTickMark val="none"/>
        <c:tickLblPos val="nextTo"/>
        <c:txPr>
          <a:bodyPr/>
          <a:lstStyle/>
          <a:p>
            <a:pPr>
              <a:defRPr sz="800"/>
            </a:pPr>
            <a:endParaRPr lang="en-US"/>
          </a:p>
        </c:txPr>
        <c:crossAx val="244512640"/>
        <c:crosses val="autoZero"/>
        <c:crossBetween val="between"/>
      </c:valAx>
    </c:plotArea>
    <c:legend>
      <c:legendPos val="r"/>
      <c:layout>
        <c:manualLayout>
          <c:xMode val="edge"/>
          <c:yMode val="edge"/>
          <c:x val="0.55497178477690301"/>
          <c:y val="4.109069699620882E-2"/>
          <c:w val="0.37132308690246674"/>
          <c:h val="0.35419403824521933"/>
        </c:manualLayout>
      </c:layout>
      <c:overlay val="0"/>
      <c:txPr>
        <a:bodyPr/>
        <a:lstStyle/>
        <a:p>
          <a:pPr>
            <a:defRPr sz="600"/>
          </a:pPr>
          <a:endParaRPr lang="en-US"/>
        </a:p>
      </c:txPr>
    </c:legend>
    <c:plotVisOnly val="1"/>
    <c:dispBlanksAs val="gap"/>
    <c:showDLblsOverMax val="0"/>
  </c:chart>
  <c:spPr>
    <a:ln>
      <a:no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8409573803274587E-2"/>
          <c:y val="4.5032383270055681E-2"/>
          <c:w val="0.92659136357955252"/>
          <c:h val="0.90383741340508528"/>
        </c:manualLayout>
      </c:layout>
      <c:lineChart>
        <c:grouping val="standard"/>
        <c:varyColors val="0"/>
        <c:ser>
          <c:idx val="0"/>
          <c:order val="0"/>
          <c:tx>
            <c:v>Final Consumption</c:v>
          </c:tx>
          <c:spPr>
            <a:ln w="22225"/>
          </c:spPr>
          <c:marker>
            <c:symbol val="none"/>
          </c:marker>
          <c:cat>
            <c:multiLvlStrRef>
              <c:f>'QGDP_exp_constant price'!$A$25:$B$41</c:f>
              <c:multiLvlStrCache>
                <c:ptCount val="17"/>
                <c:lvl>
                  <c:pt idx="0">
                    <c:v>II</c:v>
                  </c:pt>
                  <c:pt idx="1">
                    <c:v>III</c:v>
                  </c:pt>
                  <c:pt idx="2">
                    <c:v>IV</c:v>
                  </c:pt>
                  <c:pt idx="3">
                    <c:v>I</c:v>
                  </c:pt>
                  <c:pt idx="4">
                    <c:v>II</c:v>
                  </c:pt>
                  <c:pt idx="5">
                    <c:v>III</c:v>
                  </c:pt>
                  <c:pt idx="6">
                    <c:v>IV</c:v>
                  </c:pt>
                  <c:pt idx="7">
                    <c:v>I</c:v>
                  </c:pt>
                  <c:pt idx="8">
                    <c:v>II</c:v>
                  </c:pt>
                  <c:pt idx="9">
                    <c:v>III</c:v>
                  </c:pt>
                  <c:pt idx="10">
                    <c:v>IV</c:v>
                  </c:pt>
                  <c:pt idx="11">
                    <c:v>I</c:v>
                  </c:pt>
                  <c:pt idx="12">
                    <c:v>II</c:v>
                  </c:pt>
                  <c:pt idx="13">
                    <c:v>III</c:v>
                  </c:pt>
                  <c:pt idx="14">
                    <c:v>IV</c:v>
                  </c:pt>
                  <c:pt idx="15">
                    <c:v>I</c:v>
                  </c:pt>
                  <c:pt idx="16">
                    <c:v>II</c:v>
                  </c:pt>
                </c:lvl>
                <c:lvl>
                  <c:pt idx="0">
                    <c:v>2009</c:v>
                  </c:pt>
                  <c:pt idx="3">
                    <c:v>2010</c:v>
                  </c:pt>
                  <c:pt idx="7">
                    <c:v>2011</c:v>
                  </c:pt>
                  <c:pt idx="11">
                    <c:v>2012*</c:v>
                  </c:pt>
                  <c:pt idx="15">
                    <c:v>2013</c:v>
                  </c:pt>
                </c:lvl>
              </c:multiLvlStrCache>
            </c:multiLvlStrRef>
          </c:cat>
          <c:val>
            <c:numRef>
              <c:f>'QGDP_exp_constant price'!$O$25:$O$41</c:f>
              <c:numCache>
                <c:formatCode>#\ ###\ ##0.0</c:formatCode>
                <c:ptCount val="17"/>
                <c:pt idx="0">
                  <c:v>-0.67233975451973504</c:v>
                </c:pt>
                <c:pt idx="1">
                  <c:v>-4.6508462004636755</c:v>
                </c:pt>
                <c:pt idx="2">
                  <c:v>-3.6916948173397106</c:v>
                </c:pt>
                <c:pt idx="3">
                  <c:v>-0.4645748433448767</c:v>
                </c:pt>
                <c:pt idx="4">
                  <c:v>5.8595759995451262</c:v>
                </c:pt>
                <c:pt idx="5">
                  <c:v>12.304676265218243</c:v>
                </c:pt>
                <c:pt idx="6">
                  <c:v>11.196126409046284</c:v>
                </c:pt>
                <c:pt idx="7">
                  <c:v>10.720397820768898</c:v>
                </c:pt>
                <c:pt idx="8">
                  <c:v>16.497234503638118</c:v>
                </c:pt>
                <c:pt idx="9">
                  <c:v>8.2041933957702042</c:v>
                </c:pt>
                <c:pt idx="10">
                  <c:v>6.2881203103084786</c:v>
                </c:pt>
                <c:pt idx="11">
                  <c:v>15.098378880636959</c:v>
                </c:pt>
                <c:pt idx="12">
                  <c:v>18.231494008988651</c:v>
                </c:pt>
                <c:pt idx="13">
                  <c:v>15.075349758964926</c:v>
                </c:pt>
                <c:pt idx="14">
                  <c:v>13.957091116066223</c:v>
                </c:pt>
                <c:pt idx="15">
                  <c:v>11.965178272674532</c:v>
                </c:pt>
                <c:pt idx="16">
                  <c:v>15.509967835518147</c:v>
                </c:pt>
              </c:numCache>
            </c:numRef>
          </c:val>
          <c:smooth val="0"/>
        </c:ser>
        <c:ser>
          <c:idx val="1"/>
          <c:order val="1"/>
          <c:tx>
            <c:v>Gross Capital Formation</c:v>
          </c:tx>
          <c:spPr>
            <a:ln w="22225"/>
          </c:spPr>
          <c:marker>
            <c:symbol val="none"/>
          </c:marker>
          <c:cat>
            <c:multiLvlStrRef>
              <c:f>'QGDP_exp_constant price'!$A$25:$B$41</c:f>
              <c:multiLvlStrCache>
                <c:ptCount val="17"/>
                <c:lvl>
                  <c:pt idx="0">
                    <c:v>II</c:v>
                  </c:pt>
                  <c:pt idx="1">
                    <c:v>III</c:v>
                  </c:pt>
                  <c:pt idx="2">
                    <c:v>IV</c:v>
                  </c:pt>
                  <c:pt idx="3">
                    <c:v>I</c:v>
                  </c:pt>
                  <c:pt idx="4">
                    <c:v>II</c:v>
                  </c:pt>
                  <c:pt idx="5">
                    <c:v>III</c:v>
                  </c:pt>
                  <c:pt idx="6">
                    <c:v>IV</c:v>
                  </c:pt>
                  <c:pt idx="7">
                    <c:v>I</c:v>
                  </c:pt>
                  <c:pt idx="8">
                    <c:v>II</c:v>
                  </c:pt>
                  <c:pt idx="9">
                    <c:v>III</c:v>
                  </c:pt>
                  <c:pt idx="10">
                    <c:v>IV</c:v>
                  </c:pt>
                  <c:pt idx="11">
                    <c:v>I</c:v>
                  </c:pt>
                  <c:pt idx="12">
                    <c:v>II</c:v>
                  </c:pt>
                  <c:pt idx="13">
                    <c:v>III</c:v>
                  </c:pt>
                  <c:pt idx="14">
                    <c:v>IV</c:v>
                  </c:pt>
                  <c:pt idx="15">
                    <c:v>I</c:v>
                  </c:pt>
                  <c:pt idx="16">
                    <c:v>II</c:v>
                  </c:pt>
                </c:lvl>
                <c:lvl>
                  <c:pt idx="0">
                    <c:v>2009</c:v>
                  </c:pt>
                  <c:pt idx="3">
                    <c:v>2010</c:v>
                  </c:pt>
                  <c:pt idx="7">
                    <c:v>2011</c:v>
                  </c:pt>
                  <c:pt idx="11">
                    <c:v>2012*</c:v>
                  </c:pt>
                  <c:pt idx="15">
                    <c:v>2013</c:v>
                  </c:pt>
                </c:lvl>
              </c:multiLvlStrCache>
            </c:multiLvlStrRef>
          </c:cat>
          <c:val>
            <c:numRef>
              <c:f>'QGDP_exp_constant price'!$P$25:$P$41</c:f>
              <c:numCache>
                <c:formatCode>#\ ###\ ##0.0</c:formatCode>
                <c:ptCount val="17"/>
                <c:pt idx="0">
                  <c:v>-21.431122810196275</c:v>
                </c:pt>
                <c:pt idx="1">
                  <c:v>-19.762702937938094</c:v>
                </c:pt>
                <c:pt idx="2">
                  <c:v>-7.6706559318751699</c:v>
                </c:pt>
                <c:pt idx="3">
                  <c:v>5.0265782173113038</c:v>
                </c:pt>
                <c:pt idx="4">
                  <c:v>16.018810021763692</c:v>
                </c:pt>
                <c:pt idx="5">
                  <c:v>13.569345432214647</c:v>
                </c:pt>
                <c:pt idx="6">
                  <c:v>8.8050236566722404</c:v>
                </c:pt>
                <c:pt idx="7">
                  <c:v>14.757340367628146</c:v>
                </c:pt>
                <c:pt idx="8">
                  <c:v>31.421304413503144</c:v>
                </c:pt>
                <c:pt idx="9">
                  <c:v>37.453564214221323</c:v>
                </c:pt>
                <c:pt idx="10">
                  <c:v>27.520277948639027</c:v>
                </c:pt>
                <c:pt idx="11">
                  <c:v>21.096830703076296</c:v>
                </c:pt>
                <c:pt idx="12">
                  <c:v>27.03403230250056</c:v>
                </c:pt>
                <c:pt idx="13">
                  <c:v>16.928026602710741</c:v>
                </c:pt>
                <c:pt idx="14">
                  <c:v>11.731448021142908</c:v>
                </c:pt>
                <c:pt idx="15">
                  <c:v>1.705332770912912</c:v>
                </c:pt>
                <c:pt idx="16">
                  <c:v>-11.994848914641395</c:v>
                </c:pt>
              </c:numCache>
            </c:numRef>
          </c:val>
          <c:smooth val="0"/>
        </c:ser>
        <c:ser>
          <c:idx val="2"/>
          <c:order val="2"/>
          <c:tx>
            <c:v>Net Export</c:v>
          </c:tx>
          <c:spPr>
            <a:ln w="22225"/>
          </c:spPr>
          <c:marker>
            <c:symbol val="none"/>
          </c:marker>
          <c:cat>
            <c:multiLvlStrRef>
              <c:f>'QGDP_exp_constant price'!$A$25:$B$41</c:f>
              <c:multiLvlStrCache>
                <c:ptCount val="17"/>
                <c:lvl>
                  <c:pt idx="0">
                    <c:v>II</c:v>
                  </c:pt>
                  <c:pt idx="1">
                    <c:v>III</c:v>
                  </c:pt>
                  <c:pt idx="2">
                    <c:v>IV</c:v>
                  </c:pt>
                  <c:pt idx="3">
                    <c:v>I</c:v>
                  </c:pt>
                  <c:pt idx="4">
                    <c:v>II</c:v>
                  </c:pt>
                  <c:pt idx="5">
                    <c:v>III</c:v>
                  </c:pt>
                  <c:pt idx="6">
                    <c:v>IV</c:v>
                  </c:pt>
                  <c:pt idx="7">
                    <c:v>I</c:v>
                  </c:pt>
                  <c:pt idx="8">
                    <c:v>II</c:v>
                  </c:pt>
                  <c:pt idx="9">
                    <c:v>III</c:v>
                  </c:pt>
                  <c:pt idx="10">
                    <c:v>IV</c:v>
                  </c:pt>
                  <c:pt idx="11">
                    <c:v>I</c:v>
                  </c:pt>
                  <c:pt idx="12">
                    <c:v>II</c:v>
                  </c:pt>
                  <c:pt idx="13">
                    <c:v>III</c:v>
                  </c:pt>
                  <c:pt idx="14">
                    <c:v>IV</c:v>
                  </c:pt>
                  <c:pt idx="15">
                    <c:v>I</c:v>
                  </c:pt>
                  <c:pt idx="16">
                    <c:v>II</c:v>
                  </c:pt>
                </c:lvl>
                <c:lvl>
                  <c:pt idx="0">
                    <c:v>2009</c:v>
                  </c:pt>
                  <c:pt idx="3">
                    <c:v>2010</c:v>
                  </c:pt>
                  <c:pt idx="7">
                    <c:v>2011</c:v>
                  </c:pt>
                  <c:pt idx="11">
                    <c:v>2012*</c:v>
                  </c:pt>
                  <c:pt idx="15">
                    <c:v>2013</c:v>
                  </c:pt>
                </c:lvl>
              </c:multiLvlStrCache>
            </c:multiLvlStrRef>
          </c:cat>
          <c:val>
            <c:numRef>
              <c:f>'QGDP_exp_constant price'!$Q$25:$Q$41</c:f>
              <c:numCache>
                <c:formatCode>#\ ###\ ##0.0</c:formatCode>
                <c:ptCount val="17"/>
                <c:pt idx="0">
                  <c:v>18.550570251084466</c:v>
                </c:pt>
                <c:pt idx="1">
                  <c:v>23.016902612400887</c:v>
                </c:pt>
                <c:pt idx="2">
                  <c:v>11.910263386858412</c:v>
                </c:pt>
                <c:pt idx="3">
                  <c:v>1.1655403641799262</c:v>
                </c:pt>
                <c:pt idx="4">
                  <c:v>-8.9531139784005909</c:v>
                </c:pt>
                <c:pt idx="5">
                  <c:v>-12.948204148448831</c:v>
                </c:pt>
                <c:pt idx="6">
                  <c:v>-18.42986956171109</c:v>
                </c:pt>
                <c:pt idx="7">
                  <c:v>-21.644733364131763</c:v>
                </c:pt>
                <c:pt idx="8">
                  <c:v>-36.275028611519993</c:v>
                </c:pt>
                <c:pt idx="9">
                  <c:v>-33.554324059871483</c:v>
                </c:pt>
                <c:pt idx="10">
                  <c:v>-11.581454223192253</c:v>
                </c:pt>
                <c:pt idx="11">
                  <c:v>-18.378457804895206</c:v>
                </c:pt>
                <c:pt idx="12">
                  <c:v>-28.600716319210463</c:v>
                </c:pt>
                <c:pt idx="13">
                  <c:v>-16.882448852199943</c:v>
                </c:pt>
                <c:pt idx="14">
                  <c:v>-16.207761720631307</c:v>
                </c:pt>
                <c:pt idx="15">
                  <c:v>-3.0129464370372459</c:v>
                </c:pt>
                <c:pt idx="16">
                  <c:v>8.5715175402904897</c:v>
                </c:pt>
              </c:numCache>
            </c:numRef>
          </c:val>
          <c:smooth val="0"/>
        </c:ser>
        <c:dLbls>
          <c:showLegendKey val="0"/>
          <c:showVal val="0"/>
          <c:showCatName val="0"/>
          <c:showSerName val="0"/>
          <c:showPercent val="0"/>
          <c:showBubbleSize val="0"/>
        </c:dLbls>
        <c:marker val="1"/>
        <c:smooth val="0"/>
        <c:axId val="251307136"/>
        <c:axId val="251308672"/>
      </c:lineChart>
      <c:catAx>
        <c:axId val="251307136"/>
        <c:scaling>
          <c:orientation val="minMax"/>
        </c:scaling>
        <c:delete val="0"/>
        <c:axPos val="b"/>
        <c:numFmt formatCode="General" sourceLinked="1"/>
        <c:majorTickMark val="out"/>
        <c:minorTickMark val="none"/>
        <c:tickLblPos val="nextTo"/>
        <c:crossAx val="251308672"/>
        <c:crosses val="autoZero"/>
        <c:auto val="1"/>
        <c:lblAlgn val="ctr"/>
        <c:lblOffset val="100"/>
        <c:noMultiLvlLbl val="0"/>
      </c:catAx>
      <c:valAx>
        <c:axId val="251308672"/>
        <c:scaling>
          <c:orientation val="minMax"/>
        </c:scaling>
        <c:delete val="0"/>
        <c:axPos val="l"/>
        <c:majorGridlines>
          <c:spPr>
            <a:ln>
              <a:noFill/>
            </a:ln>
          </c:spPr>
        </c:majorGridlines>
        <c:numFmt formatCode="#,##0" sourceLinked="0"/>
        <c:majorTickMark val="out"/>
        <c:minorTickMark val="none"/>
        <c:tickLblPos val="nextTo"/>
        <c:crossAx val="251307136"/>
        <c:crosses val="autoZero"/>
        <c:crossBetween val="between"/>
      </c:valAx>
    </c:plotArea>
    <c:legend>
      <c:legendPos val="r"/>
      <c:layout>
        <c:manualLayout>
          <c:xMode val="edge"/>
          <c:yMode val="edge"/>
          <c:x val="5.412067221912932E-2"/>
          <c:y val="4.1928721174004195E-2"/>
          <c:w val="0.55542796275434136"/>
          <c:h val="0.22367944798268785"/>
        </c:manualLayout>
      </c:layout>
      <c:overlay val="0"/>
    </c:legend>
    <c:plotVisOnly val="1"/>
    <c:dispBlanksAs val="gap"/>
    <c:showDLblsOverMax val="0"/>
  </c:chart>
  <c:spPr>
    <a:ln>
      <a:noFill/>
    </a:ln>
  </c:spPr>
  <c:txPr>
    <a:bodyPr/>
    <a:lstStyle/>
    <a:p>
      <a:pPr>
        <a:defRPr sz="700"/>
      </a:pPr>
      <a:endParaRPr lang="en-US"/>
    </a:p>
  </c:txPr>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8796313942822515E-2"/>
          <c:y val="8.6523349314514345E-2"/>
          <c:w val="0.89574042143295429"/>
          <c:h val="0.84202661327448491"/>
        </c:manualLayout>
      </c:layout>
      <c:barChart>
        <c:barDir val="col"/>
        <c:grouping val="clustered"/>
        <c:varyColors val="0"/>
        <c:ser>
          <c:idx val="1"/>
          <c:order val="1"/>
          <c:tx>
            <c:v>Current Account Deficit to GDP (%, Right Axis)</c:v>
          </c:tx>
          <c:invertIfNegative val="0"/>
          <c:cat>
            <c:strRef>
              <c:f>Sheet1!$B$1:$L$1</c:f>
              <c:strCache>
                <c:ptCount val="11"/>
                <c:pt idx="0">
                  <c:v>2003</c:v>
                </c:pt>
                <c:pt idx="1">
                  <c:v>2004</c:v>
                </c:pt>
                <c:pt idx="2">
                  <c:v>2005</c:v>
                </c:pt>
                <c:pt idx="3">
                  <c:v>2006</c:v>
                </c:pt>
                <c:pt idx="4">
                  <c:v>2007</c:v>
                </c:pt>
                <c:pt idx="5">
                  <c:v>2008</c:v>
                </c:pt>
                <c:pt idx="6">
                  <c:v>2009</c:v>
                </c:pt>
                <c:pt idx="7">
                  <c:v>2010</c:v>
                </c:pt>
                <c:pt idx="8">
                  <c:v>2011</c:v>
                </c:pt>
                <c:pt idx="9">
                  <c:v>2012</c:v>
                </c:pt>
                <c:pt idx="10">
                  <c:v>H1 2013</c:v>
                </c:pt>
              </c:strCache>
            </c:strRef>
          </c:cat>
          <c:val>
            <c:numRef>
              <c:f>Sheet1!$B$3:$L$3</c:f>
              <c:numCache>
                <c:formatCode>General</c:formatCode>
                <c:ptCount val="11"/>
                <c:pt idx="0">
                  <c:v>-7.07</c:v>
                </c:pt>
                <c:pt idx="1">
                  <c:v>1.33</c:v>
                </c:pt>
                <c:pt idx="2">
                  <c:v>1.29</c:v>
                </c:pt>
                <c:pt idx="3">
                  <c:v>6.4770000000000003</c:v>
                </c:pt>
                <c:pt idx="4">
                  <c:v>6.2530000000000001</c:v>
                </c:pt>
                <c:pt idx="5">
                  <c:v>-12.874000000000001</c:v>
                </c:pt>
                <c:pt idx="6">
                  <c:v>-9</c:v>
                </c:pt>
                <c:pt idx="7">
                  <c:v>-14.9</c:v>
                </c:pt>
                <c:pt idx="8">
                  <c:v>-31.7</c:v>
                </c:pt>
                <c:pt idx="9">
                  <c:v>-32.799999999999997</c:v>
                </c:pt>
                <c:pt idx="10">
                  <c:v>-33</c:v>
                </c:pt>
              </c:numCache>
            </c:numRef>
          </c:val>
        </c:ser>
        <c:dLbls>
          <c:showLegendKey val="0"/>
          <c:showVal val="0"/>
          <c:showCatName val="0"/>
          <c:showSerName val="0"/>
          <c:showPercent val="0"/>
          <c:showBubbleSize val="0"/>
        </c:dLbls>
        <c:gapWidth val="150"/>
        <c:axId val="268323072"/>
        <c:axId val="268321536"/>
      </c:barChart>
      <c:lineChart>
        <c:grouping val="standard"/>
        <c:varyColors val="0"/>
        <c:ser>
          <c:idx val="0"/>
          <c:order val="0"/>
          <c:tx>
            <c:v>Real GDP Growth (%, Left Axis)</c:v>
          </c:tx>
          <c:spPr>
            <a:ln w="22225"/>
          </c:spPr>
          <c:marker>
            <c:symbol val="none"/>
          </c:marker>
          <c:cat>
            <c:strRef>
              <c:f>Sheet1!$B$1:$L$1</c:f>
              <c:strCache>
                <c:ptCount val="11"/>
                <c:pt idx="0">
                  <c:v>2003</c:v>
                </c:pt>
                <c:pt idx="1">
                  <c:v>2004</c:v>
                </c:pt>
                <c:pt idx="2">
                  <c:v>2005</c:v>
                </c:pt>
                <c:pt idx="3">
                  <c:v>2006</c:v>
                </c:pt>
                <c:pt idx="4">
                  <c:v>2007</c:v>
                </c:pt>
                <c:pt idx="5">
                  <c:v>2008</c:v>
                </c:pt>
                <c:pt idx="6">
                  <c:v>2009</c:v>
                </c:pt>
                <c:pt idx="7">
                  <c:v>2010</c:v>
                </c:pt>
                <c:pt idx="8">
                  <c:v>2011</c:v>
                </c:pt>
                <c:pt idx="9">
                  <c:v>2012</c:v>
                </c:pt>
                <c:pt idx="10">
                  <c:v>H1 2013</c:v>
                </c:pt>
              </c:strCache>
            </c:strRef>
          </c:cat>
          <c:val>
            <c:numRef>
              <c:f>Sheet1!$B$2:$L$2</c:f>
              <c:numCache>
                <c:formatCode>0.0</c:formatCode>
                <c:ptCount val="11"/>
                <c:pt idx="0">
                  <c:v>7.0046345746993808</c:v>
                </c:pt>
                <c:pt idx="1">
                  <c:v>10.625405957440222</c:v>
                </c:pt>
                <c:pt idx="2">
                  <c:v>7.2536654425234559</c:v>
                </c:pt>
                <c:pt idx="3">
                  <c:v>8.55623480743823</c:v>
                </c:pt>
                <c:pt idx="4">
                  <c:v>10.248016358707602</c:v>
                </c:pt>
                <c:pt idx="5">
                  <c:v>8.9003679488518088</c:v>
                </c:pt>
                <c:pt idx="6">
                  <c:v>-1.2685989419972969</c:v>
                </c:pt>
                <c:pt idx="7">
                  <c:v>6.3651616849486032</c:v>
                </c:pt>
                <c:pt idx="8">
                  <c:v>17.51364803065249</c:v>
                </c:pt>
                <c:pt idx="9">
                  <c:v>12.401099799020599</c:v>
                </c:pt>
                <c:pt idx="10">
                  <c:v>11.3</c:v>
                </c:pt>
              </c:numCache>
            </c:numRef>
          </c:val>
          <c:smooth val="0"/>
        </c:ser>
        <c:dLbls>
          <c:showLegendKey val="0"/>
          <c:showVal val="0"/>
          <c:showCatName val="0"/>
          <c:showSerName val="0"/>
          <c:showPercent val="0"/>
          <c:showBubbleSize val="0"/>
        </c:dLbls>
        <c:marker val="1"/>
        <c:smooth val="0"/>
        <c:axId val="251586048"/>
        <c:axId val="251587584"/>
      </c:lineChart>
      <c:catAx>
        <c:axId val="251586048"/>
        <c:scaling>
          <c:orientation val="minMax"/>
        </c:scaling>
        <c:delete val="0"/>
        <c:axPos val="b"/>
        <c:majorTickMark val="out"/>
        <c:minorTickMark val="none"/>
        <c:tickLblPos val="low"/>
        <c:crossAx val="251587584"/>
        <c:crosses val="autoZero"/>
        <c:auto val="1"/>
        <c:lblAlgn val="ctr"/>
        <c:lblOffset val="100"/>
        <c:noMultiLvlLbl val="0"/>
      </c:catAx>
      <c:valAx>
        <c:axId val="251587584"/>
        <c:scaling>
          <c:orientation val="minMax"/>
        </c:scaling>
        <c:delete val="0"/>
        <c:axPos val="l"/>
        <c:majorGridlines>
          <c:spPr>
            <a:ln>
              <a:noFill/>
            </a:ln>
          </c:spPr>
        </c:majorGridlines>
        <c:numFmt formatCode="0" sourceLinked="0"/>
        <c:majorTickMark val="out"/>
        <c:minorTickMark val="none"/>
        <c:tickLblPos val="nextTo"/>
        <c:crossAx val="251586048"/>
        <c:crosses val="autoZero"/>
        <c:crossBetween val="between"/>
      </c:valAx>
      <c:valAx>
        <c:axId val="268321536"/>
        <c:scaling>
          <c:orientation val="minMax"/>
        </c:scaling>
        <c:delete val="0"/>
        <c:axPos val="r"/>
        <c:numFmt formatCode="General" sourceLinked="1"/>
        <c:majorTickMark val="out"/>
        <c:minorTickMark val="none"/>
        <c:tickLblPos val="nextTo"/>
        <c:crossAx val="268323072"/>
        <c:crosses val="max"/>
        <c:crossBetween val="between"/>
      </c:valAx>
      <c:catAx>
        <c:axId val="268323072"/>
        <c:scaling>
          <c:orientation val="minMax"/>
        </c:scaling>
        <c:delete val="1"/>
        <c:axPos val="b"/>
        <c:majorTickMark val="out"/>
        <c:minorTickMark val="none"/>
        <c:tickLblPos val="nextTo"/>
        <c:crossAx val="268321536"/>
        <c:crosses val="autoZero"/>
        <c:auto val="1"/>
        <c:lblAlgn val="ctr"/>
        <c:lblOffset val="100"/>
        <c:noMultiLvlLbl val="0"/>
      </c:catAx>
    </c:plotArea>
    <c:legend>
      <c:legendPos val="r"/>
      <c:layout>
        <c:manualLayout>
          <c:xMode val="edge"/>
          <c:yMode val="edge"/>
          <c:x val="4.6648117227340712E-2"/>
          <c:y val="0.52037143848898237"/>
          <c:w val="0.48468347540183426"/>
          <c:h val="0.23362193783972529"/>
        </c:manualLayout>
      </c:layout>
      <c:overlay val="0"/>
    </c:legend>
    <c:plotVisOnly val="1"/>
    <c:dispBlanksAs val="gap"/>
    <c:showDLblsOverMax val="0"/>
  </c:chart>
  <c:spPr>
    <a:ln>
      <a:noFill/>
    </a:ln>
  </c:spPr>
  <c:txPr>
    <a:bodyPr/>
    <a:lstStyle/>
    <a:p>
      <a:pPr>
        <a:defRPr sz="600"/>
      </a:pPr>
      <a:endParaRPr lang="en-US"/>
    </a:p>
  </c:txPr>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0515010213896769E-2"/>
          <c:y val="5.1400554097404488E-2"/>
          <c:w val="0.93947805441721544"/>
          <c:h val="0.85874919123481663"/>
        </c:manualLayout>
      </c:layout>
      <c:barChart>
        <c:barDir val="col"/>
        <c:grouping val="clustered"/>
        <c:varyColors val="0"/>
        <c:ser>
          <c:idx val="0"/>
          <c:order val="0"/>
          <c:tx>
            <c:strRef>
              <c:f>Sheet2!$A$9</c:f>
              <c:strCache>
                <c:ptCount val="1"/>
                <c:pt idx="0">
                  <c:v>      China</c:v>
                </c:pt>
              </c:strCache>
            </c:strRef>
          </c:tx>
          <c:invertIfNegative val="0"/>
          <c:cat>
            <c:strRef>
              <c:f>Sheet2!$B$5:$D$5</c:f>
              <c:strCache>
                <c:ptCount val="3"/>
                <c:pt idx="0">
                  <c:v>2011</c:v>
                </c:pt>
                <c:pt idx="1">
                  <c:v>2012</c:v>
                </c:pt>
                <c:pt idx="2">
                  <c:v>2013f</c:v>
                </c:pt>
              </c:strCache>
            </c:strRef>
          </c:cat>
          <c:val>
            <c:numRef>
              <c:f>Sheet2!$B$9:$D$9</c:f>
              <c:numCache>
                <c:formatCode>General</c:formatCode>
                <c:ptCount val="3"/>
                <c:pt idx="0">
                  <c:v>9.3000000000000007</c:v>
                </c:pt>
                <c:pt idx="1">
                  <c:v>7.8</c:v>
                </c:pt>
                <c:pt idx="2">
                  <c:v>7.5</c:v>
                </c:pt>
              </c:numCache>
            </c:numRef>
          </c:val>
        </c:ser>
        <c:ser>
          <c:idx val="1"/>
          <c:order val="1"/>
          <c:tx>
            <c:strRef>
              <c:f>Sheet2!$A$10</c:f>
              <c:strCache>
                <c:ptCount val="1"/>
                <c:pt idx="0">
                  <c:v>      Indonesia</c:v>
                </c:pt>
              </c:strCache>
            </c:strRef>
          </c:tx>
          <c:spPr>
            <a:solidFill>
              <a:schemeClr val="accent6">
                <a:lumMod val="40000"/>
                <a:lumOff val="60000"/>
              </a:schemeClr>
            </a:solidFill>
          </c:spPr>
          <c:invertIfNegative val="0"/>
          <c:cat>
            <c:strRef>
              <c:f>Sheet2!$B$5:$D$5</c:f>
              <c:strCache>
                <c:ptCount val="3"/>
                <c:pt idx="0">
                  <c:v>2011</c:v>
                </c:pt>
                <c:pt idx="1">
                  <c:v>2012</c:v>
                </c:pt>
                <c:pt idx="2">
                  <c:v>2013f</c:v>
                </c:pt>
              </c:strCache>
            </c:strRef>
          </c:cat>
          <c:val>
            <c:numRef>
              <c:f>Sheet2!$B$10:$D$10</c:f>
              <c:numCache>
                <c:formatCode>General</c:formatCode>
                <c:ptCount val="3"/>
                <c:pt idx="0">
                  <c:v>6.5</c:v>
                </c:pt>
                <c:pt idx="1">
                  <c:v>6.2</c:v>
                </c:pt>
                <c:pt idx="2">
                  <c:v>5.6</c:v>
                </c:pt>
              </c:numCache>
            </c:numRef>
          </c:val>
        </c:ser>
        <c:ser>
          <c:idx val="3"/>
          <c:order val="2"/>
          <c:tx>
            <c:strRef>
              <c:f>Sheet2!$A$18</c:f>
              <c:strCache>
                <c:ptCount val="1"/>
                <c:pt idx="0">
                  <c:v>      Mongolia</c:v>
                </c:pt>
              </c:strCache>
            </c:strRef>
          </c:tx>
          <c:invertIfNegative val="0"/>
          <c:cat>
            <c:strRef>
              <c:f>Sheet2!$B$5:$D$5</c:f>
              <c:strCache>
                <c:ptCount val="3"/>
                <c:pt idx="0">
                  <c:v>2011</c:v>
                </c:pt>
                <c:pt idx="1">
                  <c:v>2012</c:v>
                </c:pt>
                <c:pt idx="2">
                  <c:v>2013f</c:v>
                </c:pt>
              </c:strCache>
            </c:strRef>
          </c:cat>
          <c:val>
            <c:numRef>
              <c:f>Sheet2!$B$18:$D$18</c:f>
              <c:numCache>
                <c:formatCode>General</c:formatCode>
                <c:ptCount val="3"/>
                <c:pt idx="0">
                  <c:v>17.5</c:v>
                </c:pt>
                <c:pt idx="1">
                  <c:v>12.4</c:v>
                </c:pt>
                <c:pt idx="2">
                  <c:v>12.5</c:v>
                </c:pt>
              </c:numCache>
            </c:numRef>
          </c:val>
        </c:ser>
        <c:ser>
          <c:idx val="4"/>
          <c:order val="3"/>
          <c:tx>
            <c:strRef>
              <c:f>Sheet2!$A$19</c:f>
              <c:strCache>
                <c:ptCount val="1"/>
                <c:pt idx="0">
                  <c:v>      Myanmar</c:v>
                </c:pt>
              </c:strCache>
            </c:strRef>
          </c:tx>
          <c:invertIfNegative val="0"/>
          <c:cat>
            <c:strRef>
              <c:f>Sheet2!$B$5:$D$5</c:f>
              <c:strCache>
                <c:ptCount val="3"/>
                <c:pt idx="0">
                  <c:v>2011</c:v>
                </c:pt>
                <c:pt idx="1">
                  <c:v>2012</c:v>
                </c:pt>
                <c:pt idx="2">
                  <c:v>2013f</c:v>
                </c:pt>
              </c:strCache>
            </c:strRef>
          </c:cat>
          <c:val>
            <c:numRef>
              <c:f>Sheet2!$B$19:$D$19</c:f>
              <c:numCache>
                <c:formatCode>General</c:formatCode>
                <c:ptCount val="3"/>
                <c:pt idx="0">
                  <c:v>5.9</c:v>
                </c:pt>
                <c:pt idx="1">
                  <c:v>6.4</c:v>
                </c:pt>
                <c:pt idx="2">
                  <c:v>6.8</c:v>
                </c:pt>
              </c:numCache>
            </c:numRef>
          </c:val>
        </c:ser>
        <c:ser>
          <c:idx val="5"/>
          <c:order val="4"/>
          <c:tx>
            <c:strRef>
              <c:f>Sheet2!$A$22</c:f>
              <c:strCache>
                <c:ptCount val="1"/>
                <c:pt idx="0">
                  <c:v>      Timor-Leste</c:v>
                </c:pt>
              </c:strCache>
            </c:strRef>
          </c:tx>
          <c:invertIfNegative val="0"/>
          <c:cat>
            <c:strRef>
              <c:f>Sheet2!$B$5:$D$5</c:f>
              <c:strCache>
                <c:ptCount val="3"/>
                <c:pt idx="0">
                  <c:v>2011</c:v>
                </c:pt>
                <c:pt idx="1">
                  <c:v>2012</c:v>
                </c:pt>
                <c:pt idx="2">
                  <c:v>2013f</c:v>
                </c:pt>
              </c:strCache>
            </c:strRef>
          </c:cat>
          <c:val>
            <c:numRef>
              <c:f>Sheet2!$B$22:$D$22</c:f>
              <c:numCache>
                <c:formatCode>General</c:formatCode>
                <c:ptCount val="3"/>
                <c:pt idx="0">
                  <c:v>10.6</c:v>
                </c:pt>
                <c:pt idx="1">
                  <c:v>10.6</c:v>
                </c:pt>
                <c:pt idx="2">
                  <c:v>10.4</c:v>
                </c:pt>
              </c:numCache>
            </c:numRef>
          </c:val>
        </c:ser>
        <c:dLbls>
          <c:showLegendKey val="0"/>
          <c:showVal val="0"/>
          <c:showCatName val="0"/>
          <c:showSerName val="0"/>
          <c:showPercent val="0"/>
          <c:showBubbleSize val="0"/>
        </c:dLbls>
        <c:gapWidth val="150"/>
        <c:axId val="268356224"/>
        <c:axId val="268366208"/>
      </c:barChart>
      <c:catAx>
        <c:axId val="268356224"/>
        <c:scaling>
          <c:orientation val="minMax"/>
        </c:scaling>
        <c:delete val="0"/>
        <c:axPos val="b"/>
        <c:numFmt formatCode="General" sourceLinked="0"/>
        <c:majorTickMark val="out"/>
        <c:minorTickMark val="none"/>
        <c:tickLblPos val="nextTo"/>
        <c:crossAx val="268366208"/>
        <c:crosses val="autoZero"/>
        <c:auto val="1"/>
        <c:lblAlgn val="ctr"/>
        <c:lblOffset val="100"/>
        <c:noMultiLvlLbl val="0"/>
      </c:catAx>
      <c:valAx>
        <c:axId val="268366208"/>
        <c:scaling>
          <c:orientation val="minMax"/>
        </c:scaling>
        <c:delete val="0"/>
        <c:axPos val="l"/>
        <c:majorGridlines>
          <c:spPr>
            <a:ln>
              <a:noFill/>
            </a:ln>
          </c:spPr>
        </c:majorGridlines>
        <c:numFmt formatCode="General" sourceLinked="1"/>
        <c:majorTickMark val="out"/>
        <c:minorTickMark val="none"/>
        <c:tickLblPos val="nextTo"/>
        <c:crossAx val="268356224"/>
        <c:crosses val="autoZero"/>
        <c:crossBetween val="between"/>
      </c:valAx>
    </c:plotArea>
    <c:legend>
      <c:legendPos val="r"/>
      <c:layout>
        <c:manualLayout>
          <c:xMode val="edge"/>
          <c:yMode val="edge"/>
          <c:x val="0.27935380884406996"/>
          <c:y val="0.12195602216389617"/>
          <c:w val="0.58477874476216796"/>
          <c:h val="0.21553245844269467"/>
        </c:manualLayout>
      </c:layout>
      <c:overlay val="0"/>
    </c:legend>
    <c:plotVisOnly val="1"/>
    <c:dispBlanksAs val="gap"/>
    <c:showDLblsOverMax val="0"/>
  </c:chart>
  <c:spPr>
    <a:ln>
      <a:noFill/>
    </a:ln>
  </c:spPr>
  <c:txPr>
    <a:bodyPr/>
    <a:lstStyle/>
    <a:p>
      <a:pPr>
        <a:defRPr sz="700"/>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7090183727034124E-2"/>
          <c:y val="6.449676463709364E-2"/>
          <c:w val="0.88513203849518807"/>
          <c:h val="0.84644462901182727"/>
        </c:manualLayout>
      </c:layout>
      <c:barChart>
        <c:barDir val="col"/>
        <c:grouping val="clustered"/>
        <c:varyColors val="0"/>
        <c:ser>
          <c:idx val="0"/>
          <c:order val="0"/>
          <c:tx>
            <c:v>2010</c:v>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'2010_newline_Eng'!$A$19:$A$21</c:f>
              <c:strCache>
                <c:ptCount val="3"/>
                <c:pt idx="0">
                  <c:v>National</c:v>
                </c:pt>
                <c:pt idx="1">
                  <c:v>Urban</c:v>
                </c:pt>
                <c:pt idx="2">
                  <c:v>Rural</c:v>
                </c:pt>
              </c:strCache>
            </c:strRef>
          </c:cat>
          <c:val>
            <c:numRef>
              <c:f>'2010_newline_Eng'!$C$19:$C$21</c:f>
              <c:numCache>
                <c:formatCode>#,##0.0"";\-#,##0.0""</c:formatCode>
                <c:ptCount val="3"/>
                <c:pt idx="0">
                  <c:v>38.711880000000001</c:v>
                </c:pt>
                <c:pt idx="1">
                  <c:v>33.08081</c:v>
                </c:pt>
                <c:pt idx="2">
                  <c:v>48.954830000000001</c:v>
                </c:pt>
              </c:numCache>
            </c:numRef>
          </c:val>
        </c:ser>
        <c:ser>
          <c:idx val="1"/>
          <c:order val="1"/>
          <c:tx>
            <c:v>2011</c:v>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'2010_newline_Eng'!$A$19:$A$21</c:f>
              <c:strCache>
                <c:ptCount val="3"/>
                <c:pt idx="0">
                  <c:v>National</c:v>
                </c:pt>
                <c:pt idx="1">
                  <c:v>Urban</c:v>
                </c:pt>
                <c:pt idx="2">
                  <c:v>Rural</c:v>
                </c:pt>
              </c:strCache>
            </c:strRef>
          </c:cat>
          <c:val>
            <c:numRef>
              <c:f>'2010_newline_Eng'!$E$19:$E$21</c:f>
              <c:numCache>
                <c:formatCode>#,##0.0"";\-#,##0.0""</c:formatCode>
                <c:ptCount val="3"/>
                <c:pt idx="0">
                  <c:v>33.695819999999998</c:v>
                </c:pt>
                <c:pt idx="1">
                  <c:v>28.5688</c:v>
                </c:pt>
                <c:pt idx="2">
                  <c:v>43.353409999999997</c:v>
                </c:pt>
              </c:numCache>
            </c:numRef>
          </c:val>
        </c:ser>
        <c:ser>
          <c:idx val="2"/>
          <c:order val="2"/>
          <c:tx>
            <c:v>2012</c:v>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'2010_newline_Eng'!$A$19:$A$21</c:f>
              <c:strCache>
                <c:ptCount val="3"/>
                <c:pt idx="0">
                  <c:v>National</c:v>
                </c:pt>
                <c:pt idx="1">
                  <c:v>Urban</c:v>
                </c:pt>
                <c:pt idx="2">
                  <c:v>Rural</c:v>
                </c:pt>
              </c:strCache>
            </c:strRef>
          </c:cat>
          <c:val>
            <c:numRef>
              <c:f>'2010_newline_Eng'!$F$19:$F$21</c:f>
              <c:numCache>
                <c:formatCode>#,##0.0"";\-#,##0.0""</c:formatCode>
                <c:ptCount val="3"/>
                <c:pt idx="0">
                  <c:v>27.38382</c:v>
                </c:pt>
                <c:pt idx="1">
                  <c:v>23.23433</c:v>
                </c:pt>
                <c:pt idx="2">
                  <c:v>35.514780000000002</c:v>
                </c:pt>
              </c:numCache>
            </c:numRef>
          </c:val>
        </c:ser>
        <c:dLbls>
          <c:dLblPos val="outEnd"/>
          <c:showLegendKey val="0"/>
          <c:showVal val="1"/>
          <c:showCatName val="0"/>
          <c:showSerName val="0"/>
          <c:showPercent val="0"/>
          <c:showBubbleSize val="0"/>
        </c:dLbls>
        <c:gapWidth val="150"/>
        <c:axId val="274964480"/>
        <c:axId val="274966016"/>
      </c:barChart>
      <c:catAx>
        <c:axId val="274964480"/>
        <c:scaling>
          <c:orientation val="minMax"/>
        </c:scaling>
        <c:delete val="0"/>
        <c:axPos val="b"/>
        <c:numFmt formatCode="General" sourceLinked="0"/>
        <c:majorTickMark val="out"/>
        <c:minorTickMark val="none"/>
        <c:tickLblPos val="nextTo"/>
        <c:crossAx val="274966016"/>
        <c:crosses val="autoZero"/>
        <c:auto val="1"/>
        <c:lblAlgn val="ctr"/>
        <c:lblOffset val="100"/>
        <c:noMultiLvlLbl val="0"/>
      </c:catAx>
      <c:valAx>
        <c:axId val="274966016"/>
        <c:scaling>
          <c:orientation val="minMax"/>
        </c:scaling>
        <c:delete val="0"/>
        <c:axPos val="l"/>
        <c:numFmt formatCode="#,##0" sourceLinked="0"/>
        <c:majorTickMark val="out"/>
        <c:minorTickMark val="none"/>
        <c:tickLblPos val="nextTo"/>
        <c:crossAx val="274964480"/>
        <c:crosses val="autoZero"/>
        <c:crossBetween val="between"/>
      </c:valAx>
    </c:plotArea>
    <c:legend>
      <c:legendPos val="t"/>
      <c:layout/>
      <c:overlay val="0"/>
    </c:legend>
    <c:plotVisOnly val="1"/>
    <c:dispBlanksAs val="gap"/>
    <c:showDLblsOverMax val="0"/>
  </c:chart>
  <c:spPr>
    <a:ln>
      <a:noFill/>
    </a:ln>
  </c:spPr>
  <c:txPr>
    <a:bodyPr/>
    <a:lstStyle/>
    <a:p>
      <a:pPr>
        <a:defRPr sz="700">
          <a:latin typeface="Times New Roman" pitchFamily="18" charset="0"/>
          <a:cs typeface="Times New Roman" pitchFamily="18" charset="0"/>
        </a:defRPr>
      </a:pPr>
      <a:endParaRPr lang="en-US"/>
    </a:p>
  </c:txPr>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3173208951124294E-2"/>
          <c:y val="1.9789430697175817E-2"/>
          <c:w val="0.90236265474000421"/>
          <c:h val="0.91033525185364794"/>
        </c:manualLayout>
      </c:layout>
      <c:barChart>
        <c:barDir val="col"/>
        <c:grouping val="stacked"/>
        <c:varyColors val="0"/>
        <c:ser>
          <c:idx val="1"/>
          <c:order val="1"/>
          <c:tx>
            <c:v>Core inflation exc all food and energy</c:v>
          </c:tx>
          <c:invertIfNegative val="0"/>
          <c:val>
            <c:numRef>
              <c:f>'inflation-UB'!$CU$453:$GH$453</c:f>
              <c:numCache>
                <c:formatCode>General</c:formatCode>
                <c:ptCount val="92"/>
                <c:pt idx="12" formatCode="0.00">
                  <c:v>2.5333512744110003</c:v>
                </c:pt>
                <c:pt idx="13" formatCode="0.00">
                  <c:v>2.3888868326309209</c:v>
                </c:pt>
                <c:pt idx="14" formatCode="0.00">
                  <c:v>2.9622969374024852</c:v>
                </c:pt>
                <c:pt idx="15" formatCode="0.00">
                  <c:v>2.6625738404416319</c:v>
                </c:pt>
                <c:pt idx="16" formatCode="0.00">
                  <c:v>2.90120488796952</c:v>
                </c:pt>
                <c:pt idx="17" formatCode="0.00">
                  <c:v>3.4197134235495739</c:v>
                </c:pt>
                <c:pt idx="18" formatCode="0.00">
                  <c:v>3.6095386790691704</c:v>
                </c:pt>
                <c:pt idx="19" formatCode="0.00">
                  <c:v>5.1245313429076838</c:v>
                </c:pt>
                <c:pt idx="20" formatCode="0.00">
                  <c:v>5.6647764116617392</c:v>
                </c:pt>
                <c:pt idx="21" formatCode="0.00">
                  <c:v>6.6356261892227328</c:v>
                </c:pt>
                <c:pt idx="22" formatCode="0.00">
                  <c:v>6.3317519584982582</c:v>
                </c:pt>
                <c:pt idx="23" formatCode="0.00">
                  <c:v>5.5255655966999173</c:v>
                </c:pt>
                <c:pt idx="24" formatCode="0.00">
                  <c:v>6.5312211945011862</c:v>
                </c:pt>
                <c:pt idx="25" formatCode="0.00">
                  <c:v>6.7437168410986263</c:v>
                </c:pt>
                <c:pt idx="26" formatCode="0.00">
                  <c:v>7.5932552153356276</c:v>
                </c:pt>
                <c:pt idx="27" formatCode="0.00">
                  <c:v>9.3349522486177943</c:v>
                </c:pt>
                <c:pt idx="28" formatCode="0.00">
                  <c:v>11.943601047944899</c:v>
                </c:pt>
                <c:pt idx="29" formatCode="0.00">
                  <c:v>12.041571431339083</c:v>
                </c:pt>
                <c:pt idx="30" formatCode="0.00">
                  <c:v>12.565567473478936</c:v>
                </c:pt>
                <c:pt idx="31" formatCode="0.00">
                  <c:v>13.782749136795841</c:v>
                </c:pt>
                <c:pt idx="32" formatCode="0.00">
                  <c:v>13.916174264600249</c:v>
                </c:pt>
                <c:pt idx="33" formatCode="0.00">
                  <c:v>12.537065154379025</c:v>
                </c:pt>
                <c:pt idx="34" formatCode="0.00">
                  <c:v>12.496926164087776</c:v>
                </c:pt>
                <c:pt idx="35" formatCode="0.00">
                  <c:v>13.195295181442638</c:v>
                </c:pt>
                <c:pt idx="36" formatCode="0.00">
                  <c:v>12.476627520603365</c:v>
                </c:pt>
                <c:pt idx="37" formatCode="0.00">
                  <c:v>11.259960237205576</c:v>
                </c:pt>
                <c:pt idx="38" formatCode="0.00">
                  <c:v>10.926470422469515</c:v>
                </c:pt>
                <c:pt idx="39" formatCode="0.00">
                  <c:v>9.2696169731812397</c:v>
                </c:pt>
                <c:pt idx="40" formatCode="0.00">
                  <c:v>7.5232284763216661</c:v>
                </c:pt>
                <c:pt idx="41" formatCode="0.00">
                  <c:v>6.4432965450931183</c:v>
                </c:pt>
                <c:pt idx="42" formatCode="0.00">
                  <c:v>5.2127687345377902</c:v>
                </c:pt>
                <c:pt idx="43" formatCode="0.00">
                  <c:v>3.1408894841956601</c:v>
                </c:pt>
                <c:pt idx="44" formatCode="0.00">
                  <c:v>2.1603248500285206</c:v>
                </c:pt>
                <c:pt idx="45" formatCode="0.00">
                  <c:v>1.9984412079055796</c:v>
                </c:pt>
                <c:pt idx="46" formatCode="0.00">
                  <c:v>2.2538067100803594</c:v>
                </c:pt>
                <c:pt idx="47" formatCode="0.00">
                  <c:v>1.9776256081674015</c:v>
                </c:pt>
                <c:pt idx="48" formatCode="0.00">
                  <c:v>2.818225383908938</c:v>
                </c:pt>
                <c:pt idx="49" formatCode="0.00">
                  <c:v>4.8728829281943673</c:v>
                </c:pt>
                <c:pt idx="50" formatCode="0.00">
                  <c:v>4.7915175626209896</c:v>
                </c:pt>
                <c:pt idx="51" formatCode="0.00">
                  <c:v>4.8999718820688463</c:v>
                </c:pt>
                <c:pt idx="52" formatCode="0.00">
                  <c:v>5.3668417784744955</c:v>
                </c:pt>
                <c:pt idx="53" formatCode="0.00">
                  <c:v>5.7176897951033645</c:v>
                </c:pt>
                <c:pt idx="54" formatCode="0.00">
                  <c:v>5.0156289073263576</c:v>
                </c:pt>
                <c:pt idx="55" formatCode="0.00">
                  <c:v>6.3707198156266562</c:v>
                </c:pt>
                <c:pt idx="56" formatCode="0.00">
                  <c:v>6.3452171913723934</c:v>
                </c:pt>
                <c:pt idx="57" formatCode="0.00">
                  <c:v>6.8110076092078575</c:v>
                </c:pt>
                <c:pt idx="58" formatCode="0.00">
                  <c:v>6.8560921809982291</c:v>
                </c:pt>
                <c:pt idx="59" formatCode="0.00">
                  <c:v>7.9250635326158818</c:v>
                </c:pt>
                <c:pt idx="60" formatCode="0.00">
                  <c:v>6.6472965159426067</c:v>
                </c:pt>
                <c:pt idx="61" formatCode="0.00">
                  <c:v>4.6278277787712669</c:v>
                </c:pt>
                <c:pt idx="62" formatCode="0.00">
                  <c:v>4.0259316853874481</c:v>
                </c:pt>
                <c:pt idx="63" formatCode="0.00">
                  <c:v>3.4117521132232485</c:v>
                </c:pt>
                <c:pt idx="64" formatCode="0.00">
                  <c:v>2.3898867584389993</c:v>
                </c:pt>
                <c:pt idx="65" formatCode="0.00">
                  <c:v>3.4697514366399114</c:v>
                </c:pt>
                <c:pt idx="66" formatCode="0.00">
                  <c:v>5.4788136725874708</c:v>
                </c:pt>
                <c:pt idx="67" formatCode="0.00">
                  <c:v>4.8877504132848939</c:v>
                </c:pt>
                <c:pt idx="68" formatCode="0.00">
                  <c:v>5.9403759902811712</c:v>
                </c:pt>
                <c:pt idx="69" formatCode="0.00">
                  <c:v>6.504842582929915</c:v>
                </c:pt>
                <c:pt idx="70" formatCode="0.00">
                  <c:v>6.5095755133596391</c:v>
                </c:pt>
                <c:pt idx="71" formatCode="0.00">
                  <c:v>5.2547000204242691</c:v>
                </c:pt>
                <c:pt idx="72" formatCode="0.00">
                  <c:v>5.8032075384437611</c:v>
                </c:pt>
                <c:pt idx="73" formatCode="0.00">
                  <c:v>6.3750210146188468</c:v>
                </c:pt>
                <c:pt idx="74" formatCode="0.00">
                  <c:v>6.1937357804996651</c:v>
                </c:pt>
                <c:pt idx="75" formatCode="0.00">
                  <c:v>6.0902578945099304</c:v>
                </c:pt>
                <c:pt idx="76" formatCode="0.00">
                  <c:v>6.0316511410877371</c:v>
                </c:pt>
                <c:pt idx="77" formatCode="0.00">
                  <c:v>5.1159795077714598</c:v>
                </c:pt>
                <c:pt idx="78" formatCode="0.00">
                  <c:v>4.6105330035988823</c:v>
                </c:pt>
                <c:pt idx="79" formatCode="0.00">
                  <c:v>5.604810235725731</c:v>
                </c:pt>
                <c:pt idx="80" formatCode="0.00">
                  <c:v>6.6558903679943571</c:v>
                </c:pt>
                <c:pt idx="81" formatCode="0.00">
                  <c:v>7.0642982947771547</c:v>
                </c:pt>
                <c:pt idx="82" formatCode="0.00">
                  <c:v>6.7448220712399909</c:v>
                </c:pt>
                <c:pt idx="83" formatCode="0.00">
                  <c:v>7.1361807836759512</c:v>
                </c:pt>
                <c:pt idx="84" formatCode="0.00">
                  <c:v>6.3582231383850258</c:v>
                </c:pt>
                <c:pt idx="85" formatCode="0.00">
                  <c:v>5.4222967416105687</c:v>
                </c:pt>
                <c:pt idx="86" formatCode="0.00">
                  <c:v>5.3370916316410151</c:v>
                </c:pt>
                <c:pt idx="87" formatCode="0.00">
                  <c:v>4.9538598502000477</c:v>
                </c:pt>
                <c:pt idx="88" formatCode="0.00">
                  <c:v>4.3377029870679218</c:v>
                </c:pt>
                <c:pt idx="89" formatCode="0.00">
                  <c:v>3.9807515802509856</c:v>
                </c:pt>
                <c:pt idx="90" formatCode="0.00">
                  <c:v>4.2887054416755532</c:v>
                </c:pt>
                <c:pt idx="91" formatCode="0.00">
                  <c:v>5.7615500269839828</c:v>
                </c:pt>
              </c:numCache>
            </c:numRef>
          </c:val>
        </c:ser>
        <c:ser>
          <c:idx val="5"/>
          <c:order val="2"/>
          <c:tx>
            <c:v>Other food</c:v>
          </c:tx>
          <c:spPr>
            <a:noFill/>
            <a:ln>
              <a:solidFill>
                <a:schemeClr val="accent1"/>
              </a:solidFill>
            </a:ln>
          </c:spPr>
          <c:invertIfNegative val="0"/>
          <c:val>
            <c:numRef>
              <c:f>'inflation-UB'!$CU$451:$GH$451</c:f>
              <c:numCache>
                <c:formatCode>General</c:formatCode>
                <c:ptCount val="92"/>
                <c:pt idx="12" formatCode="0.00">
                  <c:v>0.12225042746612549</c:v>
                </c:pt>
                <c:pt idx="13" formatCode="0.00">
                  <c:v>0.12897712383320553</c:v>
                </c:pt>
                <c:pt idx="14" formatCode="0.00">
                  <c:v>0.15350381858510895</c:v>
                </c:pt>
                <c:pt idx="15" formatCode="0.00">
                  <c:v>0.10036234603428695</c:v>
                </c:pt>
                <c:pt idx="16" formatCode="0.00">
                  <c:v>0.14737596089948454</c:v>
                </c:pt>
                <c:pt idx="17" formatCode="0.00">
                  <c:v>2.9788263785023476E-2</c:v>
                </c:pt>
                <c:pt idx="18" formatCode="0.00">
                  <c:v>0.56488180130842924</c:v>
                </c:pt>
                <c:pt idx="19" formatCode="0.00">
                  <c:v>0.75603585932483464</c:v>
                </c:pt>
                <c:pt idx="20" formatCode="0.00">
                  <c:v>1.5749882683642071</c:v>
                </c:pt>
                <c:pt idx="21" formatCode="0.00">
                  <c:v>1.4416742582620306</c:v>
                </c:pt>
                <c:pt idx="22" formatCode="0.00">
                  <c:v>1.4983058283152999</c:v>
                </c:pt>
                <c:pt idx="23" formatCode="0.00">
                  <c:v>1.7553043485144275</c:v>
                </c:pt>
                <c:pt idx="24" formatCode="0.00">
                  <c:v>1.8909682686341676</c:v>
                </c:pt>
                <c:pt idx="25" formatCode="0.00">
                  <c:v>2.0454038317722278</c:v>
                </c:pt>
                <c:pt idx="26" formatCode="0.00">
                  <c:v>2.4179379993382568</c:v>
                </c:pt>
                <c:pt idx="27" formatCode="0.00">
                  <c:v>2.6087829340782203</c:v>
                </c:pt>
                <c:pt idx="28" formatCode="0.00">
                  <c:v>3.5848780944001897</c:v>
                </c:pt>
                <c:pt idx="29" formatCode="0.00">
                  <c:v>4.1646852100671943</c:v>
                </c:pt>
                <c:pt idx="30" formatCode="0.00">
                  <c:v>3.9755150843657807</c:v>
                </c:pt>
                <c:pt idx="31" formatCode="0.00">
                  <c:v>3.9682130192091782</c:v>
                </c:pt>
                <c:pt idx="32" formatCode="0.00">
                  <c:v>3.5358958433666543</c:v>
                </c:pt>
                <c:pt idx="33" formatCode="0.00">
                  <c:v>3.265683813175444</c:v>
                </c:pt>
                <c:pt idx="34" formatCode="0.00">
                  <c:v>2.8949432240006465</c:v>
                </c:pt>
                <c:pt idx="35" formatCode="0.00">
                  <c:v>2.5946746078849534</c:v>
                </c:pt>
                <c:pt idx="36" formatCode="0.00">
                  <c:v>2.5753400457441593</c:v>
                </c:pt>
                <c:pt idx="37" formatCode="0.00">
                  <c:v>2.3261583092537581</c:v>
                </c:pt>
                <c:pt idx="38" formatCode="0.00">
                  <c:v>2.3104022317718407</c:v>
                </c:pt>
                <c:pt idx="39" formatCode="0.00">
                  <c:v>2.3354392818847107</c:v>
                </c:pt>
                <c:pt idx="40" formatCode="0.00">
                  <c:v>1.4454866313178467</c:v>
                </c:pt>
                <c:pt idx="41" formatCode="0.00">
                  <c:v>0.77537671883769244</c:v>
                </c:pt>
                <c:pt idx="42" formatCode="0.00">
                  <c:v>0.77851391445245999</c:v>
                </c:pt>
                <c:pt idx="43" formatCode="0.00">
                  <c:v>0.6575687951067285</c:v>
                </c:pt>
                <c:pt idx="44" formatCode="0.00">
                  <c:v>0.42541632209425351</c:v>
                </c:pt>
                <c:pt idx="45" formatCode="0.00">
                  <c:v>0.44671573945955595</c:v>
                </c:pt>
                <c:pt idx="46" formatCode="0.00">
                  <c:v>0.46057702497487252</c:v>
                </c:pt>
                <c:pt idx="47" formatCode="0.00">
                  <c:v>0.52338654567131349</c:v>
                </c:pt>
                <c:pt idx="48" formatCode="0.00">
                  <c:v>0.63388797300130406</c:v>
                </c:pt>
                <c:pt idx="49" formatCode="0.00">
                  <c:v>1.0917038541561377</c:v>
                </c:pt>
                <c:pt idx="50" formatCode="0.00">
                  <c:v>0.79430071885978815</c:v>
                </c:pt>
                <c:pt idx="51" formatCode="0.00">
                  <c:v>0.36456218258210055</c:v>
                </c:pt>
                <c:pt idx="52" formatCode="0.00">
                  <c:v>0.27530942168637068</c:v>
                </c:pt>
                <c:pt idx="53" formatCode="0.00">
                  <c:v>0.21673149182245183</c:v>
                </c:pt>
                <c:pt idx="54" formatCode="0.00">
                  <c:v>0.15378753920531399</c:v>
                </c:pt>
                <c:pt idx="55" formatCode="0.00">
                  <c:v>0.49828964422950328</c:v>
                </c:pt>
                <c:pt idx="56" formatCode="0.00">
                  <c:v>0.81373626356967044</c:v>
                </c:pt>
                <c:pt idx="57" formatCode="0.00">
                  <c:v>0.65169814411648208</c:v>
                </c:pt>
                <c:pt idx="58" formatCode="0.00">
                  <c:v>0.96120796187325752</c:v>
                </c:pt>
                <c:pt idx="59" formatCode="0.00">
                  <c:v>0.98818865705329462</c:v>
                </c:pt>
                <c:pt idx="60" formatCode="0.00">
                  <c:v>0.93431684118448133</c:v>
                </c:pt>
                <c:pt idx="61" formatCode="0.00">
                  <c:v>0.36195339686213307</c:v>
                </c:pt>
                <c:pt idx="62" formatCode="0.00">
                  <c:v>0.19994030984330607</c:v>
                </c:pt>
                <c:pt idx="63" formatCode="0.00">
                  <c:v>0.17003192373051704</c:v>
                </c:pt>
                <c:pt idx="64" formatCode="0.00">
                  <c:v>0.20917380380036391</c:v>
                </c:pt>
                <c:pt idx="65" formatCode="0.00">
                  <c:v>0.34337639734363101</c:v>
                </c:pt>
                <c:pt idx="66" formatCode="0.00">
                  <c:v>0.11542703404607588</c:v>
                </c:pt>
                <c:pt idx="67" formatCode="0.00">
                  <c:v>-0.20935930763987787</c:v>
                </c:pt>
                <c:pt idx="68" formatCode="0.00">
                  <c:v>9.6221108365630043E-3</c:v>
                </c:pt>
                <c:pt idx="69" formatCode="0.00">
                  <c:v>0.53394393440209298</c:v>
                </c:pt>
                <c:pt idx="70" formatCode="0.00">
                  <c:v>0.45446941557030646</c:v>
                </c:pt>
                <c:pt idx="71" formatCode="0.00">
                  <c:v>0.47516348682613185</c:v>
                </c:pt>
                <c:pt idx="72" formatCode="0.00">
                  <c:v>0.69819594938912966</c:v>
                </c:pt>
                <c:pt idx="73" formatCode="0.00">
                  <c:v>0.99245770714873716</c:v>
                </c:pt>
                <c:pt idx="74" formatCode="0.00">
                  <c:v>1.5136012319955758</c:v>
                </c:pt>
                <c:pt idx="75" formatCode="0.00">
                  <c:v>1.5776184497797883</c:v>
                </c:pt>
                <c:pt idx="76" formatCode="0.00">
                  <c:v>1.5613874106137646</c:v>
                </c:pt>
                <c:pt idx="77" formatCode="0.00">
                  <c:v>1.420984714793962</c:v>
                </c:pt>
                <c:pt idx="78" formatCode="0.00">
                  <c:v>1.4485449557620447</c:v>
                </c:pt>
                <c:pt idx="79" formatCode="0.00">
                  <c:v>1.5566251237598159</c:v>
                </c:pt>
                <c:pt idx="80" formatCode="0.00">
                  <c:v>1.4532358990125467</c:v>
                </c:pt>
                <c:pt idx="81" formatCode="0.00">
                  <c:v>1.3042754805845076</c:v>
                </c:pt>
                <c:pt idx="82" formatCode="0.00">
                  <c:v>1.2781183569852406</c:v>
                </c:pt>
                <c:pt idx="83" formatCode="0.00">
                  <c:v>1.2335380932058542</c:v>
                </c:pt>
                <c:pt idx="84" formatCode="0.00">
                  <c:v>0.99234940279928163</c:v>
                </c:pt>
                <c:pt idx="85" formatCode="0.00">
                  <c:v>0.90016809522289243</c:v>
                </c:pt>
                <c:pt idx="86" formatCode="0.00">
                  <c:v>0.65458551184044678</c:v>
                </c:pt>
                <c:pt idx="87" formatCode="0.00">
                  <c:v>0.73381457644738235</c:v>
                </c:pt>
                <c:pt idx="88" formatCode="0.00">
                  <c:v>0.59854696025358944</c:v>
                </c:pt>
                <c:pt idx="89" formatCode="0.00">
                  <c:v>0.65112184015932262</c:v>
                </c:pt>
                <c:pt idx="90" formatCode="0.00">
                  <c:v>0.51172105365105081</c:v>
                </c:pt>
                <c:pt idx="91" formatCode="0.00">
                  <c:v>0.39954238195611613</c:v>
                </c:pt>
              </c:numCache>
            </c:numRef>
          </c:val>
        </c:ser>
        <c:ser>
          <c:idx val="4"/>
          <c:order val="3"/>
          <c:tx>
            <c:v>bread, flour and cereals</c:v>
          </c:tx>
          <c:spPr>
            <a:solidFill>
              <a:schemeClr val="tx2">
                <a:lumMod val="60000"/>
                <a:lumOff val="40000"/>
              </a:schemeClr>
            </a:solidFill>
          </c:spPr>
          <c:invertIfNegative val="0"/>
          <c:val>
            <c:numRef>
              <c:f>'inflation-UB'!$CU$450:$GH$450</c:f>
              <c:numCache>
                <c:formatCode>General</c:formatCode>
                <c:ptCount val="92"/>
                <c:pt idx="12" formatCode="0.00">
                  <c:v>0.22469333260217811</c:v>
                </c:pt>
                <c:pt idx="13" formatCode="0.00">
                  <c:v>0.26384227733078974</c:v>
                </c:pt>
                <c:pt idx="14" formatCode="0.00">
                  <c:v>0.29511485129863896</c:v>
                </c:pt>
                <c:pt idx="15" formatCode="0.00">
                  <c:v>0.22491298509832572</c:v>
                </c:pt>
                <c:pt idx="16" formatCode="0.00">
                  <c:v>0.19500568813885058</c:v>
                </c:pt>
                <c:pt idx="17" formatCode="0.00">
                  <c:v>0.23861840019035649</c:v>
                </c:pt>
                <c:pt idx="18" formatCode="0.00">
                  <c:v>0.43670518059783997</c:v>
                </c:pt>
                <c:pt idx="19" formatCode="0.00">
                  <c:v>1.6692114367472792</c:v>
                </c:pt>
                <c:pt idx="20" formatCode="0.00">
                  <c:v>2.2094082661998211</c:v>
                </c:pt>
                <c:pt idx="21" formatCode="0.00">
                  <c:v>2.3165209622328069</c:v>
                </c:pt>
                <c:pt idx="22" formatCode="0.00">
                  <c:v>2.5095004492428306</c:v>
                </c:pt>
                <c:pt idx="23" formatCode="0.00">
                  <c:v>2.8754512327351045</c:v>
                </c:pt>
                <c:pt idx="24" formatCode="0.00">
                  <c:v>2.6808862842284311</c:v>
                </c:pt>
                <c:pt idx="25" formatCode="0.00">
                  <c:v>3.1129976906802677</c:v>
                </c:pt>
                <c:pt idx="26" formatCode="0.00">
                  <c:v>3.6633735088952899</c:v>
                </c:pt>
                <c:pt idx="27" formatCode="0.00">
                  <c:v>5.3736341663562559</c:v>
                </c:pt>
                <c:pt idx="28" formatCode="0.00">
                  <c:v>7.3223114311751827</c:v>
                </c:pt>
                <c:pt idx="29" formatCode="0.00">
                  <c:v>7.1208808603524965</c:v>
                </c:pt>
                <c:pt idx="30" formatCode="0.00">
                  <c:v>6.7287769548855989</c:v>
                </c:pt>
                <c:pt idx="31" formatCode="0.00">
                  <c:v>5.4781762463289967</c:v>
                </c:pt>
                <c:pt idx="32" formatCode="0.00">
                  <c:v>4.8640473674187108</c:v>
                </c:pt>
                <c:pt idx="33" formatCode="0.00">
                  <c:v>4.5728286440409054</c:v>
                </c:pt>
                <c:pt idx="34" formatCode="0.00">
                  <c:v>4.0885460066360571</c:v>
                </c:pt>
                <c:pt idx="35" formatCode="0.00">
                  <c:v>3.4146734952854603</c:v>
                </c:pt>
                <c:pt idx="36" formatCode="0.00">
                  <c:v>3.4937983865212163</c:v>
                </c:pt>
                <c:pt idx="37" formatCode="0.00">
                  <c:v>2.986995564104324</c:v>
                </c:pt>
                <c:pt idx="38" formatCode="0.00">
                  <c:v>2.667025370043921</c:v>
                </c:pt>
                <c:pt idx="39" formatCode="0.00">
                  <c:v>1.3390471968257212</c:v>
                </c:pt>
                <c:pt idx="40" formatCode="0.00">
                  <c:v>-0.28649545193958476</c:v>
                </c:pt>
                <c:pt idx="41" formatCode="0.00">
                  <c:v>-0.46398458388196767</c:v>
                </c:pt>
                <c:pt idx="42" formatCode="0.00">
                  <c:v>-0.40019103412120066</c:v>
                </c:pt>
                <c:pt idx="43" formatCode="0.00">
                  <c:v>-0.32404348124992777</c:v>
                </c:pt>
                <c:pt idx="44" formatCode="0.00">
                  <c:v>-0.30914053041653689</c:v>
                </c:pt>
                <c:pt idx="45" formatCode="0.00">
                  <c:v>-0.34023809885668477</c:v>
                </c:pt>
                <c:pt idx="46" formatCode="0.00">
                  <c:v>-0.21968935010017437</c:v>
                </c:pt>
                <c:pt idx="47" formatCode="0.00">
                  <c:v>4.8667794906193849E-2</c:v>
                </c:pt>
                <c:pt idx="48" formatCode="0.00">
                  <c:v>0.18254772428292934</c:v>
                </c:pt>
                <c:pt idx="49" formatCode="0.00">
                  <c:v>0.20386820770673952</c:v>
                </c:pt>
                <c:pt idx="50" formatCode="0.00">
                  <c:v>-0.20971160706081696</c:v>
                </c:pt>
                <c:pt idx="51" formatCode="0.00">
                  <c:v>-0.59028378105498647</c:v>
                </c:pt>
                <c:pt idx="52" formatCode="0.00">
                  <c:v>-0.43042588794190129</c:v>
                </c:pt>
                <c:pt idx="53" formatCode="0.00">
                  <c:v>-9.8102133991305074E-2</c:v>
                </c:pt>
                <c:pt idx="54" formatCode="0.00">
                  <c:v>-0.15448620793201767</c:v>
                </c:pt>
                <c:pt idx="55" formatCode="0.00">
                  <c:v>0.54519295285141001</c:v>
                </c:pt>
                <c:pt idx="56" formatCode="0.00">
                  <c:v>0.65544062055340002</c:v>
                </c:pt>
                <c:pt idx="57" formatCode="0.00">
                  <c:v>0.86441947632228233</c:v>
                </c:pt>
                <c:pt idx="58" formatCode="0.00">
                  <c:v>1.0030861699215845</c:v>
                </c:pt>
                <c:pt idx="59" formatCode="0.00">
                  <c:v>1.0549386501086899</c:v>
                </c:pt>
                <c:pt idx="60" formatCode="0.00">
                  <c:v>0.9502832009244101</c:v>
                </c:pt>
                <c:pt idx="61" formatCode="0.00">
                  <c:v>0.84564869907072104</c:v>
                </c:pt>
                <c:pt idx="62" formatCode="0.00">
                  <c:v>1.0027328468840582</c:v>
                </c:pt>
                <c:pt idx="63" formatCode="0.00">
                  <c:v>1.0955042970239082</c:v>
                </c:pt>
                <c:pt idx="64" formatCode="0.00">
                  <c:v>1.0453121564383288</c:v>
                </c:pt>
                <c:pt idx="65" formatCode="0.00">
                  <c:v>0.89129856058835943</c:v>
                </c:pt>
                <c:pt idx="66" formatCode="0.00">
                  <c:v>0.99246892331892156</c:v>
                </c:pt>
                <c:pt idx="67" formatCode="0.00">
                  <c:v>0.27694576907607993</c:v>
                </c:pt>
                <c:pt idx="68" formatCode="0.00">
                  <c:v>0.20434345491719394</c:v>
                </c:pt>
                <c:pt idx="69" formatCode="0.00">
                  <c:v>0.11206611119765146</c:v>
                </c:pt>
                <c:pt idx="70" formatCode="0.00">
                  <c:v>5.6267718398308457E-2</c:v>
                </c:pt>
                <c:pt idx="71" formatCode="0.00">
                  <c:v>2.7918987523824483E-2</c:v>
                </c:pt>
                <c:pt idx="72" formatCode="0.00">
                  <c:v>7.8396089613055428E-2</c:v>
                </c:pt>
                <c:pt idx="73" formatCode="0.00">
                  <c:v>0.1269158318580548</c:v>
                </c:pt>
                <c:pt idx="74" formatCode="0.00">
                  <c:v>0.23722249543395882</c:v>
                </c:pt>
                <c:pt idx="75" formatCode="0.00">
                  <c:v>0.26144969427456694</c:v>
                </c:pt>
                <c:pt idx="76" formatCode="0.00">
                  <c:v>0.23084743688981529</c:v>
                </c:pt>
                <c:pt idx="77" formatCode="0.00">
                  <c:v>0.25934905065337566</c:v>
                </c:pt>
                <c:pt idx="78" formatCode="0.00">
                  <c:v>0.28285672237087384</c:v>
                </c:pt>
                <c:pt idx="79" formatCode="0.00">
                  <c:v>0.3384645650215789</c:v>
                </c:pt>
                <c:pt idx="80" formatCode="0.00">
                  <c:v>0.37030294479854881</c:v>
                </c:pt>
                <c:pt idx="81" formatCode="0.00">
                  <c:v>0.46344878011300444</c:v>
                </c:pt>
                <c:pt idx="82" formatCode="0.00">
                  <c:v>0.4824393543047758</c:v>
                </c:pt>
                <c:pt idx="83" formatCode="0.00">
                  <c:v>0.49843864366716845</c:v>
                </c:pt>
                <c:pt idx="84" formatCode="0.00">
                  <c:v>0.49710949110191061</c:v>
                </c:pt>
                <c:pt idx="85" formatCode="0.00">
                  <c:v>0.66250880629194153</c:v>
                </c:pt>
                <c:pt idx="86" formatCode="0.00">
                  <c:v>0.93379594251327691</c:v>
                </c:pt>
                <c:pt idx="87" formatCode="0.00">
                  <c:v>1.067655542862572</c:v>
                </c:pt>
                <c:pt idx="88" formatCode="0.00">
                  <c:v>0.97573060482723684</c:v>
                </c:pt>
                <c:pt idx="89" formatCode="0.00">
                  <c:v>0.95672707699943671</c:v>
                </c:pt>
                <c:pt idx="90" formatCode="0.00">
                  <c:v>0.93739071321548573</c:v>
                </c:pt>
                <c:pt idx="91" formatCode="0.00">
                  <c:v>1.0267874720699792</c:v>
                </c:pt>
              </c:numCache>
            </c:numRef>
          </c:val>
        </c:ser>
        <c:ser>
          <c:idx val="2"/>
          <c:order val="4"/>
          <c:tx>
            <c:v>Meat, milk and cheese</c:v>
          </c:tx>
          <c:spPr>
            <a:solidFill>
              <a:srgbClr val="92D050"/>
            </a:solidFill>
          </c:spPr>
          <c:invertIfNegative val="0"/>
          <c:val>
            <c:numRef>
              <c:f>'inflation-UB'!$CU$448:$GH$448</c:f>
              <c:numCache>
                <c:formatCode>General</c:formatCode>
                <c:ptCount val="92"/>
                <c:pt idx="12" formatCode="0.0">
                  <c:v>0.23674801925925748</c:v>
                </c:pt>
                <c:pt idx="13" formatCode="0.0">
                  <c:v>1.1593998302939492</c:v>
                </c:pt>
                <c:pt idx="14" formatCode="0.0">
                  <c:v>1.4814118200788562</c:v>
                </c:pt>
                <c:pt idx="15" formatCode="0.0">
                  <c:v>1.0292854994920539</c:v>
                </c:pt>
                <c:pt idx="16" formatCode="0.0">
                  <c:v>1.6322509085645691</c:v>
                </c:pt>
                <c:pt idx="17" formatCode="0.0">
                  <c:v>2.1409561505452861</c:v>
                </c:pt>
                <c:pt idx="18" formatCode="0.0">
                  <c:v>1.9215846703845358</c:v>
                </c:pt>
                <c:pt idx="19" formatCode="0.0">
                  <c:v>2.4061486758910013</c:v>
                </c:pt>
                <c:pt idx="20" formatCode="0.0">
                  <c:v>2.6563866219695211</c:v>
                </c:pt>
                <c:pt idx="21" formatCode="0.0">
                  <c:v>2.1141334099978843</c:v>
                </c:pt>
                <c:pt idx="22" formatCode="0.0">
                  <c:v>2.1463019006457618</c:v>
                </c:pt>
                <c:pt idx="23" formatCode="0.0">
                  <c:v>2.6186197493775212</c:v>
                </c:pt>
                <c:pt idx="24" formatCode="0.0">
                  <c:v>3.7804611576288489</c:v>
                </c:pt>
                <c:pt idx="25" formatCode="0.0">
                  <c:v>3.6427640448619534</c:v>
                </c:pt>
                <c:pt idx="26" formatCode="0.0">
                  <c:v>4.3597474276267896</c:v>
                </c:pt>
                <c:pt idx="27" formatCode="0.0">
                  <c:v>6.2160402381005051</c:v>
                </c:pt>
                <c:pt idx="28" formatCode="0.0">
                  <c:v>7.0774671886174163</c:v>
                </c:pt>
                <c:pt idx="29" formatCode="0.0">
                  <c:v>6.1561807887329314</c:v>
                </c:pt>
                <c:pt idx="30" formatCode="0.0">
                  <c:v>6.13259921959291</c:v>
                </c:pt>
                <c:pt idx="31" formatCode="0.0">
                  <c:v>4.8589283717202161</c:v>
                </c:pt>
                <c:pt idx="32" formatCode="0.0">
                  <c:v>3.9797963568638806</c:v>
                </c:pt>
                <c:pt idx="33" formatCode="0.0">
                  <c:v>3.5496269650905043</c:v>
                </c:pt>
                <c:pt idx="34" formatCode="0.0">
                  <c:v>2.8467262376357141</c:v>
                </c:pt>
                <c:pt idx="35" formatCode="0.0">
                  <c:v>2.3197311760248582</c:v>
                </c:pt>
                <c:pt idx="36" formatCode="0.0">
                  <c:v>1.2833611660217652</c:v>
                </c:pt>
                <c:pt idx="37" formatCode="0.0">
                  <c:v>0.46675811154224262</c:v>
                </c:pt>
                <c:pt idx="38" formatCode="0.0">
                  <c:v>0.70781150798983017</c:v>
                </c:pt>
                <c:pt idx="39" formatCode="0.0">
                  <c:v>-0.44506604186057952</c:v>
                </c:pt>
                <c:pt idx="40" formatCode="0.0">
                  <c:v>-0.89292709309036811</c:v>
                </c:pt>
                <c:pt idx="41" formatCode="0.0">
                  <c:v>-1.808426182117387</c:v>
                </c:pt>
                <c:pt idx="42" formatCode="0.0">
                  <c:v>-2.5269925563314302</c:v>
                </c:pt>
                <c:pt idx="43" formatCode="0.0">
                  <c:v>-2.3990848532994367</c:v>
                </c:pt>
                <c:pt idx="44" formatCode="0.0">
                  <c:v>-2.1358652078181897</c:v>
                </c:pt>
                <c:pt idx="45" formatCode="0.0">
                  <c:v>-1.5596064167914485</c:v>
                </c:pt>
                <c:pt idx="46" formatCode="0.0">
                  <c:v>-0.43259195290768521</c:v>
                </c:pt>
                <c:pt idx="47" formatCode="0.0">
                  <c:v>-0.47681611023209658</c:v>
                </c:pt>
                <c:pt idx="48" formatCode="0.0">
                  <c:v>0.40191072821491208</c:v>
                </c:pt>
                <c:pt idx="49" formatCode="0.0">
                  <c:v>1.9036877245170458</c:v>
                </c:pt>
                <c:pt idx="50" formatCode="0.0">
                  <c:v>2.2682194376314428</c:v>
                </c:pt>
                <c:pt idx="51" formatCode="0.0">
                  <c:v>3.1755384315739739</c:v>
                </c:pt>
                <c:pt idx="52" formatCode="0.0">
                  <c:v>5.0891780138875191</c:v>
                </c:pt>
                <c:pt idx="53" formatCode="0.0">
                  <c:v>5.4125843650375467</c:v>
                </c:pt>
                <c:pt idx="54" formatCode="0.0">
                  <c:v>3.243610620880415</c:v>
                </c:pt>
                <c:pt idx="55" formatCode="0.0">
                  <c:v>3.2282163052512436</c:v>
                </c:pt>
                <c:pt idx="56" formatCode="0.0">
                  <c:v>3.0287625853322782</c:v>
                </c:pt>
                <c:pt idx="57" formatCode="0.0">
                  <c:v>2.7583734788267753</c:v>
                </c:pt>
                <c:pt idx="58" formatCode="0.0">
                  <c:v>2.5624787781339844</c:v>
                </c:pt>
                <c:pt idx="59" formatCode="0.0">
                  <c:v>3.9886237814326866</c:v>
                </c:pt>
                <c:pt idx="60" formatCode="0.0">
                  <c:v>4.444735878635683</c:v>
                </c:pt>
                <c:pt idx="61" formatCode="0.0">
                  <c:v>2.8316052007396602</c:v>
                </c:pt>
                <c:pt idx="62" formatCode="0.0">
                  <c:v>0.57345013217447249</c:v>
                </c:pt>
                <c:pt idx="63" formatCode="0.0">
                  <c:v>-1.6524070848080434</c:v>
                </c:pt>
                <c:pt idx="64" formatCode="0.0">
                  <c:v>-2.8761491313415504</c:v>
                </c:pt>
                <c:pt idx="65" formatCode="0.0">
                  <c:v>-2.6051175262133492</c:v>
                </c:pt>
                <c:pt idx="66" formatCode="0.0">
                  <c:v>0.63051052998077983</c:v>
                </c:pt>
                <c:pt idx="67" formatCode="0.0">
                  <c:v>1.4352485057730948</c:v>
                </c:pt>
                <c:pt idx="68" formatCode="0.0">
                  <c:v>2.4028482703340903</c:v>
                </c:pt>
                <c:pt idx="69" formatCode="0.0">
                  <c:v>2.8456732441315356</c:v>
                </c:pt>
                <c:pt idx="70" formatCode="0.0">
                  <c:v>2.6631626991046224</c:v>
                </c:pt>
                <c:pt idx="71" formatCode="0.0">
                  <c:v>2.0742961668720801</c:v>
                </c:pt>
                <c:pt idx="72" formatCode="0.0">
                  <c:v>2.2949608673519792</c:v>
                </c:pt>
                <c:pt idx="73" formatCode="0.0">
                  <c:v>4.3426568419281635</c:v>
                </c:pt>
                <c:pt idx="74" formatCode="0.0">
                  <c:v>7.9133692378539919</c:v>
                </c:pt>
                <c:pt idx="75" formatCode="0.0">
                  <c:v>8.6050208028170108</c:v>
                </c:pt>
                <c:pt idx="76" formatCode="0.0">
                  <c:v>7.7653696504757628</c:v>
                </c:pt>
                <c:pt idx="77" formatCode="0.0">
                  <c:v>7.6803655281429011</c:v>
                </c:pt>
                <c:pt idx="78" formatCode="0.0">
                  <c:v>7.8732953015330853</c:v>
                </c:pt>
                <c:pt idx="79" formatCode="0.0">
                  <c:v>7.2170091061903765</c:v>
                </c:pt>
                <c:pt idx="80" formatCode="0.0">
                  <c:v>6.3026457819043742</c:v>
                </c:pt>
                <c:pt idx="81" formatCode="0.0">
                  <c:v>5.4240754780639966</c:v>
                </c:pt>
                <c:pt idx="82" formatCode="0.0">
                  <c:v>5.2524005232928141</c:v>
                </c:pt>
                <c:pt idx="83" formatCode="0.0">
                  <c:v>4.8538763984474915</c:v>
                </c:pt>
                <c:pt idx="84" formatCode="0.0">
                  <c:v>4.6064927427683049</c:v>
                </c:pt>
                <c:pt idx="85" formatCode="0.0">
                  <c:v>3.8004046736356902</c:v>
                </c:pt>
                <c:pt idx="86" formatCode="0.0">
                  <c:v>1.9404782224071071</c:v>
                </c:pt>
                <c:pt idx="87" formatCode="0.0">
                  <c:v>2.3784711665267082</c:v>
                </c:pt>
                <c:pt idx="88" formatCode="0.0">
                  <c:v>2.2551092698308111</c:v>
                </c:pt>
                <c:pt idx="89" formatCode="0.0">
                  <c:v>2.06162011049171</c:v>
                </c:pt>
                <c:pt idx="90" formatCode="0.0">
                  <c:v>1.239858025619798</c:v>
                </c:pt>
                <c:pt idx="91" formatCode="0.0">
                  <c:v>1.0937323413172118</c:v>
                </c:pt>
              </c:numCache>
            </c:numRef>
          </c:val>
        </c:ser>
        <c:ser>
          <c:idx val="3"/>
          <c:order val="5"/>
          <c:tx>
            <c:v>Energy and fuels</c:v>
          </c:tx>
          <c:invertIfNegative val="0"/>
          <c:val>
            <c:numRef>
              <c:f>'inflation-UB'!$CU$447:$GH$447</c:f>
              <c:numCache>
                <c:formatCode>General</c:formatCode>
                <c:ptCount val="92"/>
                <c:pt idx="12" formatCode="0.0">
                  <c:v>1.6845056183917625E-2</c:v>
                </c:pt>
                <c:pt idx="13" formatCode="0.0">
                  <c:v>0.22815821506969644</c:v>
                </c:pt>
                <c:pt idx="14" formatCode="0.0">
                  <c:v>0.39118192254378764</c:v>
                </c:pt>
                <c:pt idx="15" formatCode="0.0">
                  <c:v>4.5492605529796008E-3</c:v>
                </c:pt>
                <c:pt idx="16" formatCode="0.0">
                  <c:v>-0.18560623989731256</c:v>
                </c:pt>
                <c:pt idx="17" formatCode="0.0">
                  <c:v>-0.30866407994592071</c:v>
                </c:pt>
                <c:pt idx="18" formatCode="0.0">
                  <c:v>-8.9130766851808166E-2</c:v>
                </c:pt>
                <c:pt idx="19" formatCode="0.0">
                  <c:v>0.41193156787363322</c:v>
                </c:pt>
                <c:pt idx="20" formatCode="0.0">
                  <c:v>6.4566141281218606E-3</c:v>
                </c:pt>
                <c:pt idx="21" formatCode="0.0">
                  <c:v>1.4054075381893489</c:v>
                </c:pt>
                <c:pt idx="22" formatCode="0.0">
                  <c:v>1.4788351280479917</c:v>
                </c:pt>
                <c:pt idx="23" formatCode="0.0">
                  <c:v>1.3427758345003322</c:v>
                </c:pt>
                <c:pt idx="24" formatCode="0.0">
                  <c:v>1.9718998149828413</c:v>
                </c:pt>
                <c:pt idx="25" formatCode="0.0">
                  <c:v>2.4038191578683246</c:v>
                </c:pt>
                <c:pt idx="26" formatCode="0.0">
                  <c:v>2.5914006928860931</c:v>
                </c:pt>
                <c:pt idx="27" formatCode="0.0">
                  <c:v>2.8952509026708304</c:v>
                </c:pt>
                <c:pt idx="28" formatCode="0.0">
                  <c:v>2.6692715903185453</c:v>
                </c:pt>
                <c:pt idx="29" formatCode="0.0">
                  <c:v>2.9424528674915242</c:v>
                </c:pt>
                <c:pt idx="30" formatCode="0.0">
                  <c:v>3.7274728743788339</c:v>
                </c:pt>
                <c:pt idx="31" formatCode="0.0">
                  <c:v>5.6060738814380846</c:v>
                </c:pt>
                <c:pt idx="32" formatCode="0.0">
                  <c:v>5.434138754415522</c:v>
                </c:pt>
                <c:pt idx="33" formatCode="0.0">
                  <c:v>3.295315305076806</c:v>
                </c:pt>
                <c:pt idx="34" formatCode="0.0">
                  <c:v>2.1483162045380335</c:v>
                </c:pt>
                <c:pt idx="35" formatCode="0.0">
                  <c:v>1.6671255914087848</c:v>
                </c:pt>
                <c:pt idx="36" formatCode="0.0">
                  <c:v>1.1864292259955014</c:v>
                </c:pt>
                <c:pt idx="37" formatCode="0.0">
                  <c:v>0.15597407381443312</c:v>
                </c:pt>
                <c:pt idx="38" formatCode="0.0">
                  <c:v>0.63227179765943209</c:v>
                </c:pt>
                <c:pt idx="39" formatCode="0.0">
                  <c:v>0.14575205993173793</c:v>
                </c:pt>
                <c:pt idx="40" formatCode="0.0">
                  <c:v>-0.35356996839126309</c:v>
                </c:pt>
                <c:pt idx="41" formatCode="0.0">
                  <c:v>-0.27919716555813567</c:v>
                </c:pt>
                <c:pt idx="42" formatCode="0.0">
                  <c:v>-0.18448516026865508</c:v>
                </c:pt>
                <c:pt idx="43" formatCode="0.0">
                  <c:v>-1.9776483354548118</c:v>
                </c:pt>
                <c:pt idx="44" formatCode="0.0">
                  <c:v>-2.0556350901377507</c:v>
                </c:pt>
                <c:pt idx="45" formatCode="0.0">
                  <c:v>-1.6686872452564878</c:v>
                </c:pt>
                <c:pt idx="46" formatCode="0.0">
                  <c:v>-0.91695923222765319</c:v>
                </c:pt>
                <c:pt idx="47" formatCode="0.0">
                  <c:v>-0.18522527872116143</c:v>
                </c:pt>
                <c:pt idx="48" formatCode="0.0">
                  <c:v>0.42923683822346698</c:v>
                </c:pt>
                <c:pt idx="49" formatCode="0.0">
                  <c:v>0.60984409517456672</c:v>
                </c:pt>
                <c:pt idx="50" formatCode="0.0">
                  <c:v>0.12526071369472269</c:v>
                </c:pt>
                <c:pt idx="51" formatCode="0.0">
                  <c:v>0.53332127974627619</c:v>
                </c:pt>
                <c:pt idx="52" formatCode="0.0">
                  <c:v>1.412352835806679</c:v>
                </c:pt>
                <c:pt idx="53" formatCode="0.0">
                  <c:v>1.3478803549570839</c:v>
                </c:pt>
                <c:pt idx="54" formatCode="0.0">
                  <c:v>0.55697979628617578</c:v>
                </c:pt>
                <c:pt idx="55" formatCode="0.0">
                  <c:v>0.45688830074246112</c:v>
                </c:pt>
                <c:pt idx="56" formatCode="0.0">
                  <c:v>7.3495383472072115E-2</c:v>
                </c:pt>
                <c:pt idx="57" formatCode="0.0">
                  <c:v>0.17413519201455419</c:v>
                </c:pt>
                <c:pt idx="58" formatCode="0.0">
                  <c:v>0.42512036324440905</c:v>
                </c:pt>
                <c:pt idx="59" formatCode="0.0">
                  <c:v>0.33534413514001726</c:v>
                </c:pt>
                <c:pt idx="60" formatCode="0.0">
                  <c:v>6.233140358786575E-2</c:v>
                </c:pt>
                <c:pt idx="61" formatCode="0.0">
                  <c:v>0.48582476788452839</c:v>
                </c:pt>
                <c:pt idx="62" formatCode="0.0">
                  <c:v>0.32741343033712572</c:v>
                </c:pt>
                <c:pt idx="63" formatCode="0.0">
                  <c:v>0.30009029659823311</c:v>
                </c:pt>
                <c:pt idx="64" formatCode="0.0">
                  <c:v>0.42201972569921881</c:v>
                </c:pt>
                <c:pt idx="65" formatCode="0.0">
                  <c:v>0.55220424349730157</c:v>
                </c:pt>
                <c:pt idx="66" formatCode="0.0">
                  <c:v>0.55047099244669939</c:v>
                </c:pt>
                <c:pt idx="67" formatCode="0.0">
                  <c:v>0.65213729942096221</c:v>
                </c:pt>
                <c:pt idx="68" formatCode="0.0">
                  <c:v>1.7688053688270571</c:v>
                </c:pt>
                <c:pt idx="69" formatCode="0.0">
                  <c:v>1.8156248397292303</c:v>
                </c:pt>
                <c:pt idx="70" formatCode="0.0">
                  <c:v>1.6005280446528671</c:v>
                </c:pt>
                <c:pt idx="71" formatCode="0.0">
                  <c:v>1.5625880005487616</c:v>
                </c:pt>
                <c:pt idx="72" formatCode="0.0">
                  <c:v>2.0326607891722208</c:v>
                </c:pt>
                <c:pt idx="73" formatCode="0.0">
                  <c:v>1.5553632616202793</c:v>
                </c:pt>
                <c:pt idx="74" formatCode="0.0">
                  <c:v>1.4433474723427588</c:v>
                </c:pt>
                <c:pt idx="75" formatCode="0.0">
                  <c:v>1.2322738595234821</c:v>
                </c:pt>
                <c:pt idx="76" formatCode="0.0">
                  <c:v>0.96672583858977112</c:v>
                </c:pt>
                <c:pt idx="77" formatCode="0.0">
                  <c:v>0.64730078771447641</c:v>
                </c:pt>
                <c:pt idx="78" formatCode="0.0">
                  <c:v>0.70427931610669625</c:v>
                </c:pt>
                <c:pt idx="79" formatCode="0.0">
                  <c:v>0.88158111965902686</c:v>
                </c:pt>
                <c:pt idx="80" formatCode="0.0">
                  <c:v>0.28697611775763227</c:v>
                </c:pt>
                <c:pt idx="81" formatCode="0.0">
                  <c:v>0.73028723404194107</c:v>
                </c:pt>
                <c:pt idx="82" formatCode="0.0">
                  <c:v>0.45804501209641812</c:v>
                </c:pt>
                <c:pt idx="83" formatCode="0.0">
                  <c:v>0.49380945888538197</c:v>
                </c:pt>
                <c:pt idx="84" formatCode="0.0">
                  <c:v>0.24160443538463217</c:v>
                </c:pt>
                <c:pt idx="85" formatCode="0.0">
                  <c:v>0.34903621507948762</c:v>
                </c:pt>
                <c:pt idx="86" formatCode="0.0">
                  <c:v>0.48467482047362859</c:v>
                </c:pt>
                <c:pt idx="87" formatCode="0.0">
                  <c:v>0.71604320221719975</c:v>
                </c:pt>
                <c:pt idx="88" formatCode="0.0">
                  <c:v>0.24104954991852864</c:v>
                </c:pt>
                <c:pt idx="89" formatCode="0.0">
                  <c:v>-2.9650736482519043E-2</c:v>
                </c:pt>
                <c:pt idx="90" formatCode="0.0">
                  <c:v>6.2460365565354808E-2</c:v>
                </c:pt>
                <c:pt idx="91" formatCode="0.0">
                  <c:v>8.5659959436316963E-2</c:v>
                </c:pt>
              </c:numCache>
            </c:numRef>
          </c:val>
        </c:ser>
        <c:dLbls>
          <c:showLegendKey val="0"/>
          <c:showVal val="0"/>
          <c:showCatName val="0"/>
          <c:showSerName val="0"/>
          <c:showPercent val="0"/>
          <c:showBubbleSize val="0"/>
        </c:dLbls>
        <c:gapWidth val="150"/>
        <c:overlap val="100"/>
        <c:axId val="274614528"/>
        <c:axId val="274628608"/>
      </c:barChart>
      <c:lineChart>
        <c:grouping val="standard"/>
        <c:varyColors val="0"/>
        <c:ser>
          <c:idx val="0"/>
          <c:order val="0"/>
          <c:tx>
            <c:v>CPI inflation</c:v>
          </c:tx>
          <c:spPr>
            <a:ln w="22225"/>
          </c:spPr>
          <c:marker>
            <c:symbol val="none"/>
          </c:marker>
          <c:cat>
            <c:numRef>
              <c:f>'inflation-UB'!$CU$2:$GH$2</c:f>
              <c:numCache>
                <c:formatCode>mmm\-yy</c:formatCode>
                <c:ptCount val="92"/>
                <c:pt idx="0">
                  <c:v>38718</c:v>
                </c:pt>
                <c:pt idx="1">
                  <c:v>38749</c:v>
                </c:pt>
                <c:pt idx="2">
                  <c:v>38777</c:v>
                </c:pt>
                <c:pt idx="3">
                  <c:v>38808</c:v>
                </c:pt>
                <c:pt idx="4">
                  <c:v>38838</c:v>
                </c:pt>
                <c:pt idx="5">
                  <c:v>38869</c:v>
                </c:pt>
                <c:pt idx="6">
                  <c:v>38899</c:v>
                </c:pt>
                <c:pt idx="7">
                  <c:v>38930</c:v>
                </c:pt>
                <c:pt idx="8">
                  <c:v>38961</c:v>
                </c:pt>
                <c:pt idx="9">
                  <c:v>38991</c:v>
                </c:pt>
                <c:pt idx="10">
                  <c:v>39022</c:v>
                </c:pt>
                <c:pt idx="11">
                  <c:v>39052</c:v>
                </c:pt>
                <c:pt idx="12">
                  <c:v>39083</c:v>
                </c:pt>
                <c:pt idx="13">
                  <c:v>39114</c:v>
                </c:pt>
                <c:pt idx="14">
                  <c:v>39142</c:v>
                </c:pt>
                <c:pt idx="15">
                  <c:v>39173</c:v>
                </c:pt>
                <c:pt idx="16">
                  <c:v>39203</c:v>
                </c:pt>
                <c:pt idx="17">
                  <c:v>39234</c:v>
                </c:pt>
                <c:pt idx="18">
                  <c:v>39264</c:v>
                </c:pt>
                <c:pt idx="19">
                  <c:v>39295</c:v>
                </c:pt>
                <c:pt idx="20">
                  <c:v>39326</c:v>
                </c:pt>
                <c:pt idx="21">
                  <c:v>39356</c:v>
                </c:pt>
                <c:pt idx="22">
                  <c:v>39387</c:v>
                </c:pt>
                <c:pt idx="23">
                  <c:v>39417</c:v>
                </c:pt>
                <c:pt idx="24">
                  <c:v>39448</c:v>
                </c:pt>
                <c:pt idx="25">
                  <c:v>39479</c:v>
                </c:pt>
                <c:pt idx="26">
                  <c:v>39508</c:v>
                </c:pt>
                <c:pt idx="27">
                  <c:v>39539</c:v>
                </c:pt>
                <c:pt idx="28">
                  <c:v>39569</c:v>
                </c:pt>
                <c:pt idx="29">
                  <c:v>39600</c:v>
                </c:pt>
                <c:pt idx="30">
                  <c:v>39630</c:v>
                </c:pt>
                <c:pt idx="31">
                  <c:v>39661</c:v>
                </c:pt>
                <c:pt idx="32">
                  <c:v>39692</c:v>
                </c:pt>
                <c:pt idx="33">
                  <c:v>39722</c:v>
                </c:pt>
                <c:pt idx="34">
                  <c:v>39753</c:v>
                </c:pt>
                <c:pt idx="35">
                  <c:v>39783</c:v>
                </c:pt>
                <c:pt idx="36">
                  <c:v>39814</c:v>
                </c:pt>
                <c:pt idx="37">
                  <c:v>39845</c:v>
                </c:pt>
                <c:pt idx="38">
                  <c:v>39873</c:v>
                </c:pt>
                <c:pt idx="39">
                  <c:v>39904</c:v>
                </c:pt>
                <c:pt idx="40">
                  <c:v>39934</c:v>
                </c:pt>
                <c:pt idx="41">
                  <c:v>39965</c:v>
                </c:pt>
                <c:pt idx="42">
                  <c:v>39995</c:v>
                </c:pt>
                <c:pt idx="43">
                  <c:v>40026</c:v>
                </c:pt>
                <c:pt idx="44">
                  <c:v>40057</c:v>
                </c:pt>
                <c:pt idx="45">
                  <c:v>40087</c:v>
                </c:pt>
                <c:pt idx="46">
                  <c:v>40118</c:v>
                </c:pt>
                <c:pt idx="47">
                  <c:v>40148</c:v>
                </c:pt>
                <c:pt idx="48">
                  <c:v>40179</c:v>
                </c:pt>
                <c:pt idx="49">
                  <c:v>40210</c:v>
                </c:pt>
                <c:pt idx="50">
                  <c:v>40238</c:v>
                </c:pt>
                <c:pt idx="51">
                  <c:v>40269</c:v>
                </c:pt>
                <c:pt idx="52">
                  <c:v>40299</c:v>
                </c:pt>
                <c:pt idx="53">
                  <c:v>40330</c:v>
                </c:pt>
                <c:pt idx="54">
                  <c:v>40360</c:v>
                </c:pt>
                <c:pt idx="55">
                  <c:v>40391</c:v>
                </c:pt>
                <c:pt idx="56">
                  <c:v>40422</c:v>
                </c:pt>
                <c:pt idx="57">
                  <c:v>40452</c:v>
                </c:pt>
                <c:pt idx="58">
                  <c:v>40483</c:v>
                </c:pt>
                <c:pt idx="59">
                  <c:v>40513</c:v>
                </c:pt>
                <c:pt idx="60">
                  <c:v>40544</c:v>
                </c:pt>
                <c:pt idx="61">
                  <c:v>40575</c:v>
                </c:pt>
                <c:pt idx="62">
                  <c:v>40603</c:v>
                </c:pt>
                <c:pt idx="63">
                  <c:v>40634</c:v>
                </c:pt>
                <c:pt idx="64">
                  <c:v>40664</c:v>
                </c:pt>
                <c:pt idx="65">
                  <c:v>40695</c:v>
                </c:pt>
                <c:pt idx="66">
                  <c:v>40725</c:v>
                </c:pt>
                <c:pt idx="67">
                  <c:v>40756</c:v>
                </c:pt>
                <c:pt idx="68">
                  <c:v>40787</c:v>
                </c:pt>
                <c:pt idx="69">
                  <c:v>40817</c:v>
                </c:pt>
                <c:pt idx="70">
                  <c:v>40848</c:v>
                </c:pt>
                <c:pt idx="71">
                  <c:v>40878</c:v>
                </c:pt>
                <c:pt idx="72">
                  <c:v>40909</c:v>
                </c:pt>
                <c:pt idx="73">
                  <c:v>40940</c:v>
                </c:pt>
                <c:pt idx="74">
                  <c:v>40969</c:v>
                </c:pt>
                <c:pt idx="75">
                  <c:v>41000</c:v>
                </c:pt>
                <c:pt idx="76">
                  <c:v>41030</c:v>
                </c:pt>
                <c:pt idx="77">
                  <c:v>41061</c:v>
                </c:pt>
                <c:pt idx="78">
                  <c:v>41091</c:v>
                </c:pt>
                <c:pt idx="79">
                  <c:v>41122</c:v>
                </c:pt>
                <c:pt idx="80">
                  <c:v>41153</c:v>
                </c:pt>
                <c:pt idx="81">
                  <c:v>41183</c:v>
                </c:pt>
                <c:pt idx="82">
                  <c:v>41214</c:v>
                </c:pt>
                <c:pt idx="83">
                  <c:v>41244</c:v>
                </c:pt>
                <c:pt idx="84">
                  <c:v>41275</c:v>
                </c:pt>
                <c:pt idx="85">
                  <c:v>41306</c:v>
                </c:pt>
                <c:pt idx="86">
                  <c:v>41334</c:v>
                </c:pt>
                <c:pt idx="87">
                  <c:v>41365</c:v>
                </c:pt>
                <c:pt idx="88">
                  <c:v>41395</c:v>
                </c:pt>
                <c:pt idx="89">
                  <c:v>41426</c:v>
                </c:pt>
                <c:pt idx="90">
                  <c:v>41456</c:v>
                </c:pt>
                <c:pt idx="91">
                  <c:v>41487</c:v>
                </c:pt>
              </c:numCache>
            </c:numRef>
          </c:cat>
          <c:val>
            <c:numRef>
              <c:f>'inflation-UB'!$CU$445:$GH$445</c:f>
              <c:numCache>
                <c:formatCode>General</c:formatCode>
                <c:ptCount val="92"/>
                <c:pt idx="12" formatCode="#,##0.0">
                  <c:v>3.133888109922478</c:v>
                </c:pt>
                <c:pt idx="13" formatCode="#,##0.0">
                  <c:v>4.1692642791585577</c:v>
                </c:pt>
                <c:pt idx="14" formatCode="#,##0.0">
                  <c:v>5.2835093499088659</c:v>
                </c:pt>
                <c:pt idx="15" formatCode="#,##0.0">
                  <c:v>4.0216839316192576</c:v>
                </c:pt>
                <c:pt idx="16" formatCode="#,##0.0">
                  <c:v>4.6902312056751105</c:v>
                </c:pt>
                <c:pt idx="17" formatCode="#,##0.0">
                  <c:v>5.5204121581243104</c:v>
                </c:pt>
                <c:pt idx="18" formatCode="#,##0.0">
                  <c:v>6.4435795645081395</c:v>
                </c:pt>
                <c:pt idx="19" formatCode="#,##0.0">
                  <c:v>10.367858882744429</c:v>
                </c:pt>
                <c:pt idx="20" formatCode="#,##0.0">
                  <c:v>12.112016182323426</c:v>
                </c:pt>
                <c:pt idx="21" formatCode="#,##0.0">
                  <c:v>13.913362357904813</c:v>
                </c:pt>
                <c:pt idx="22" formatCode="#,##0.0">
                  <c:v>13.964695264750148</c:v>
                </c:pt>
                <c:pt idx="23" formatCode="#,##0.0">
                  <c:v>14.117716761827314</c:v>
                </c:pt>
                <c:pt idx="24" formatCode="#,##0.0">
                  <c:v>16.855436719975469</c:v>
                </c:pt>
                <c:pt idx="25" formatCode="#,##0.0">
                  <c:v>17.94870156628139</c:v>
                </c:pt>
                <c:pt idx="26" formatCode="#,##0.0">
                  <c:v>20.625714844082044</c:v>
                </c:pt>
                <c:pt idx="27" formatCode="#,##0.0">
                  <c:v>26.428660489823621</c:v>
                </c:pt>
                <c:pt idx="28" formatCode="#,##0.0">
                  <c:v>32.597529352456235</c:v>
                </c:pt>
                <c:pt idx="29" formatCode="#,##0.0">
                  <c:v>32.42577115798322</c:v>
                </c:pt>
                <c:pt idx="30" formatCode="#,##0.0">
                  <c:v>33.129931606702058</c:v>
                </c:pt>
                <c:pt idx="31" formatCode="#,##0.0">
                  <c:v>33.694140655492319</c:v>
                </c:pt>
                <c:pt idx="32" formatCode="#,##0.0">
                  <c:v>31.730052586665014</c:v>
                </c:pt>
                <c:pt idx="33" formatCode="#,##0.0">
                  <c:v>27.220519881762662</c:v>
                </c:pt>
                <c:pt idx="34" formatCode="#,##0.0">
                  <c:v>24.475457836898219</c:v>
                </c:pt>
                <c:pt idx="35" formatCode="#,##0.0">
                  <c:v>23.19150005204671</c:v>
                </c:pt>
                <c:pt idx="36" formatCode="#,##0.0">
                  <c:v>21.015556344886011</c:v>
                </c:pt>
                <c:pt idx="37" formatCode="#,##0.0">
                  <c:v>17.195846295920347</c:v>
                </c:pt>
                <c:pt idx="38" formatCode="#,##0.0">
                  <c:v>17.243981329934567</c:v>
                </c:pt>
                <c:pt idx="39" formatCode="#,##0.0">
                  <c:v>12.644789469962836</c:v>
                </c:pt>
                <c:pt idx="40" formatCode="#,##0.0">
                  <c:v>7.435722594218297</c:v>
                </c:pt>
                <c:pt idx="41" formatCode="#,##0.0">
                  <c:v>4.6670653323733102</c:v>
                </c:pt>
                <c:pt idx="42" formatCode="#,##0.0">
                  <c:v>2.8796138982689623</c:v>
                </c:pt>
                <c:pt idx="43" formatCode="#,##0.0">
                  <c:v>-0.90231839070178399</c:v>
                </c:pt>
                <c:pt idx="44" formatCode="#,##0.0">
                  <c:v>-1.9148996562497245</c:v>
                </c:pt>
                <c:pt idx="45" formatCode="#,##0.0">
                  <c:v>-1.1233748135394683</c:v>
                </c:pt>
                <c:pt idx="46" formatCode="#,##0.0">
                  <c:v>1.1451431998197314</c:v>
                </c:pt>
                <c:pt idx="47" formatCode="#,##0.0">
                  <c:v>1.8876385597916379</c:v>
                </c:pt>
                <c:pt idx="48" formatCode="#,##0.0">
                  <c:v>4.4658086476315306</c:v>
                </c:pt>
                <c:pt idx="49" formatCode="#,##0.0">
                  <c:v>8.6819868097488317</c:v>
                </c:pt>
                <c:pt idx="50" formatCode="#,##0.0">
                  <c:v>7.7695868257461331</c:v>
                </c:pt>
                <c:pt idx="51" formatCode="#,##0.0">
                  <c:v>8.3831099949162038</c:v>
                </c:pt>
                <c:pt idx="52" formatCode="#,##0.0">
                  <c:v>11.713256161913188</c:v>
                </c:pt>
                <c:pt idx="53" formatCode="#,##0.0">
                  <c:v>12.596783872929173</c:v>
                </c:pt>
                <c:pt idx="54" formatCode="#,##0.0">
                  <c:v>8.8155206557662513</c:v>
                </c:pt>
                <c:pt idx="55" formatCode="#,##0.0">
                  <c:v>11.099307018701277</c:v>
                </c:pt>
                <c:pt idx="56" formatCode="#,##0.0">
                  <c:v>10.916652044299857</c:v>
                </c:pt>
                <c:pt idx="57" formatCode="#,##0.0">
                  <c:v>11.259633900487941</c:v>
                </c:pt>
                <c:pt idx="58" formatCode="#,##0.0">
                  <c:v>11.807985454171455</c:v>
                </c:pt>
                <c:pt idx="59" formatCode="#,##0.0">
                  <c:v>14.29215875635057</c:v>
                </c:pt>
                <c:pt idx="60" formatCode="#,##0.0">
                  <c:v>13.038963840275052</c:v>
                </c:pt>
                <c:pt idx="61" formatCode="#,##0.0">
                  <c:v>9.1528598433283204</c:v>
                </c:pt>
                <c:pt idx="62" formatCode="#,##0.0">
                  <c:v>6.1294684046263814</c:v>
                </c:pt>
                <c:pt idx="63" formatCode="#,##0.0">
                  <c:v>3.3249715457678519</c:v>
                </c:pt>
                <c:pt idx="64" formatCode="#,##0.0">
                  <c:v>1.190243313035344</c:v>
                </c:pt>
                <c:pt idx="65" formatCode="#,##0.0">
                  <c:v>2.6515131118558521</c:v>
                </c:pt>
                <c:pt idx="66" formatCode="#,##0.0">
                  <c:v>7.7676911523799186</c:v>
                </c:pt>
                <c:pt idx="67" formatCode="#,##0.0">
                  <c:v>7.0427226799151477</c:v>
                </c:pt>
                <c:pt idx="68" formatCode="#,##0.0">
                  <c:v>10.325995195196057</c:v>
                </c:pt>
                <c:pt idx="69" formatCode="#,##0.0">
                  <c:v>11.812150712390412</c:v>
                </c:pt>
                <c:pt idx="70" formatCode="#,##0.0">
                  <c:v>11.284003391085751</c:v>
                </c:pt>
                <c:pt idx="71" formatCode="#,##0.0">
                  <c:v>9.3946666621950605</c:v>
                </c:pt>
                <c:pt idx="72" formatCode="#,##0.0">
                  <c:v>10.907421233970149</c:v>
                </c:pt>
                <c:pt idx="73" formatCode="#,##0.0">
                  <c:v>13.39241465717409</c:v>
                </c:pt>
                <c:pt idx="74" formatCode="#,##0.0">
                  <c:v>17.30127621812596</c:v>
                </c:pt>
                <c:pt idx="75" formatCode="#,##0.0">
                  <c:v>17.766620700904802</c:v>
                </c:pt>
                <c:pt idx="76" formatCode="#,##0.0">
                  <c:v>16.555981477656868</c:v>
                </c:pt>
                <c:pt idx="77" formatCode="#,##0.0">
                  <c:v>15.123979589076164</c:v>
                </c:pt>
                <c:pt idx="78" formatCode="#,##0.0">
                  <c:v>14.919509299371603</c:v>
                </c:pt>
                <c:pt idx="79" formatCode="#,##0.0">
                  <c:v>15.598490150356547</c:v>
                </c:pt>
                <c:pt idx="80" formatCode="#,##0.0">
                  <c:v>15.069051111467457</c:v>
                </c:pt>
                <c:pt idx="81" formatCode="#,##0.0">
                  <c:v>14.986385267580605</c:v>
                </c:pt>
                <c:pt idx="82" formatCode="#,##0.0">
                  <c:v>14.215825317919229</c:v>
                </c:pt>
                <c:pt idx="83" formatCode="#,##0.0">
                  <c:v>14.215843377881843</c:v>
                </c:pt>
                <c:pt idx="84" formatCode="#,##0.0">
                  <c:v>12.69577921043914</c:v>
                </c:pt>
                <c:pt idx="85" formatCode="#,##0.0">
                  <c:v>11.134414531840587</c:v>
                </c:pt>
                <c:pt idx="86" formatCode="#,##0.0">
                  <c:v>9.3506261288754935</c:v>
                </c:pt>
                <c:pt idx="87" formatCode="#,##0.0">
                  <c:v>9.8498443382539094</c:v>
                </c:pt>
                <c:pt idx="88" formatCode="#,##0.0">
                  <c:v>8.4081393718980824</c:v>
                </c:pt>
                <c:pt idx="89" formatCode="#,##0.0">
                  <c:v>7.6205698714189474</c:v>
                </c:pt>
                <c:pt idx="90" formatCode="#,##0.0">
                  <c:v>7.0401355997272042</c:v>
                </c:pt>
                <c:pt idx="91" formatCode="#,##0.0">
                  <c:v>8.3672721817636067</c:v>
                </c:pt>
              </c:numCache>
            </c:numRef>
          </c:val>
          <c:smooth val="0"/>
        </c:ser>
        <c:dLbls>
          <c:showLegendKey val="0"/>
          <c:showVal val="0"/>
          <c:showCatName val="0"/>
          <c:showSerName val="0"/>
          <c:showPercent val="0"/>
          <c:showBubbleSize val="0"/>
        </c:dLbls>
        <c:marker val="1"/>
        <c:smooth val="0"/>
        <c:axId val="274614528"/>
        <c:axId val="274628608"/>
      </c:lineChart>
      <c:dateAx>
        <c:axId val="274614528"/>
        <c:scaling>
          <c:orientation val="minMax"/>
          <c:max val="41487"/>
          <c:min val="40271"/>
        </c:scaling>
        <c:delete val="0"/>
        <c:axPos val="b"/>
        <c:numFmt formatCode="mmm\-yy" sourceLinked="0"/>
        <c:majorTickMark val="out"/>
        <c:minorTickMark val="none"/>
        <c:tickLblPos val="low"/>
        <c:txPr>
          <a:bodyPr rot="0" vert="horz"/>
          <a:lstStyle/>
          <a:p>
            <a:pPr>
              <a:defRPr/>
            </a:pPr>
            <a:endParaRPr lang="en-US"/>
          </a:p>
        </c:txPr>
        <c:crossAx val="274628608"/>
        <c:crosses val="autoZero"/>
        <c:auto val="1"/>
        <c:lblOffset val="100"/>
        <c:baseTimeUnit val="months"/>
        <c:majorUnit val="4"/>
        <c:majorTimeUnit val="months"/>
        <c:minorUnit val="1"/>
        <c:minorTimeUnit val="months"/>
      </c:dateAx>
      <c:valAx>
        <c:axId val="274628608"/>
        <c:scaling>
          <c:orientation val="minMax"/>
          <c:max val="35"/>
          <c:min val="-5"/>
        </c:scaling>
        <c:delete val="0"/>
        <c:axPos val="l"/>
        <c:numFmt formatCode="#,##0" sourceLinked="0"/>
        <c:majorTickMark val="out"/>
        <c:minorTickMark val="none"/>
        <c:tickLblPos val="nextTo"/>
        <c:txPr>
          <a:bodyPr rot="0" vert="horz"/>
          <a:lstStyle/>
          <a:p>
            <a:pPr>
              <a:defRPr/>
            </a:pPr>
            <a:endParaRPr lang="en-US"/>
          </a:p>
        </c:txPr>
        <c:crossAx val="274614528"/>
        <c:crosses val="autoZero"/>
        <c:crossBetween val="between"/>
      </c:valAx>
    </c:plotArea>
    <c:legend>
      <c:legendPos val="r"/>
      <c:layout>
        <c:manualLayout>
          <c:xMode val="edge"/>
          <c:yMode val="edge"/>
          <c:x val="8.3808314283295215E-2"/>
          <c:y val="0"/>
          <c:w val="0.62332128050813884"/>
          <c:h val="0.39220970150206103"/>
        </c:manualLayout>
      </c:layout>
      <c:overlay val="0"/>
      <c:txPr>
        <a:bodyPr/>
        <a:lstStyle/>
        <a:p>
          <a:pPr>
            <a:defRPr sz="700"/>
          </a:pPr>
          <a:endParaRPr lang="en-US"/>
        </a:p>
      </c:txPr>
    </c:legend>
    <c:plotVisOnly val="1"/>
    <c:dispBlanksAs val="gap"/>
    <c:showDLblsOverMax val="0"/>
  </c:chart>
  <c:spPr>
    <a:ln>
      <a:noFill/>
    </a:ln>
  </c:spPr>
  <c:txPr>
    <a:bodyPr/>
    <a:lstStyle/>
    <a:p>
      <a:pPr>
        <a:defRPr sz="500"/>
      </a:pPr>
      <a:endParaRPr lang="en-US"/>
    </a:p>
  </c:txPr>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461351706036745"/>
          <c:y val="2.6642932167663169E-2"/>
          <c:w val="0.87231649168853886"/>
          <c:h val="0.89189079259349657"/>
        </c:manualLayout>
      </c:layout>
      <c:lineChart>
        <c:grouping val="standard"/>
        <c:varyColors val="0"/>
        <c:ser>
          <c:idx val="0"/>
          <c:order val="0"/>
          <c:tx>
            <c:v>Bread and Cereals</c:v>
          </c:tx>
          <c:spPr>
            <a:ln w="22225"/>
          </c:spPr>
          <c:marker>
            <c:symbol val="none"/>
          </c:marker>
          <c:cat>
            <c:numRef>
              <c:f>'inflation-UB'!$GW$2:$HQ$2</c:f>
              <c:numCache>
                <c:formatCode>mmm\-yy</c:formatCode>
                <c:ptCount val="21"/>
                <c:pt idx="0">
                  <c:v>40909</c:v>
                </c:pt>
                <c:pt idx="1">
                  <c:v>40940</c:v>
                </c:pt>
                <c:pt idx="2">
                  <c:v>40969</c:v>
                </c:pt>
                <c:pt idx="3">
                  <c:v>41000</c:v>
                </c:pt>
                <c:pt idx="4">
                  <c:v>41030</c:v>
                </c:pt>
                <c:pt idx="5">
                  <c:v>41061</c:v>
                </c:pt>
                <c:pt idx="6">
                  <c:v>41091</c:v>
                </c:pt>
                <c:pt idx="7">
                  <c:v>41122</c:v>
                </c:pt>
                <c:pt idx="8">
                  <c:v>41153</c:v>
                </c:pt>
                <c:pt idx="9">
                  <c:v>41183</c:v>
                </c:pt>
                <c:pt idx="10">
                  <c:v>41214</c:v>
                </c:pt>
                <c:pt idx="11">
                  <c:v>41244</c:v>
                </c:pt>
                <c:pt idx="12">
                  <c:v>41275</c:v>
                </c:pt>
                <c:pt idx="13">
                  <c:v>41306</c:v>
                </c:pt>
                <c:pt idx="14">
                  <c:v>41334</c:v>
                </c:pt>
                <c:pt idx="15">
                  <c:v>41365</c:v>
                </c:pt>
                <c:pt idx="16">
                  <c:v>41395</c:v>
                </c:pt>
                <c:pt idx="17">
                  <c:v>41426</c:v>
                </c:pt>
                <c:pt idx="18">
                  <c:v>41456</c:v>
                </c:pt>
                <c:pt idx="19">
                  <c:v>41487</c:v>
                </c:pt>
                <c:pt idx="20">
                  <c:v>41530</c:v>
                </c:pt>
              </c:numCache>
            </c:numRef>
          </c:cat>
          <c:val>
            <c:numRef>
              <c:f>'inflation-UB'!$GW$7:$HQ$7</c:f>
              <c:numCache>
                <c:formatCode>0.0%</c:formatCode>
                <c:ptCount val="21"/>
                <c:pt idx="0">
                  <c:v>7.8964176917339923E-3</c:v>
                </c:pt>
                <c:pt idx="1">
                  <c:v>1.2865960733320581E-2</c:v>
                </c:pt>
                <c:pt idx="2">
                  <c:v>2.3814514030431333E-2</c:v>
                </c:pt>
                <c:pt idx="3">
                  <c:v>2.6302923856785343E-2</c:v>
                </c:pt>
                <c:pt idx="4">
                  <c:v>2.349732425614981E-2</c:v>
                </c:pt>
                <c:pt idx="5">
                  <c:v>2.6772651706323591E-2</c:v>
                </c:pt>
                <c:pt idx="6">
                  <c:v>2.9437515405464243E-2</c:v>
                </c:pt>
                <c:pt idx="7">
                  <c:v>3.5498583034641706E-2</c:v>
                </c:pt>
                <c:pt idx="8">
                  <c:v>3.952218575556965E-2</c:v>
                </c:pt>
                <c:pt idx="9">
                  <c:v>4.9575607685592882E-2</c:v>
                </c:pt>
                <c:pt idx="10">
                  <c:v>5.1974501028446252E-2</c:v>
                </c:pt>
                <c:pt idx="11">
                  <c:v>5.3959523671996301E-2</c:v>
                </c:pt>
                <c:pt idx="12">
                  <c:v>5.5097573510010545E-2</c:v>
                </c:pt>
                <c:pt idx="13">
                  <c:v>7.5188272000488388E-2</c:v>
                </c:pt>
                <c:pt idx="14">
                  <c:v>0.10740371194674814</c:v>
                </c:pt>
                <c:pt idx="15">
                  <c:v>0.12325192061293477</c:v>
                </c:pt>
                <c:pt idx="16">
                  <c:v>0.11310222134030812</c:v>
                </c:pt>
                <c:pt idx="17">
                  <c:v>0.11073535242036892</c:v>
                </c:pt>
                <c:pt idx="18">
                  <c:v>0.1089053125150814</c:v>
                </c:pt>
                <c:pt idx="19">
                  <c:v>0.12022119051296887</c:v>
                </c:pt>
                <c:pt idx="20">
                  <c:v>0.14138124462584134</c:v>
                </c:pt>
              </c:numCache>
            </c:numRef>
          </c:val>
          <c:smooth val="0"/>
        </c:ser>
        <c:ser>
          <c:idx val="2"/>
          <c:order val="1"/>
          <c:cat>
            <c:numRef>
              <c:f>'inflation-UB'!$GW$2:$HQ$2</c:f>
              <c:numCache>
                <c:formatCode>mmm\-yy</c:formatCode>
                <c:ptCount val="21"/>
                <c:pt idx="0">
                  <c:v>40909</c:v>
                </c:pt>
                <c:pt idx="1">
                  <c:v>40940</c:v>
                </c:pt>
                <c:pt idx="2">
                  <c:v>40969</c:v>
                </c:pt>
                <c:pt idx="3">
                  <c:v>41000</c:v>
                </c:pt>
                <c:pt idx="4">
                  <c:v>41030</c:v>
                </c:pt>
                <c:pt idx="5">
                  <c:v>41061</c:v>
                </c:pt>
                <c:pt idx="6">
                  <c:v>41091</c:v>
                </c:pt>
                <c:pt idx="7">
                  <c:v>41122</c:v>
                </c:pt>
                <c:pt idx="8">
                  <c:v>41153</c:v>
                </c:pt>
                <c:pt idx="9">
                  <c:v>41183</c:v>
                </c:pt>
                <c:pt idx="10">
                  <c:v>41214</c:v>
                </c:pt>
                <c:pt idx="11">
                  <c:v>41244</c:v>
                </c:pt>
                <c:pt idx="12">
                  <c:v>41275</c:v>
                </c:pt>
                <c:pt idx="13">
                  <c:v>41306</c:v>
                </c:pt>
                <c:pt idx="14">
                  <c:v>41334</c:v>
                </c:pt>
                <c:pt idx="15">
                  <c:v>41365</c:v>
                </c:pt>
                <c:pt idx="16">
                  <c:v>41395</c:v>
                </c:pt>
                <c:pt idx="17">
                  <c:v>41426</c:v>
                </c:pt>
                <c:pt idx="18">
                  <c:v>41456</c:v>
                </c:pt>
                <c:pt idx="19">
                  <c:v>41487</c:v>
                </c:pt>
                <c:pt idx="20">
                  <c:v>41530</c:v>
                </c:pt>
              </c:numCache>
            </c:numRef>
          </c:cat>
          <c:val>
            <c:numRef>
              <c:f>'inflation-UB'!$GW$33:$HP$33</c:f>
            </c:numRef>
          </c:val>
          <c:smooth val="0"/>
        </c:ser>
        <c:ser>
          <c:idx val="3"/>
          <c:order val="2"/>
          <c:tx>
            <c:v>Milk, Cheese and Eggs</c:v>
          </c:tx>
          <c:spPr>
            <a:ln w="22225"/>
          </c:spPr>
          <c:marker>
            <c:symbol val="none"/>
          </c:marker>
          <c:cat>
            <c:numRef>
              <c:f>'inflation-UB'!$GW$2:$HQ$2</c:f>
              <c:numCache>
                <c:formatCode>mmm\-yy</c:formatCode>
                <c:ptCount val="21"/>
                <c:pt idx="0">
                  <c:v>40909</c:v>
                </c:pt>
                <c:pt idx="1">
                  <c:v>40940</c:v>
                </c:pt>
                <c:pt idx="2">
                  <c:v>40969</c:v>
                </c:pt>
                <c:pt idx="3">
                  <c:v>41000</c:v>
                </c:pt>
                <c:pt idx="4">
                  <c:v>41030</c:v>
                </c:pt>
                <c:pt idx="5">
                  <c:v>41061</c:v>
                </c:pt>
                <c:pt idx="6">
                  <c:v>41091</c:v>
                </c:pt>
                <c:pt idx="7">
                  <c:v>41122</c:v>
                </c:pt>
                <c:pt idx="8">
                  <c:v>41153</c:v>
                </c:pt>
                <c:pt idx="9">
                  <c:v>41183</c:v>
                </c:pt>
                <c:pt idx="10">
                  <c:v>41214</c:v>
                </c:pt>
                <c:pt idx="11">
                  <c:v>41244</c:v>
                </c:pt>
                <c:pt idx="12">
                  <c:v>41275</c:v>
                </c:pt>
                <c:pt idx="13">
                  <c:v>41306</c:v>
                </c:pt>
                <c:pt idx="14">
                  <c:v>41334</c:v>
                </c:pt>
                <c:pt idx="15">
                  <c:v>41365</c:v>
                </c:pt>
                <c:pt idx="16">
                  <c:v>41395</c:v>
                </c:pt>
                <c:pt idx="17">
                  <c:v>41426</c:v>
                </c:pt>
                <c:pt idx="18">
                  <c:v>41456</c:v>
                </c:pt>
                <c:pt idx="19">
                  <c:v>41487</c:v>
                </c:pt>
                <c:pt idx="20">
                  <c:v>41530</c:v>
                </c:pt>
              </c:numCache>
            </c:numRef>
          </c:cat>
          <c:val>
            <c:numRef>
              <c:f>'inflation-UB'!$GW$34:$HQ$34</c:f>
              <c:numCache>
                <c:formatCode>0.0%</c:formatCode>
                <c:ptCount val="21"/>
                <c:pt idx="0">
                  <c:v>6.493051809206829E-2</c:v>
                </c:pt>
                <c:pt idx="1">
                  <c:v>8.6522066428328381E-2</c:v>
                </c:pt>
                <c:pt idx="2">
                  <c:v>8.3140097128361123E-2</c:v>
                </c:pt>
                <c:pt idx="3">
                  <c:v>7.642187954904367E-2</c:v>
                </c:pt>
                <c:pt idx="4">
                  <c:v>7.6598330442453566E-2</c:v>
                </c:pt>
                <c:pt idx="5">
                  <c:v>3.1897331024659303E-2</c:v>
                </c:pt>
                <c:pt idx="6">
                  <c:v>4.266991062179093E-2</c:v>
                </c:pt>
                <c:pt idx="7">
                  <c:v>4.4197870708421183E-2</c:v>
                </c:pt>
                <c:pt idx="8">
                  <c:v>1.1040920691756329E-2</c:v>
                </c:pt>
                <c:pt idx="9">
                  <c:v>1.6458954054629826E-2</c:v>
                </c:pt>
                <c:pt idx="10">
                  <c:v>5.1382751433064477E-3</c:v>
                </c:pt>
                <c:pt idx="11">
                  <c:v>-1.4346328309283729E-3</c:v>
                </c:pt>
                <c:pt idx="12">
                  <c:v>-1.3251474797996043E-2</c:v>
                </c:pt>
                <c:pt idx="13">
                  <c:v>-1.7094769176733915E-2</c:v>
                </c:pt>
                <c:pt idx="14">
                  <c:v>4.3822029859408307E-2</c:v>
                </c:pt>
                <c:pt idx="15">
                  <c:v>5.7481577175210186E-2</c:v>
                </c:pt>
                <c:pt idx="16">
                  <c:v>7.7332669792546938E-2</c:v>
                </c:pt>
                <c:pt idx="17">
                  <c:v>8.5376151216885576E-2</c:v>
                </c:pt>
                <c:pt idx="18">
                  <c:v>6.7106499264479647E-2</c:v>
                </c:pt>
                <c:pt idx="19">
                  <c:v>9.7420038026945432E-2</c:v>
                </c:pt>
                <c:pt idx="20">
                  <c:v>0.18502203955959784</c:v>
                </c:pt>
              </c:numCache>
            </c:numRef>
          </c:val>
          <c:smooth val="0"/>
        </c:ser>
        <c:ser>
          <c:idx val="4"/>
          <c:order val="3"/>
          <c:tx>
            <c:v>Vegetables</c:v>
          </c:tx>
          <c:spPr>
            <a:ln w="22225">
              <a:prstDash val="sysDash"/>
            </a:ln>
          </c:spPr>
          <c:marker>
            <c:symbol val="none"/>
          </c:marker>
          <c:cat>
            <c:numRef>
              <c:f>'inflation-UB'!$GW$2:$HQ$2</c:f>
              <c:numCache>
                <c:formatCode>mmm\-yy</c:formatCode>
                <c:ptCount val="21"/>
                <c:pt idx="0">
                  <c:v>40909</c:v>
                </c:pt>
                <c:pt idx="1">
                  <c:v>40940</c:v>
                </c:pt>
                <c:pt idx="2">
                  <c:v>40969</c:v>
                </c:pt>
                <c:pt idx="3">
                  <c:v>41000</c:v>
                </c:pt>
                <c:pt idx="4">
                  <c:v>41030</c:v>
                </c:pt>
                <c:pt idx="5">
                  <c:v>41061</c:v>
                </c:pt>
                <c:pt idx="6">
                  <c:v>41091</c:v>
                </c:pt>
                <c:pt idx="7">
                  <c:v>41122</c:v>
                </c:pt>
                <c:pt idx="8">
                  <c:v>41153</c:v>
                </c:pt>
                <c:pt idx="9">
                  <c:v>41183</c:v>
                </c:pt>
                <c:pt idx="10">
                  <c:v>41214</c:v>
                </c:pt>
                <c:pt idx="11">
                  <c:v>41244</c:v>
                </c:pt>
                <c:pt idx="12">
                  <c:v>41275</c:v>
                </c:pt>
                <c:pt idx="13">
                  <c:v>41306</c:v>
                </c:pt>
                <c:pt idx="14">
                  <c:v>41334</c:v>
                </c:pt>
                <c:pt idx="15">
                  <c:v>41365</c:v>
                </c:pt>
                <c:pt idx="16">
                  <c:v>41395</c:v>
                </c:pt>
                <c:pt idx="17">
                  <c:v>41426</c:v>
                </c:pt>
                <c:pt idx="18">
                  <c:v>41456</c:v>
                </c:pt>
                <c:pt idx="19">
                  <c:v>41487</c:v>
                </c:pt>
                <c:pt idx="20">
                  <c:v>41530</c:v>
                </c:pt>
              </c:numCache>
            </c:numRef>
          </c:cat>
          <c:val>
            <c:numRef>
              <c:f>'inflation-UB'!$GW$56:$HQ$56</c:f>
              <c:numCache>
                <c:formatCode>0.0%</c:formatCode>
                <c:ptCount val="21"/>
                <c:pt idx="0">
                  <c:v>8.6688033665539344E-2</c:v>
                </c:pt>
                <c:pt idx="1">
                  <c:v>0.15590312984829269</c:v>
                </c:pt>
                <c:pt idx="2">
                  <c:v>0.28260979706228362</c:v>
                </c:pt>
                <c:pt idx="3">
                  <c:v>0.31037183405044</c:v>
                </c:pt>
                <c:pt idx="4">
                  <c:v>0.27934329161566973</c:v>
                </c:pt>
                <c:pt idx="5">
                  <c:v>0.26773531570359843</c:v>
                </c:pt>
                <c:pt idx="6">
                  <c:v>0.269108450890718</c:v>
                </c:pt>
                <c:pt idx="7">
                  <c:v>0.26900154130732878</c:v>
                </c:pt>
                <c:pt idx="8">
                  <c:v>0.23953104038868234</c:v>
                </c:pt>
                <c:pt idx="9">
                  <c:v>0.21740023176617007</c:v>
                </c:pt>
                <c:pt idx="10">
                  <c:v>0.21236240145320662</c:v>
                </c:pt>
                <c:pt idx="11">
                  <c:v>0.19929778480697435</c:v>
                </c:pt>
                <c:pt idx="12">
                  <c:v>0.18334569294321135</c:v>
                </c:pt>
                <c:pt idx="13">
                  <c:v>0.15611195955179413</c:v>
                </c:pt>
                <c:pt idx="14">
                  <c:v>9.4694503052221712E-2</c:v>
                </c:pt>
                <c:pt idx="15">
                  <c:v>0.11007646144360916</c:v>
                </c:pt>
                <c:pt idx="16">
                  <c:v>0.10162819930540712</c:v>
                </c:pt>
                <c:pt idx="17">
                  <c:v>9.2270724361126932E-2</c:v>
                </c:pt>
                <c:pt idx="18">
                  <c:v>6.7083205695751547E-2</c:v>
                </c:pt>
                <c:pt idx="19">
                  <c:v>5.6019907276429581E-2</c:v>
                </c:pt>
                <c:pt idx="20">
                  <c:v>9.7074598957447966E-2</c:v>
                </c:pt>
              </c:numCache>
            </c:numRef>
          </c:val>
          <c:smooth val="0"/>
        </c:ser>
        <c:ser>
          <c:idx val="5"/>
          <c:order val="4"/>
          <c:tx>
            <c:v>Non-alchoholic Beverages</c:v>
          </c:tx>
          <c:spPr>
            <a:ln w="22225">
              <a:prstDash val="sysDash"/>
            </a:ln>
          </c:spPr>
          <c:marker>
            <c:symbol val="none"/>
          </c:marker>
          <c:cat>
            <c:numRef>
              <c:f>'inflation-UB'!$GW$2:$HQ$2</c:f>
              <c:numCache>
                <c:formatCode>mmm\-yy</c:formatCode>
                <c:ptCount val="21"/>
                <c:pt idx="0">
                  <c:v>40909</c:v>
                </c:pt>
                <c:pt idx="1">
                  <c:v>40940</c:v>
                </c:pt>
                <c:pt idx="2">
                  <c:v>40969</c:v>
                </c:pt>
                <c:pt idx="3">
                  <c:v>41000</c:v>
                </c:pt>
                <c:pt idx="4">
                  <c:v>41030</c:v>
                </c:pt>
                <c:pt idx="5">
                  <c:v>41061</c:v>
                </c:pt>
                <c:pt idx="6">
                  <c:v>41091</c:v>
                </c:pt>
                <c:pt idx="7">
                  <c:v>41122</c:v>
                </c:pt>
                <c:pt idx="8">
                  <c:v>41153</c:v>
                </c:pt>
                <c:pt idx="9">
                  <c:v>41183</c:v>
                </c:pt>
                <c:pt idx="10">
                  <c:v>41214</c:v>
                </c:pt>
                <c:pt idx="11">
                  <c:v>41244</c:v>
                </c:pt>
                <c:pt idx="12">
                  <c:v>41275</c:v>
                </c:pt>
                <c:pt idx="13">
                  <c:v>41306</c:v>
                </c:pt>
                <c:pt idx="14">
                  <c:v>41334</c:v>
                </c:pt>
                <c:pt idx="15">
                  <c:v>41365</c:v>
                </c:pt>
                <c:pt idx="16">
                  <c:v>41395</c:v>
                </c:pt>
                <c:pt idx="17">
                  <c:v>41426</c:v>
                </c:pt>
                <c:pt idx="18">
                  <c:v>41456</c:v>
                </c:pt>
                <c:pt idx="19">
                  <c:v>41487</c:v>
                </c:pt>
                <c:pt idx="20">
                  <c:v>41530</c:v>
                </c:pt>
              </c:numCache>
            </c:numRef>
          </c:cat>
          <c:val>
            <c:numRef>
              <c:f>'inflation-UB'!$GW$82:$HQ$82</c:f>
              <c:numCache>
                <c:formatCode>0.0%</c:formatCode>
                <c:ptCount val="21"/>
                <c:pt idx="0">
                  <c:v>5.2420276652308306E-2</c:v>
                </c:pt>
                <c:pt idx="1">
                  <c:v>4.9121711825629744E-2</c:v>
                </c:pt>
                <c:pt idx="2">
                  <c:v>6.0650349557207273E-2</c:v>
                </c:pt>
                <c:pt idx="3">
                  <c:v>8.0824403649910836E-2</c:v>
                </c:pt>
                <c:pt idx="4">
                  <c:v>8.3554478281991695E-2</c:v>
                </c:pt>
                <c:pt idx="5">
                  <c:v>8.3169447004177943E-2</c:v>
                </c:pt>
                <c:pt idx="6">
                  <c:v>8.392474627181401E-2</c:v>
                </c:pt>
                <c:pt idx="7">
                  <c:v>8.503859292137772E-2</c:v>
                </c:pt>
                <c:pt idx="8">
                  <c:v>8.521320624335349E-2</c:v>
                </c:pt>
                <c:pt idx="9">
                  <c:v>9.2954369928829106E-2</c:v>
                </c:pt>
                <c:pt idx="10">
                  <c:v>8.4884648048956901E-2</c:v>
                </c:pt>
                <c:pt idx="11">
                  <c:v>8.7776138168310425E-2</c:v>
                </c:pt>
                <c:pt idx="12">
                  <c:v>5.3028465916670431E-2</c:v>
                </c:pt>
                <c:pt idx="13">
                  <c:v>5.9435680123901546E-2</c:v>
                </c:pt>
                <c:pt idx="14">
                  <c:v>4.3003531776442561E-2</c:v>
                </c:pt>
                <c:pt idx="15">
                  <c:v>3.8089032394180267E-2</c:v>
                </c:pt>
                <c:pt idx="16">
                  <c:v>4.1275828231048584E-2</c:v>
                </c:pt>
                <c:pt idx="17">
                  <c:v>3.6042717680344394E-2</c:v>
                </c:pt>
                <c:pt idx="18">
                  <c:v>3.5137911355294982E-2</c:v>
                </c:pt>
                <c:pt idx="19">
                  <c:v>3.8242079539270835E-2</c:v>
                </c:pt>
                <c:pt idx="20">
                  <c:v>6.4086394391086321E-2</c:v>
                </c:pt>
              </c:numCache>
            </c:numRef>
          </c:val>
          <c:smooth val="0"/>
        </c:ser>
        <c:dLbls>
          <c:showLegendKey val="0"/>
          <c:showVal val="0"/>
          <c:showCatName val="0"/>
          <c:showSerName val="0"/>
          <c:showPercent val="0"/>
          <c:showBubbleSize val="0"/>
        </c:dLbls>
        <c:marker val="1"/>
        <c:smooth val="0"/>
        <c:axId val="274657664"/>
        <c:axId val="274659200"/>
      </c:lineChart>
      <c:dateAx>
        <c:axId val="274657664"/>
        <c:scaling>
          <c:orientation val="minMax"/>
        </c:scaling>
        <c:delete val="0"/>
        <c:axPos val="b"/>
        <c:numFmt formatCode="mmm\-yy" sourceLinked="1"/>
        <c:majorTickMark val="out"/>
        <c:minorTickMark val="none"/>
        <c:tickLblPos val="nextTo"/>
        <c:crossAx val="274659200"/>
        <c:crosses val="autoZero"/>
        <c:auto val="1"/>
        <c:lblOffset val="100"/>
        <c:baseTimeUnit val="months"/>
      </c:dateAx>
      <c:valAx>
        <c:axId val="274659200"/>
        <c:scaling>
          <c:orientation val="minMax"/>
        </c:scaling>
        <c:delete val="0"/>
        <c:axPos val="l"/>
        <c:majorGridlines>
          <c:spPr>
            <a:ln>
              <a:noFill/>
            </a:ln>
          </c:spPr>
        </c:majorGridlines>
        <c:numFmt formatCode="0%" sourceLinked="0"/>
        <c:majorTickMark val="out"/>
        <c:minorTickMark val="none"/>
        <c:tickLblPos val="nextTo"/>
        <c:crossAx val="274657664"/>
        <c:crosses val="autoZero"/>
        <c:crossBetween val="between"/>
      </c:valAx>
    </c:plotArea>
    <c:legend>
      <c:legendPos val="r"/>
      <c:layout>
        <c:manualLayout>
          <c:xMode val="edge"/>
          <c:yMode val="edge"/>
          <c:x val="0.56556554757888844"/>
          <c:y val="3.428323485496237E-3"/>
          <c:w val="0.38920362802750924"/>
          <c:h val="0.45529335331874748"/>
        </c:manualLayout>
      </c:layout>
      <c:overlay val="0"/>
      <c:txPr>
        <a:bodyPr/>
        <a:lstStyle/>
        <a:p>
          <a:pPr>
            <a:defRPr sz="700"/>
          </a:pPr>
          <a:endParaRPr lang="en-US"/>
        </a:p>
      </c:txPr>
    </c:legend>
    <c:plotVisOnly val="1"/>
    <c:dispBlanksAs val="gap"/>
    <c:showDLblsOverMax val="0"/>
  </c:chart>
  <c:spPr>
    <a:ln>
      <a:noFill/>
    </a:ln>
  </c:spPr>
  <c:txPr>
    <a:bodyPr/>
    <a:lstStyle/>
    <a:p>
      <a:pPr>
        <a:defRPr sz="600"/>
      </a:pPr>
      <a:endParaRPr lang="en-US"/>
    </a:p>
  </c:txPr>
  <c:externalData r:id="rId1">
    <c:autoUpdate val="0"/>
  </c:externalData>
  <c:userShapes r:id="rId2"/>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177277179236043"/>
          <c:y val="2.7049628397631979E-2"/>
          <c:w val="0.85943106368472044"/>
          <c:h val="0.77070680049779594"/>
        </c:manualLayout>
      </c:layout>
      <c:lineChart>
        <c:grouping val="standard"/>
        <c:varyColors val="0"/>
        <c:ser>
          <c:idx val="0"/>
          <c:order val="0"/>
          <c:tx>
            <c:v>Clothing and Footwear</c:v>
          </c:tx>
          <c:spPr>
            <a:ln w="22225">
              <a:prstDash val="sysDash"/>
            </a:ln>
          </c:spPr>
          <c:marker>
            <c:symbol val="none"/>
          </c:marker>
          <c:cat>
            <c:numRef>
              <c:f>'inflation-UB'!$GK$2:$HQ$2</c:f>
              <c:numCache>
                <c:formatCode>mmm\-yy</c:formatCode>
                <c:ptCount val="33"/>
                <c:pt idx="0">
                  <c:v>40544</c:v>
                </c:pt>
                <c:pt idx="1">
                  <c:v>40575</c:v>
                </c:pt>
                <c:pt idx="2">
                  <c:v>40603</c:v>
                </c:pt>
                <c:pt idx="3">
                  <c:v>40634</c:v>
                </c:pt>
                <c:pt idx="4">
                  <c:v>40664</c:v>
                </c:pt>
                <c:pt idx="5">
                  <c:v>40695</c:v>
                </c:pt>
                <c:pt idx="6">
                  <c:v>40725</c:v>
                </c:pt>
                <c:pt idx="7">
                  <c:v>40756</c:v>
                </c:pt>
                <c:pt idx="8">
                  <c:v>40787</c:v>
                </c:pt>
                <c:pt idx="9">
                  <c:v>40817</c:v>
                </c:pt>
                <c:pt idx="10">
                  <c:v>40848</c:v>
                </c:pt>
                <c:pt idx="11">
                  <c:v>40878</c:v>
                </c:pt>
                <c:pt idx="12">
                  <c:v>40909</c:v>
                </c:pt>
                <c:pt idx="13">
                  <c:v>40940</c:v>
                </c:pt>
                <c:pt idx="14">
                  <c:v>40969</c:v>
                </c:pt>
                <c:pt idx="15">
                  <c:v>41000</c:v>
                </c:pt>
                <c:pt idx="16">
                  <c:v>41030</c:v>
                </c:pt>
                <c:pt idx="17">
                  <c:v>41061</c:v>
                </c:pt>
                <c:pt idx="18">
                  <c:v>41091</c:v>
                </c:pt>
                <c:pt idx="19">
                  <c:v>41122</c:v>
                </c:pt>
                <c:pt idx="20">
                  <c:v>41153</c:v>
                </c:pt>
                <c:pt idx="21">
                  <c:v>41183</c:v>
                </c:pt>
                <c:pt idx="22">
                  <c:v>41214</c:v>
                </c:pt>
                <c:pt idx="23">
                  <c:v>41244</c:v>
                </c:pt>
                <c:pt idx="24">
                  <c:v>41275</c:v>
                </c:pt>
                <c:pt idx="25">
                  <c:v>41306</c:v>
                </c:pt>
                <c:pt idx="26">
                  <c:v>41334</c:v>
                </c:pt>
                <c:pt idx="27">
                  <c:v>41365</c:v>
                </c:pt>
                <c:pt idx="28">
                  <c:v>41395</c:v>
                </c:pt>
                <c:pt idx="29">
                  <c:v>41426</c:v>
                </c:pt>
                <c:pt idx="30">
                  <c:v>41456</c:v>
                </c:pt>
                <c:pt idx="31">
                  <c:v>41487</c:v>
                </c:pt>
                <c:pt idx="32">
                  <c:v>41530</c:v>
                </c:pt>
              </c:numCache>
            </c:numRef>
          </c:cat>
          <c:val>
            <c:numRef>
              <c:f>'inflation-UB'!$GW$107:$HQ$107</c:f>
              <c:numCache>
                <c:formatCode>0.0%</c:formatCode>
                <c:ptCount val="21"/>
                <c:pt idx="0">
                  <c:v>0.21152969189808934</c:v>
                </c:pt>
                <c:pt idx="1">
                  <c:v>0.20587671273718211</c:v>
                </c:pt>
                <c:pt idx="2">
                  <c:v>0.19762971520817851</c:v>
                </c:pt>
                <c:pt idx="3">
                  <c:v>0.20070690573102379</c:v>
                </c:pt>
                <c:pt idx="4">
                  <c:v>0.20512308366452969</c:v>
                </c:pt>
                <c:pt idx="5">
                  <c:v>0.1877151691943526</c:v>
                </c:pt>
                <c:pt idx="6">
                  <c:v>0.18653249385987003</c:v>
                </c:pt>
                <c:pt idx="7">
                  <c:v>0.177370389584804</c:v>
                </c:pt>
                <c:pt idx="8">
                  <c:v>0.16587937910188644</c:v>
                </c:pt>
                <c:pt idx="9">
                  <c:v>0.14101922300320657</c:v>
                </c:pt>
                <c:pt idx="10">
                  <c:v>0.12423401385214583</c:v>
                </c:pt>
                <c:pt idx="11">
                  <c:v>0.13010936282746322</c:v>
                </c:pt>
                <c:pt idx="12">
                  <c:v>9.6483072293063854E-2</c:v>
                </c:pt>
                <c:pt idx="13">
                  <c:v>9.2110445412186159E-2</c:v>
                </c:pt>
                <c:pt idx="14">
                  <c:v>8.5933856979242051E-2</c:v>
                </c:pt>
                <c:pt idx="15">
                  <c:v>6.1089460348168423E-2</c:v>
                </c:pt>
                <c:pt idx="16">
                  <c:v>6.239507844504133E-2</c:v>
                </c:pt>
                <c:pt idx="17">
                  <c:v>6.272417269161723E-2</c:v>
                </c:pt>
                <c:pt idx="18">
                  <c:v>6.2220865973124262E-2</c:v>
                </c:pt>
                <c:pt idx="19">
                  <c:v>7.8038374606592464E-2</c:v>
                </c:pt>
                <c:pt idx="20">
                  <c:v>6.4080685258760317E-2</c:v>
                </c:pt>
              </c:numCache>
            </c:numRef>
          </c:val>
          <c:smooth val="0"/>
        </c:ser>
        <c:ser>
          <c:idx val="3"/>
          <c:order val="1"/>
          <c:tx>
            <c:v>Household goods</c:v>
          </c:tx>
          <c:spPr>
            <a:ln w="22225">
              <a:prstDash val="sysDash"/>
            </a:ln>
          </c:spPr>
          <c:marker>
            <c:symbol val="none"/>
          </c:marker>
          <c:cat>
            <c:numRef>
              <c:f>'inflation-UB'!$GK$2:$HQ$2</c:f>
              <c:numCache>
                <c:formatCode>mmm\-yy</c:formatCode>
                <c:ptCount val="33"/>
                <c:pt idx="0">
                  <c:v>40544</c:v>
                </c:pt>
                <c:pt idx="1">
                  <c:v>40575</c:v>
                </c:pt>
                <c:pt idx="2">
                  <c:v>40603</c:v>
                </c:pt>
                <c:pt idx="3">
                  <c:v>40634</c:v>
                </c:pt>
                <c:pt idx="4">
                  <c:v>40664</c:v>
                </c:pt>
                <c:pt idx="5">
                  <c:v>40695</c:v>
                </c:pt>
                <c:pt idx="6">
                  <c:v>40725</c:v>
                </c:pt>
                <c:pt idx="7">
                  <c:v>40756</c:v>
                </c:pt>
                <c:pt idx="8">
                  <c:v>40787</c:v>
                </c:pt>
                <c:pt idx="9">
                  <c:v>40817</c:v>
                </c:pt>
                <c:pt idx="10">
                  <c:v>40848</c:v>
                </c:pt>
                <c:pt idx="11">
                  <c:v>40878</c:v>
                </c:pt>
                <c:pt idx="12">
                  <c:v>40909</c:v>
                </c:pt>
                <c:pt idx="13">
                  <c:v>40940</c:v>
                </c:pt>
                <c:pt idx="14">
                  <c:v>40969</c:v>
                </c:pt>
                <c:pt idx="15">
                  <c:v>41000</c:v>
                </c:pt>
                <c:pt idx="16">
                  <c:v>41030</c:v>
                </c:pt>
                <c:pt idx="17">
                  <c:v>41061</c:v>
                </c:pt>
                <c:pt idx="18">
                  <c:v>41091</c:v>
                </c:pt>
                <c:pt idx="19">
                  <c:v>41122</c:v>
                </c:pt>
                <c:pt idx="20">
                  <c:v>41153</c:v>
                </c:pt>
                <c:pt idx="21">
                  <c:v>41183</c:v>
                </c:pt>
                <c:pt idx="22">
                  <c:v>41214</c:v>
                </c:pt>
                <c:pt idx="23">
                  <c:v>41244</c:v>
                </c:pt>
                <c:pt idx="24">
                  <c:v>41275</c:v>
                </c:pt>
                <c:pt idx="25">
                  <c:v>41306</c:v>
                </c:pt>
                <c:pt idx="26">
                  <c:v>41334</c:v>
                </c:pt>
                <c:pt idx="27">
                  <c:v>41365</c:v>
                </c:pt>
                <c:pt idx="28">
                  <c:v>41395</c:v>
                </c:pt>
                <c:pt idx="29">
                  <c:v>41426</c:v>
                </c:pt>
                <c:pt idx="30">
                  <c:v>41456</c:v>
                </c:pt>
                <c:pt idx="31">
                  <c:v>41487</c:v>
                </c:pt>
                <c:pt idx="32">
                  <c:v>41530</c:v>
                </c:pt>
              </c:numCache>
            </c:numRef>
          </c:cat>
          <c:val>
            <c:numRef>
              <c:f>'inflation-UB'!$GW$225:$HQ$225</c:f>
              <c:numCache>
                <c:formatCode>0.0%</c:formatCode>
                <c:ptCount val="21"/>
                <c:pt idx="0">
                  <c:v>6.0064933047457192E-2</c:v>
                </c:pt>
                <c:pt idx="1">
                  <c:v>6.9699982728397281E-2</c:v>
                </c:pt>
                <c:pt idx="2">
                  <c:v>7.3844874173692121E-2</c:v>
                </c:pt>
                <c:pt idx="3">
                  <c:v>6.7111099499813642E-2</c:v>
                </c:pt>
                <c:pt idx="4">
                  <c:v>5.3657659587032835E-2</c:v>
                </c:pt>
                <c:pt idx="5">
                  <c:v>4.2835852070326474E-2</c:v>
                </c:pt>
                <c:pt idx="6">
                  <c:v>4.9057300408400728E-2</c:v>
                </c:pt>
                <c:pt idx="7">
                  <c:v>3.9862908653911733E-2</c:v>
                </c:pt>
                <c:pt idx="8">
                  <c:v>3.5475213184240628E-2</c:v>
                </c:pt>
                <c:pt idx="9">
                  <c:v>2.6744751755357177E-2</c:v>
                </c:pt>
                <c:pt idx="10">
                  <c:v>3.1305522133539432E-2</c:v>
                </c:pt>
                <c:pt idx="11">
                  <c:v>4.5349587331822816E-2</c:v>
                </c:pt>
                <c:pt idx="12">
                  <c:v>3.6432373610020274E-2</c:v>
                </c:pt>
                <c:pt idx="13">
                  <c:v>2.5943174222947452E-2</c:v>
                </c:pt>
                <c:pt idx="14">
                  <c:v>2.0538158405164486E-2</c:v>
                </c:pt>
                <c:pt idx="15">
                  <c:v>1.693953205648846E-2</c:v>
                </c:pt>
                <c:pt idx="16">
                  <c:v>2.783543218551654E-2</c:v>
                </c:pt>
                <c:pt idx="17">
                  <c:v>3.2102708287592874E-2</c:v>
                </c:pt>
                <c:pt idx="18">
                  <c:v>3.9052189993954656E-2</c:v>
                </c:pt>
                <c:pt idx="19">
                  <c:v>6.8336601707932765E-2</c:v>
                </c:pt>
                <c:pt idx="20">
                  <c:v>0.11780212746076857</c:v>
                </c:pt>
              </c:numCache>
            </c:numRef>
          </c:val>
          <c:smooth val="0"/>
        </c:ser>
        <c:ser>
          <c:idx val="4"/>
          <c:order val="2"/>
          <c:tx>
            <c:v>Transport</c:v>
          </c:tx>
          <c:spPr>
            <a:ln w="22225">
              <a:prstDash val="sysDash"/>
            </a:ln>
          </c:spPr>
          <c:marker>
            <c:symbol val="none"/>
          </c:marker>
          <c:cat>
            <c:numRef>
              <c:f>'inflation-UB'!$GK$2:$HQ$2</c:f>
              <c:numCache>
                <c:formatCode>mmm\-yy</c:formatCode>
                <c:ptCount val="33"/>
                <c:pt idx="0">
                  <c:v>40544</c:v>
                </c:pt>
                <c:pt idx="1">
                  <c:v>40575</c:v>
                </c:pt>
                <c:pt idx="2">
                  <c:v>40603</c:v>
                </c:pt>
                <c:pt idx="3">
                  <c:v>40634</c:v>
                </c:pt>
                <c:pt idx="4">
                  <c:v>40664</c:v>
                </c:pt>
                <c:pt idx="5">
                  <c:v>40695</c:v>
                </c:pt>
                <c:pt idx="6">
                  <c:v>40725</c:v>
                </c:pt>
                <c:pt idx="7">
                  <c:v>40756</c:v>
                </c:pt>
                <c:pt idx="8">
                  <c:v>40787</c:v>
                </c:pt>
                <c:pt idx="9">
                  <c:v>40817</c:v>
                </c:pt>
                <c:pt idx="10">
                  <c:v>40848</c:v>
                </c:pt>
                <c:pt idx="11">
                  <c:v>40878</c:v>
                </c:pt>
                <c:pt idx="12">
                  <c:v>40909</c:v>
                </c:pt>
                <c:pt idx="13">
                  <c:v>40940</c:v>
                </c:pt>
                <c:pt idx="14">
                  <c:v>40969</c:v>
                </c:pt>
                <c:pt idx="15">
                  <c:v>41000</c:v>
                </c:pt>
                <c:pt idx="16">
                  <c:v>41030</c:v>
                </c:pt>
                <c:pt idx="17">
                  <c:v>41061</c:v>
                </c:pt>
                <c:pt idx="18">
                  <c:v>41091</c:v>
                </c:pt>
                <c:pt idx="19">
                  <c:v>41122</c:v>
                </c:pt>
                <c:pt idx="20">
                  <c:v>41153</c:v>
                </c:pt>
                <c:pt idx="21">
                  <c:v>41183</c:v>
                </c:pt>
                <c:pt idx="22">
                  <c:v>41214</c:v>
                </c:pt>
                <c:pt idx="23">
                  <c:v>41244</c:v>
                </c:pt>
                <c:pt idx="24">
                  <c:v>41275</c:v>
                </c:pt>
                <c:pt idx="25">
                  <c:v>41306</c:v>
                </c:pt>
                <c:pt idx="26">
                  <c:v>41334</c:v>
                </c:pt>
                <c:pt idx="27">
                  <c:v>41365</c:v>
                </c:pt>
                <c:pt idx="28">
                  <c:v>41395</c:v>
                </c:pt>
                <c:pt idx="29">
                  <c:v>41426</c:v>
                </c:pt>
                <c:pt idx="30">
                  <c:v>41456</c:v>
                </c:pt>
                <c:pt idx="31">
                  <c:v>41487</c:v>
                </c:pt>
                <c:pt idx="32">
                  <c:v>41530</c:v>
                </c:pt>
              </c:numCache>
            </c:numRef>
          </c:cat>
          <c:val>
            <c:numRef>
              <c:f>'inflation-UB'!$GW$296:$HQ$296</c:f>
              <c:numCache>
                <c:formatCode>0.0%</c:formatCode>
                <c:ptCount val="21"/>
                <c:pt idx="0">
                  <c:v>0.17939878084723104</c:v>
                </c:pt>
                <c:pt idx="1">
                  <c:v>0.18489539808494193</c:v>
                </c:pt>
                <c:pt idx="2">
                  <c:v>0.18397435436667631</c:v>
                </c:pt>
                <c:pt idx="3">
                  <c:v>0.14335473092606743</c:v>
                </c:pt>
                <c:pt idx="4">
                  <c:v>0.15213250280509993</c:v>
                </c:pt>
                <c:pt idx="5">
                  <c:v>7.7170753161847294E-2</c:v>
                </c:pt>
                <c:pt idx="6">
                  <c:v>5.446697976773951E-2</c:v>
                </c:pt>
                <c:pt idx="7">
                  <c:v>4.7009829520563651E-2</c:v>
                </c:pt>
                <c:pt idx="8">
                  <c:v>5.0930466369469629E-2</c:v>
                </c:pt>
                <c:pt idx="9">
                  <c:v>6.6518786963481347E-2</c:v>
                </c:pt>
                <c:pt idx="10">
                  <c:v>5.8860079179060998E-2</c:v>
                </c:pt>
                <c:pt idx="11">
                  <c:v>7.5030976224911949E-2</c:v>
                </c:pt>
                <c:pt idx="12">
                  <c:v>4.171888431131987E-2</c:v>
                </c:pt>
                <c:pt idx="13">
                  <c:v>2.6470492721903494E-2</c:v>
                </c:pt>
                <c:pt idx="14">
                  <c:v>2.8917710105767824E-2</c:v>
                </c:pt>
                <c:pt idx="15">
                  <c:v>5.8934997155681623E-2</c:v>
                </c:pt>
                <c:pt idx="16">
                  <c:v>5.2777204797792798E-2</c:v>
                </c:pt>
                <c:pt idx="17">
                  <c:v>4.0188672066457487E-2</c:v>
                </c:pt>
                <c:pt idx="18">
                  <c:v>2.3876312866056626E-2</c:v>
                </c:pt>
                <c:pt idx="19">
                  <c:v>3.2560568844303805E-2</c:v>
                </c:pt>
                <c:pt idx="20">
                  <c:v>3.607477940663939E-2</c:v>
                </c:pt>
              </c:numCache>
            </c:numRef>
          </c:val>
          <c:smooth val="0"/>
        </c:ser>
        <c:ser>
          <c:idx val="1"/>
          <c:order val="3"/>
          <c:tx>
            <c:v>Electricity</c:v>
          </c:tx>
          <c:spPr>
            <a:ln w="22225"/>
          </c:spPr>
          <c:marker>
            <c:symbol val="none"/>
          </c:marker>
          <c:cat>
            <c:numRef>
              <c:f>'inflation-UB'!$GK$2:$HQ$2</c:f>
              <c:numCache>
                <c:formatCode>mmm\-yy</c:formatCode>
                <c:ptCount val="33"/>
                <c:pt idx="0">
                  <c:v>40544</c:v>
                </c:pt>
                <c:pt idx="1">
                  <c:v>40575</c:v>
                </c:pt>
                <c:pt idx="2">
                  <c:v>40603</c:v>
                </c:pt>
                <c:pt idx="3">
                  <c:v>40634</c:v>
                </c:pt>
                <c:pt idx="4">
                  <c:v>40664</c:v>
                </c:pt>
                <c:pt idx="5">
                  <c:v>40695</c:v>
                </c:pt>
                <c:pt idx="6">
                  <c:v>40725</c:v>
                </c:pt>
                <c:pt idx="7">
                  <c:v>40756</c:v>
                </c:pt>
                <c:pt idx="8">
                  <c:v>40787</c:v>
                </c:pt>
                <c:pt idx="9">
                  <c:v>40817</c:v>
                </c:pt>
                <c:pt idx="10">
                  <c:v>40848</c:v>
                </c:pt>
                <c:pt idx="11">
                  <c:v>40878</c:v>
                </c:pt>
                <c:pt idx="12">
                  <c:v>40909</c:v>
                </c:pt>
                <c:pt idx="13">
                  <c:v>40940</c:v>
                </c:pt>
                <c:pt idx="14">
                  <c:v>40969</c:v>
                </c:pt>
                <c:pt idx="15">
                  <c:v>41000</c:v>
                </c:pt>
                <c:pt idx="16">
                  <c:v>41030</c:v>
                </c:pt>
                <c:pt idx="17">
                  <c:v>41061</c:v>
                </c:pt>
                <c:pt idx="18">
                  <c:v>41091</c:v>
                </c:pt>
                <c:pt idx="19">
                  <c:v>41122</c:v>
                </c:pt>
                <c:pt idx="20">
                  <c:v>41153</c:v>
                </c:pt>
                <c:pt idx="21">
                  <c:v>41183</c:v>
                </c:pt>
                <c:pt idx="22">
                  <c:v>41214</c:v>
                </c:pt>
                <c:pt idx="23">
                  <c:v>41244</c:v>
                </c:pt>
                <c:pt idx="24">
                  <c:v>41275</c:v>
                </c:pt>
                <c:pt idx="25">
                  <c:v>41306</c:v>
                </c:pt>
                <c:pt idx="26">
                  <c:v>41334</c:v>
                </c:pt>
                <c:pt idx="27">
                  <c:v>41365</c:v>
                </c:pt>
                <c:pt idx="28">
                  <c:v>41395</c:v>
                </c:pt>
                <c:pt idx="29">
                  <c:v>41426</c:v>
                </c:pt>
                <c:pt idx="30">
                  <c:v>41456</c:v>
                </c:pt>
                <c:pt idx="31">
                  <c:v>41487</c:v>
                </c:pt>
                <c:pt idx="32">
                  <c:v>41530</c:v>
                </c:pt>
              </c:numCache>
            </c:numRef>
          </c:cat>
          <c:val>
            <c:numRef>
              <c:f>'inflation-UB'!$GW$217:$HQ$217</c:f>
              <c:numCache>
                <c:formatCode>0.0%</c:formatCode>
                <c:ptCount val="21"/>
                <c:pt idx="0">
                  <c:v>5.4648089196113192E-2</c:v>
                </c:pt>
                <c:pt idx="1">
                  <c:v>5.4648089196113192E-2</c:v>
                </c:pt>
                <c:pt idx="2">
                  <c:v>5.4648089196113192E-2</c:v>
                </c:pt>
                <c:pt idx="3">
                  <c:v>5.4648089196113192E-2</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0.11423727138790785</c:v>
                </c:pt>
                <c:pt idx="20">
                  <c:v>0.11423727138790785</c:v>
                </c:pt>
              </c:numCache>
            </c:numRef>
          </c:val>
          <c:smooth val="0"/>
        </c:ser>
        <c:ser>
          <c:idx val="2"/>
          <c:order val="4"/>
          <c:tx>
            <c:v>Education</c:v>
          </c:tx>
          <c:spPr>
            <a:ln w="22225"/>
          </c:spPr>
          <c:marker>
            <c:symbol val="none"/>
          </c:marker>
          <c:cat>
            <c:numRef>
              <c:f>'inflation-UB'!$GK$2:$HQ$2</c:f>
              <c:numCache>
                <c:formatCode>mmm\-yy</c:formatCode>
                <c:ptCount val="33"/>
                <c:pt idx="0">
                  <c:v>40544</c:v>
                </c:pt>
                <c:pt idx="1">
                  <c:v>40575</c:v>
                </c:pt>
                <c:pt idx="2">
                  <c:v>40603</c:v>
                </c:pt>
                <c:pt idx="3">
                  <c:v>40634</c:v>
                </c:pt>
                <c:pt idx="4">
                  <c:v>40664</c:v>
                </c:pt>
                <c:pt idx="5">
                  <c:v>40695</c:v>
                </c:pt>
                <c:pt idx="6">
                  <c:v>40725</c:v>
                </c:pt>
                <c:pt idx="7">
                  <c:v>40756</c:v>
                </c:pt>
                <c:pt idx="8">
                  <c:v>40787</c:v>
                </c:pt>
                <c:pt idx="9">
                  <c:v>40817</c:v>
                </c:pt>
                <c:pt idx="10">
                  <c:v>40848</c:v>
                </c:pt>
                <c:pt idx="11">
                  <c:v>40878</c:v>
                </c:pt>
                <c:pt idx="12">
                  <c:v>40909</c:v>
                </c:pt>
                <c:pt idx="13">
                  <c:v>40940</c:v>
                </c:pt>
                <c:pt idx="14">
                  <c:v>40969</c:v>
                </c:pt>
                <c:pt idx="15">
                  <c:v>41000</c:v>
                </c:pt>
                <c:pt idx="16">
                  <c:v>41030</c:v>
                </c:pt>
                <c:pt idx="17">
                  <c:v>41061</c:v>
                </c:pt>
                <c:pt idx="18">
                  <c:v>41091</c:v>
                </c:pt>
                <c:pt idx="19">
                  <c:v>41122</c:v>
                </c:pt>
                <c:pt idx="20">
                  <c:v>41153</c:v>
                </c:pt>
                <c:pt idx="21">
                  <c:v>41183</c:v>
                </c:pt>
                <c:pt idx="22">
                  <c:v>41214</c:v>
                </c:pt>
                <c:pt idx="23">
                  <c:v>41244</c:v>
                </c:pt>
                <c:pt idx="24">
                  <c:v>41275</c:v>
                </c:pt>
                <c:pt idx="25">
                  <c:v>41306</c:v>
                </c:pt>
                <c:pt idx="26">
                  <c:v>41334</c:v>
                </c:pt>
                <c:pt idx="27">
                  <c:v>41365</c:v>
                </c:pt>
                <c:pt idx="28">
                  <c:v>41395</c:v>
                </c:pt>
                <c:pt idx="29">
                  <c:v>41426</c:v>
                </c:pt>
                <c:pt idx="30">
                  <c:v>41456</c:v>
                </c:pt>
                <c:pt idx="31">
                  <c:v>41487</c:v>
                </c:pt>
                <c:pt idx="32">
                  <c:v>41530</c:v>
                </c:pt>
              </c:numCache>
            </c:numRef>
          </c:cat>
          <c:val>
            <c:numRef>
              <c:f>'inflation-UB'!$GW$382:$HQ$382</c:f>
              <c:numCache>
                <c:formatCode>0.0%</c:formatCode>
                <c:ptCount val="21"/>
                <c:pt idx="0">
                  <c:v>7.5045912997051989E-2</c:v>
                </c:pt>
                <c:pt idx="1">
                  <c:v>7.5045912997051989E-2</c:v>
                </c:pt>
                <c:pt idx="2">
                  <c:v>7.5045912997051989E-2</c:v>
                </c:pt>
                <c:pt idx="3">
                  <c:v>7.5045912997051989E-2</c:v>
                </c:pt>
                <c:pt idx="4">
                  <c:v>7.5045912997051989E-2</c:v>
                </c:pt>
                <c:pt idx="5">
                  <c:v>7.5045912997051989E-2</c:v>
                </c:pt>
                <c:pt idx="6">
                  <c:v>7.5045912997051989E-2</c:v>
                </c:pt>
                <c:pt idx="7">
                  <c:v>0.16143236032891406</c:v>
                </c:pt>
                <c:pt idx="8">
                  <c:v>0.16143236032891406</c:v>
                </c:pt>
                <c:pt idx="9">
                  <c:v>0.16143236032891406</c:v>
                </c:pt>
                <c:pt idx="10">
                  <c:v>0.16143236032891406</c:v>
                </c:pt>
                <c:pt idx="11">
                  <c:v>0.16143236032891406</c:v>
                </c:pt>
                <c:pt idx="12">
                  <c:v>0.16143236032891406</c:v>
                </c:pt>
                <c:pt idx="13">
                  <c:v>0.16143236032891406</c:v>
                </c:pt>
                <c:pt idx="14">
                  <c:v>0.16143236032891406</c:v>
                </c:pt>
                <c:pt idx="15">
                  <c:v>0.16143236032891406</c:v>
                </c:pt>
                <c:pt idx="16">
                  <c:v>0.16143236032891406</c:v>
                </c:pt>
                <c:pt idx="17">
                  <c:v>0.16143236032891406</c:v>
                </c:pt>
                <c:pt idx="18">
                  <c:v>0.16143236032891406</c:v>
                </c:pt>
                <c:pt idx="19">
                  <c:v>0.28350463815379601</c:v>
                </c:pt>
                <c:pt idx="20">
                  <c:v>0.28350463815379601</c:v>
                </c:pt>
              </c:numCache>
            </c:numRef>
          </c:val>
          <c:smooth val="0"/>
        </c:ser>
        <c:dLbls>
          <c:showLegendKey val="0"/>
          <c:showVal val="0"/>
          <c:showCatName val="0"/>
          <c:showSerName val="0"/>
          <c:showPercent val="0"/>
          <c:showBubbleSize val="0"/>
        </c:dLbls>
        <c:marker val="1"/>
        <c:smooth val="0"/>
        <c:axId val="274686336"/>
        <c:axId val="274687872"/>
      </c:lineChart>
      <c:dateAx>
        <c:axId val="274686336"/>
        <c:scaling>
          <c:orientation val="minMax"/>
        </c:scaling>
        <c:delete val="0"/>
        <c:axPos val="b"/>
        <c:numFmt formatCode="mmm\-yy" sourceLinked="1"/>
        <c:majorTickMark val="out"/>
        <c:minorTickMark val="none"/>
        <c:tickLblPos val="nextTo"/>
        <c:crossAx val="274687872"/>
        <c:crosses val="autoZero"/>
        <c:auto val="1"/>
        <c:lblOffset val="100"/>
        <c:baseTimeUnit val="months"/>
      </c:dateAx>
      <c:valAx>
        <c:axId val="274687872"/>
        <c:scaling>
          <c:orientation val="minMax"/>
        </c:scaling>
        <c:delete val="0"/>
        <c:axPos val="l"/>
        <c:majorGridlines>
          <c:spPr>
            <a:ln>
              <a:noFill/>
            </a:ln>
          </c:spPr>
        </c:majorGridlines>
        <c:numFmt formatCode="0%" sourceLinked="0"/>
        <c:majorTickMark val="out"/>
        <c:minorTickMark val="none"/>
        <c:tickLblPos val="nextTo"/>
        <c:crossAx val="274686336"/>
        <c:crosses val="autoZero"/>
        <c:crossBetween val="between"/>
      </c:valAx>
    </c:plotArea>
    <c:legend>
      <c:legendPos val="r"/>
      <c:layout>
        <c:manualLayout>
          <c:xMode val="edge"/>
          <c:yMode val="edge"/>
          <c:x val="0.42164848605790156"/>
          <c:y val="6.4399446376440803E-3"/>
          <c:w val="0.45762501285166207"/>
          <c:h val="0.35721068939548423"/>
        </c:manualLayout>
      </c:layout>
      <c:overlay val="0"/>
      <c:txPr>
        <a:bodyPr/>
        <a:lstStyle/>
        <a:p>
          <a:pPr>
            <a:defRPr sz="700"/>
          </a:pPr>
          <a:endParaRPr lang="en-US"/>
        </a:p>
      </c:txPr>
    </c:legend>
    <c:plotVisOnly val="1"/>
    <c:dispBlanksAs val="gap"/>
    <c:showDLblsOverMax val="0"/>
  </c:chart>
  <c:spPr>
    <a:ln>
      <a:noFill/>
    </a:ln>
  </c:spPr>
  <c:txPr>
    <a:bodyPr/>
    <a:lstStyle/>
    <a:p>
      <a:pPr>
        <a:defRPr sz="600"/>
      </a:pPr>
      <a:endParaRPr lang="en-US"/>
    </a:p>
  </c:txPr>
  <c:externalData r:id="rId1">
    <c:autoUpdate val="0"/>
  </c:externalData>
  <c:userShapes r:id="rId2"/>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3884288597764169E-2"/>
          <c:y val="0.11076637519757544"/>
          <c:w val="0.84972783213813752"/>
          <c:h val="0.67372408522520544"/>
        </c:manualLayout>
      </c:layout>
      <c:barChart>
        <c:barDir val="col"/>
        <c:grouping val="clustered"/>
        <c:varyColors val="0"/>
        <c:ser>
          <c:idx val="1"/>
          <c:order val="1"/>
          <c:tx>
            <c:v>Housing rental price index (2005 level =100, Left Axis)</c:v>
          </c:tx>
          <c:spPr>
            <a:solidFill>
              <a:srgbClr val="92D050"/>
            </a:solidFill>
          </c:spPr>
          <c:invertIfNegative val="0"/>
          <c:cat>
            <c:numRef>
              <c:f>'inflation-UB'!$FO$2:$GI$2</c:f>
              <c:numCache>
                <c:formatCode>mmm\-yy</c:formatCode>
                <c:ptCount val="21"/>
                <c:pt idx="0">
                  <c:v>40909</c:v>
                </c:pt>
                <c:pt idx="1">
                  <c:v>40940</c:v>
                </c:pt>
                <c:pt idx="2">
                  <c:v>40969</c:v>
                </c:pt>
                <c:pt idx="3">
                  <c:v>41000</c:v>
                </c:pt>
                <c:pt idx="4">
                  <c:v>41030</c:v>
                </c:pt>
                <c:pt idx="5">
                  <c:v>41061</c:v>
                </c:pt>
                <c:pt idx="6">
                  <c:v>41091</c:v>
                </c:pt>
                <c:pt idx="7">
                  <c:v>41122</c:v>
                </c:pt>
                <c:pt idx="8">
                  <c:v>41153</c:v>
                </c:pt>
                <c:pt idx="9">
                  <c:v>41183</c:v>
                </c:pt>
                <c:pt idx="10">
                  <c:v>41214</c:v>
                </c:pt>
                <c:pt idx="11">
                  <c:v>41244</c:v>
                </c:pt>
                <c:pt idx="12">
                  <c:v>41275</c:v>
                </c:pt>
                <c:pt idx="13">
                  <c:v>41306</c:v>
                </c:pt>
                <c:pt idx="14">
                  <c:v>41334</c:v>
                </c:pt>
                <c:pt idx="15">
                  <c:v>41365</c:v>
                </c:pt>
                <c:pt idx="16">
                  <c:v>41395</c:v>
                </c:pt>
                <c:pt idx="17">
                  <c:v>41426</c:v>
                </c:pt>
                <c:pt idx="18">
                  <c:v>41456</c:v>
                </c:pt>
                <c:pt idx="19">
                  <c:v>41487</c:v>
                </c:pt>
                <c:pt idx="20">
                  <c:v>41518</c:v>
                </c:pt>
              </c:numCache>
            </c:numRef>
          </c:cat>
          <c:val>
            <c:numRef>
              <c:f>'inflation-UB'!$FO$191:$GI$191</c:f>
              <c:numCache>
                <c:formatCode>0.00</c:formatCode>
                <c:ptCount val="21"/>
                <c:pt idx="0">
                  <c:v>194.00000000000006</c:v>
                </c:pt>
                <c:pt idx="1">
                  <c:v>194.00000000000006</c:v>
                </c:pt>
                <c:pt idx="2">
                  <c:v>195.3333333333334</c:v>
                </c:pt>
                <c:pt idx="3">
                  <c:v>195.3333333333334</c:v>
                </c:pt>
                <c:pt idx="4">
                  <c:v>233.33333333333343</c:v>
                </c:pt>
                <c:pt idx="5">
                  <c:v>250.66666666666674</c:v>
                </c:pt>
                <c:pt idx="6">
                  <c:v>245.60000000000011</c:v>
                </c:pt>
                <c:pt idx="7">
                  <c:v>256.6666666666668</c:v>
                </c:pt>
                <c:pt idx="8">
                  <c:v>256.6666666666668</c:v>
                </c:pt>
                <c:pt idx="9">
                  <c:v>266.66666666666674</c:v>
                </c:pt>
                <c:pt idx="10">
                  <c:v>266.66666666666674</c:v>
                </c:pt>
                <c:pt idx="11">
                  <c:v>266.66666666666674</c:v>
                </c:pt>
                <c:pt idx="12">
                  <c:v>266.66666666666674</c:v>
                </c:pt>
                <c:pt idx="13">
                  <c:v>266.66666666666674</c:v>
                </c:pt>
                <c:pt idx="14">
                  <c:v>266.66666666666674</c:v>
                </c:pt>
                <c:pt idx="15">
                  <c:v>266.66666666666674</c:v>
                </c:pt>
                <c:pt idx="16">
                  <c:v>260.00000000000006</c:v>
                </c:pt>
                <c:pt idx="17">
                  <c:v>260.00000000000006</c:v>
                </c:pt>
                <c:pt idx="18">
                  <c:v>266.66666666666669</c:v>
                </c:pt>
                <c:pt idx="19">
                  <c:v>308.33333333333337</c:v>
                </c:pt>
                <c:pt idx="20">
                  <c:v>299.16666666666674</c:v>
                </c:pt>
              </c:numCache>
            </c:numRef>
          </c:val>
        </c:ser>
        <c:dLbls>
          <c:showLegendKey val="0"/>
          <c:showVal val="0"/>
          <c:showCatName val="0"/>
          <c:showSerName val="0"/>
          <c:showPercent val="0"/>
          <c:showBubbleSize val="0"/>
        </c:dLbls>
        <c:gapWidth val="150"/>
        <c:axId val="274814848"/>
        <c:axId val="274816384"/>
      </c:barChart>
      <c:lineChart>
        <c:grouping val="standard"/>
        <c:varyColors val="0"/>
        <c:ser>
          <c:idx val="0"/>
          <c:order val="0"/>
          <c:tx>
            <c:v>Housing rental price inflation (%, yoy, Right Axis)</c:v>
          </c:tx>
          <c:spPr>
            <a:ln w="25400">
              <a:prstDash val="sysDash"/>
            </a:ln>
          </c:spPr>
          <c:marker>
            <c:symbol val="none"/>
          </c:marker>
          <c:cat>
            <c:numRef>
              <c:f>'inflation-UB'!$FO$2:$GH$2</c:f>
              <c:numCache>
                <c:formatCode>mmm\-yy</c:formatCode>
                <c:ptCount val="20"/>
                <c:pt idx="0">
                  <c:v>40909</c:v>
                </c:pt>
                <c:pt idx="1">
                  <c:v>40940</c:v>
                </c:pt>
                <c:pt idx="2">
                  <c:v>40969</c:v>
                </c:pt>
                <c:pt idx="3">
                  <c:v>41000</c:v>
                </c:pt>
                <c:pt idx="4">
                  <c:v>41030</c:v>
                </c:pt>
                <c:pt idx="5">
                  <c:v>41061</c:v>
                </c:pt>
                <c:pt idx="6">
                  <c:v>41091</c:v>
                </c:pt>
                <c:pt idx="7">
                  <c:v>41122</c:v>
                </c:pt>
                <c:pt idx="8">
                  <c:v>41153</c:v>
                </c:pt>
                <c:pt idx="9">
                  <c:v>41183</c:v>
                </c:pt>
                <c:pt idx="10">
                  <c:v>41214</c:v>
                </c:pt>
                <c:pt idx="11">
                  <c:v>41244</c:v>
                </c:pt>
                <c:pt idx="12">
                  <c:v>41275</c:v>
                </c:pt>
                <c:pt idx="13">
                  <c:v>41306</c:v>
                </c:pt>
                <c:pt idx="14">
                  <c:v>41334</c:v>
                </c:pt>
                <c:pt idx="15">
                  <c:v>41365</c:v>
                </c:pt>
                <c:pt idx="16">
                  <c:v>41395</c:v>
                </c:pt>
                <c:pt idx="17">
                  <c:v>41426</c:v>
                </c:pt>
                <c:pt idx="18">
                  <c:v>41456</c:v>
                </c:pt>
                <c:pt idx="19">
                  <c:v>41487</c:v>
                </c:pt>
              </c:numCache>
            </c:numRef>
          </c:cat>
          <c:val>
            <c:numRef>
              <c:f>'inflation-UB'!$GW$191:$HQ$191</c:f>
              <c:numCache>
                <c:formatCode>0.0%</c:formatCode>
                <c:ptCount val="21"/>
                <c:pt idx="0">
                  <c:v>0.22526315789473705</c:v>
                </c:pt>
                <c:pt idx="1">
                  <c:v>0.25161290322580654</c:v>
                </c:pt>
                <c:pt idx="2">
                  <c:v>0.31685393258426986</c:v>
                </c:pt>
                <c:pt idx="3">
                  <c:v>0.25347593582887717</c:v>
                </c:pt>
                <c:pt idx="4">
                  <c:v>0.41700404858299578</c:v>
                </c:pt>
                <c:pt idx="5">
                  <c:v>0.5222672064777325</c:v>
                </c:pt>
                <c:pt idx="6">
                  <c:v>0.43067961165048563</c:v>
                </c:pt>
                <c:pt idx="7">
                  <c:v>0.38989169675090274</c:v>
                </c:pt>
                <c:pt idx="8">
                  <c:v>0.36042402826855113</c:v>
                </c:pt>
                <c:pt idx="9">
                  <c:v>0.37931034482758585</c:v>
                </c:pt>
                <c:pt idx="10">
                  <c:v>0.37931034482758585</c:v>
                </c:pt>
                <c:pt idx="11">
                  <c:v>0.37457044673539519</c:v>
                </c:pt>
                <c:pt idx="12">
                  <c:v>0.37457044673539519</c:v>
                </c:pt>
                <c:pt idx="13">
                  <c:v>0.37457044673539519</c:v>
                </c:pt>
                <c:pt idx="14">
                  <c:v>0.36518771331058009</c:v>
                </c:pt>
                <c:pt idx="15">
                  <c:v>0.36518771331058009</c:v>
                </c:pt>
                <c:pt idx="16">
                  <c:v>0.1142857142857141</c:v>
                </c:pt>
                <c:pt idx="17">
                  <c:v>3.7234042553191404E-2</c:v>
                </c:pt>
                <c:pt idx="18">
                  <c:v>8.5776330076003937E-2</c:v>
                </c:pt>
                <c:pt idx="19">
                  <c:v>0.20129870129870087</c:v>
                </c:pt>
                <c:pt idx="20">
                  <c:v>0.16558441558441528</c:v>
                </c:pt>
              </c:numCache>
            </c:numRef>
          </c:val>
          <c:smooth val="0"/>
        </c:ser>
        <c:dLbls>
          <c:showLegendKey val="0"/>
          <c:showVal val="0"/>
          <c:showCatName val="0"/>
          <c:showSerName val="0"/>
          <c:showPercent val="0"/>
          <c:showBubbleSize val="0"/>
        </c:dLbls>
        <c:marker val="1"/>
        <c:smooth val="0"/>
        <c:axId val="274819712"/>
        <c:axId val="274818176"/>
      </c:lineChart>
      <c:dateAx>
        <c:axId val="274814848"/>
        <c:scaling>
          <c:orientation val="minMax"/>
        </c:scaling>
        <c:delete val="0"/>
        <c:axPos val="b"/>
        <c:numFmt formatCode="mmm\-yy" sourceLinked="1"/>
        <c:majorTickMark val="out"/>
        <c:minorTickMark val="none"/>
        <c:tickLblPos val="nextTo"/>
        <c:txPr>
          <a:bodyPr/>
          <a:lstStyle/>
          <a:p>
            <a:pPr>
              <a:defRPr sz="600"/>
            </a:pPr>
            <a:endParaRPr lang="en-US"/>
          </a:p>
        </c:txPr>
        <c:crossAx val="274816384"/>
        <c:crosses val="autoZero"/>
        <c:auto val="1"/>
        <c:lblOffset val="100"/>
        <c:baseTimeUnit val="months"/>
      </c:dateAx>
      <c:valAx>
        <c:axId val="274816384"/>
        <c:scaling>
          <c:orientation val="minMax"/>
          <c:max val="400"/>
          <c:min val="100"/>
        </c:scaling>
        <c:delete val="0"/>
        <c:axPos val="l"/>
        <c:majorGridlines>
          <c:spPr>
            <a:ln>
              <a:noFill/>
            </a:ln>
          </c:spPr>
        </c:majorGridlines>
        <c:numFmt formatCode="0" sourceLinked="0"/>
        <c:majorTickMark val="out"/>
        <c:minorTickMark val="none"/>
        <c:tickLblPos val="nextTo"/>
        <c:crossAx val="274814848"/>
        <c:crosses val="autoZero"/>
        <c:crossBetween val="between"/>
      </c:valAx>
      <c:valAx>
        <c:axId val="274818176"/>
        <c:scaling>
          <c:orientation val="minMax"/>
        </c:scaling>
        <c:delete val="0"/>
        <c:axPos val="r"/>
        <c:numFmt formatCode="0.0%" sourceLinked="1"/>
        <c:majorTickMark val="out"/>
        <c:minorTickMark val="none"/>
        <c:tickLblPos val="nextTo"/>
        <c:crossAx val="274819712"/>
        <c:crosses val="max"/>
        <c:crossBetween val="between"/>
      </c:valAx>
      <c:dateAx>
        <c:axId val="274819712"/>
        <c:scaling>
          <c:orientation val="minMax"/>
        </c:scaling>
        <c:delete val="1"/>
        <c:axPos val="b"/>
        <c:numFmt formatCode="mmm\-yy" sourceLinked="1"/>
        <c:majorTickMark val="out"/>
        <c:minorTickMark val="none"/>
        <c:tickLblPos val="nextTo"/>
        <c:crossAx val="274818176"/>
        <c:crosses val="autoZero"/>
        <c:auto val="1"/>
        <c:lblOffset val="100"/>
        <c:baseTimeUnit val="months"/>
      </c:dateAx>
    </c:plotArea>
    <c:legend>
      <c:legendPos val="r"/>
      <c:layout>
        <c:manualLayout>
          <c:xMode val="edge"/>
          <c:yMode val="edge"/>
          <c:x val="0.32048025209392034"/>
          <c:y val="4.9707954995778722E-3"/>
          <c:w val="0.55245939445853787"/>
          <c:h val="0.30118664717628718"/>
        </c:manualLayout>
      </c:layout>
      <c:overlay val="0"/>
      <c:txPr>
        <a:bodyPr/>
        <a:lstStyle/>
        <a:p>
          <a:pPr>
            <a:defRPr sz="700"/>
          </a:pPr>
          <a:endParaRPr lang="en-US"/>
        </a:p>
      </c:txPr>
    </c:legend>
    <c:plotVisOnly val="1"/>
    <c:dispBlanksAs val="gap"/>
    <c:showDLblsOverMax val="0"/>
  </c:chart>
  <c:spPr>
    <a:ln>
      <a:noFill/>
    </a:ln>
  </c:spPr>
  <c:txPr>
    <a:bodyPr/>
    <a:lstStyle/>
    <a:p>
      <a:pPr>
        <a:defRPr sz="500"/>
      </a:pPr>
      <a:endParaRPr lang="en-US"/>
    </a:p>
  </c:txPr>
  <c:externalData r:id="rId1">
    <c:autoUpdate val="0"/>
  </c:externalData>
  <c:userShapes r:id="rId2"/>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3085739282589675E-2"/>
          <c:y val="5.1400554097404488E-2"/>
          <c:w val="0.87555402449693787"/>
          <c:h val="0.8326195683872849"/>
        </c:manualLayout>
      </c:layout>
      <c:barChart>
        <c:barDir val="col"/>
        <c:grouping val="clustered"/>
        <c:varyColors val="0"/>
        <c:ser>
          <c:idx val="0"/>
          <c:order val="0"/>
          <c:tx>
            <c:v>Unemployment Rate (%, Left Axis)</c:v>
          </c:tx>
          <c:invertIfNegative val="0"/>
          <c:cat>
            <c:strRef>
              <c:f>'Key labor market'!$Q$5:$AD$5</c:f>
              <c:strCache>
                <c:ptCount val="14"/>
                <c:pt idx="0">
                  <c:v>Q1 2010</c:v>
                </c:pt>
                <c:pt idx="1">
                  <c:v>Q2 2010</c:v>
                </c:pt>
                <c:pt idx="2">
                  <c:v>Q3 2010</c:v>
                </c:pt>
                <c:pt idx="3">
                  <c:v>Q4 2010</c:v>
                </c:pt>
                <c:pt idx="4">
                  <c:v>Q1 2011</c:v>
                </c:pt>
                <c:pt idx="5">
                  <c:v>Q2 2011</c:v>
                </c:pt>
                <c:pt idx="6">
                  <c:v>Q3 2011</c:v>
                </c:pt>
                <c:pt idx="7">
                  <c:v>Q4 2011</c:v>
                </c:pt>
                <c:pt idx="8">
                  <c:v>Q1 2012</c:v>
                </c:pt>
                <c:pt idx="9">
                  <c:v>Q2 2012</c:v>
                </c:pt>
                <c:pt idx="10">
                  <c:v>Q3 2012</c:v>
                </c:pt>
                <c:pt idx="11">
                  <c:v>Q4 2012</c:v>
                </c:pt>
                <c:pt idx="12">
                  <c:v>Q1 2013</c:v>
                </c:pt>
                <c:pt idx="13">
                  <c:v>Q2 2013</c:v>
                </c:pt>
              </c:strCache>
            </c:strRef>
          </c:cat>
          <c:val>
            <c:numRef>
              <c:f>'Key labor market'!$Q$19:$AD$19</c:f>
              <c:numCache>
                <c:formatCode>#,##0.0########</c:formatCode>
                <c:ptCount val="14"/>
                <c:pt idx="0">
                  <c:v>12.2</c:v>
                </c:pt>
                <c:pt idx="1">
                  <c:v>9.5</c:v>
                </c:pt>
                <c:pt idx="2">
                  <c:v>8.6</c:v>
                </c:pt>
                <c:pt idx="3">
                  <c:v>9.4</c:v>
                </c:pt>
                <c:pt idx="4">
                  <c:v>8.6999999999999993</c:v>
                </c:pt>
                <c:pt idx="5">
                  <c:v>7.3</c:v>
                </c:pt>
                <c:pt idx="6" formatCode="#,##0">
                  <c:v>8</c:v>
                </c:pt>
                <c:pt idx="7" formatCode="#,##0">
                  <c:v>7</c:v>
                </c:pt>
                <c:pt idx="8">
                  <c:v>10.3</c:v>
                </c:pt>
                <c:pt idx="9">
                  <c:v>8.4</c:v>
                </c:pt>
                <c:pt idx="10">
                  <c:v>6.3</c:v>
                </c:pt>
                <c:pt idx="11">
                  <c:v>7.9</c:v>
                </c:pt>
                <c:pt idx="12">
                  <c:v>9.3000000000000007</c:v>
                </c:pt>
                <c:pt idx="13">
                  <c:v>7.3</c:v>
                </c:pt>
              </c:numCache>
            </c:numRef>
          </c:val>
        </c:ser>
        <c:dLbls>
          <c:showLegendKey val="0"/>
          <c:showVal val="0"/>
          <c:showCatName val="0"/>
          <c:showSerName val="0"/>
          <c:showPercent val="0"/>
          <c:showBubbleSize val="0"/>
        </c:dLbls>
        <c:gapWidth val="150"/>
        <c:axId val="274849152"/>
        <c:axId val="274855040"/>
      </c:barChart>
      <c:lineChart>
        <c:grouping val="standard"/>
        <c:varyColors val="0"/>
        <c:ser>
          <c:idx val="1"/>
          <c:order val="1"/>
          <c:tx>
            <c:v>Total Unemployed People (Thousand, Right Axis)</c:v>
          </c:tx>
          <c:spPr>
            <a:ln w="22225"/>
          </c:spPr>
          <c:marker>
            <c:symbol val="none"/>
          </c:marker>
          <c:cat>
            <c:strRef>
              <c:f>'Key labor market'!$Q$5:$AD$5</c:f>
              <c:strCache>
                <c:ptCount val="14"/>
                <c:pt idx="0">
                  <c:v>Q1 2010</c:v>
                </c:pt>
                <c:pt idx="1">
                  <c:v>Q2 2010</c:v>
                </c:pt>
                <c:pt idx="2">
                  <c:v>Q3 2010</c:v>
                </c:pt>
                <c:pt idx="3">
                  <c:v>Q4 2010</c:v>
                </c:pt>
                <c:pt idx="4">
                  <c:v>Q1 2011</c:v>
                </c:pt>
                <c:pt idx="5">
                  <c:v>Q2 2011</c:v>
                </c:pt>
                <c:pt idx="6">
                  <c:v>Q3 2011</c:v>
                </c:pt>
                <c:pt idx="7">
                  <c:v>Q4 2011</c:v>
                </c:pt>
                <c:pt idx="8">
                  <c:v>Q1 2012</c:v>
                </c:pt>
                <c:pt idx="9">
                  <c:v>Q2 2012</c:v>
                </c:pt>
                <c:pt idx="10">
                  <c:v>Q3 2012</c:v>
                </c:pt>
                <c:pt idx="11">
                  <c:v>Q4 2012</c:v>
                </c:pt>
                <c:pt idx="12">
                  <c:v>Q1 2013</c:v>
                </c:pt>
                <c:pt idx="13">
                  <c:v>Q2 2013</c:v>
                </c:pt>
              </c:strCache>
            </c:strRef>
          </c:cat>
          <c:val>
            <c:numRef>
              <c:f>'Key labor market'!$Q$13:$AD$13</c:f>
              <c:numCache>
                <c:formatCode>#,##0</c:formatCode>
                <c:ptCount val="14"/>
                <c:pt idx="0">
                  <c:v>135122</c:v>
                </c:pt>
                <c:pt idx="1">
                  <c:v>109388</c:v>
                </c:pt>
                <c:pt idx="2">
                  <c:v>103117</c:v>
                </c:pt>
                <c:pt idx="3">
                  <c:v>106117</c:v>
                </c:pt>
                <c:pt idx="4">
                  <c:v>97159</c:v>
                </c:pt>
                <c:pt idx="5">
                  <c:v>81918</c:v>
                </c:pt>
                <c:pt idx="6">
                  <c:v>91614</c:v>
                </c:pt>
                <c:pt idx="7">
                  <c:v>77430</c:v>
                </c:pt>
                <c:pt idx="8">
                  <c:v>118791</c:v>
                </c:pt>
                <c:pt idx="9">
                  <c:v>96920</c:v>
                </c:pt>
                <c:pt idx="10">
                  <c:v>75309</c:v>
                </c:pt>
                <c:pt idx="11">
                  <c:v>87802</c:v>
                </c:pt>
                <c:pt idx="12">
                  <c:v>106072</c:v>
                </c:pt>
                <c:pt idx="13">
                  <c:v>88867</c:v>
                </c:pt>
              </c:numCache>
            </c:numRef>
          </c:val>
          <c:smooth val="0"/>
        </c:ser>
        <c:dLbls>
          <c:showLegendKey val="0"/>
          <c:showVal val="0"/>
          <c:showCatName val="0"/>
          <c:showSerName val="0"/>
          <c:showPercent val="0"/>
          <c:showBubbleSize val="0"/>
        </c:dLbls>
        <c:marker val="1"/>
        <c:smooth val="0"/>
        <c:axId val="274993920"/>
        <c:axId val="274856576"/>
      </c:lineChart>
      <c:catAx>
        <c:axId val="274849152"/>
        <c:scaling>
          <c:orientation val="minMax"/>
        </c:scaling>
        <c:delete val="0"/>
        <c:axPos val="b"/>
        <c:majorTickMark val="out"/>
        <c:minorTickMark val="none"/>
        <c:tickLblPos val="nextTo"/>
        <c:crossAx val="274855040"/>
        <c:crosses val="autoZero"/>
        <c:auto val="1"/>
        <c:lblAlgn val="ctr"/>
        <c:lblOffset val="100"/>
        <c:noMultiLvlLbl val="0"/>
      </c:catAx>
      <c:valAx>
        <c:axId val="274855040"/>
        <c:scaling>
          <c:orientation val="minMax"/>
          <c:max val="20"/>
        </c:scaling>
        <c:delete val="0"/>
        <c:axPos val="l"/>
        <c:majorGridlines>
          <c:spPr>
            <a:ln>
              <a:noFill/>
            </a:ln>
          </c:spPr>
        </c:majorGridlines>
        <c:numFmt formatCode="#,##0" sourceLinked="0"/>
        <c:majorTickMark val="out"/>
        <c:minorTickMark val="none"/>
        <c:tickLblPos val="nextTo"/>
        <c:crossAx val="274849152"/>
        <c:crosses val="autoZero"/>
        <c:crossBetween val="between"/>
      </c:valAx>
      <c:valAx>
        <c:axId val="274856576"/>
        <c:scaling>
          <c:orientation val="minMax"/>
        </c:scaling>
        <c:delete val="0"/>
        <c:axPos val="r"/>
        <c:numFmt formatCode="#,##0" sourceLinked="1"/>
        <c:majorTickMark val="out"/>
        <c:minorTickMark val="none"/>
        <c:tickLblPos val="nextTo"/>
        <c:crossAx val="274993920"/>
        <c:crosses val="max"/>
        <c:crossBetween val="between"/>
        <c:dispUnits>
          <c:builtInUnit val="thousands"/>
          <c:dispUnitsLbl/>
        </c:dispUnits>
      </c:valAx>
      <c:catAx>
        <c:axId val="274993920"/>
        <c:scaling>
          <c:orientation val="minMax"/>
        </c:scaling>
        <c:delete val="1"/>
        <c:axPos val="b"/>
        <c:majorTickMark val="out"/>
        <c:minorTickMark val="none"/>
        <c:tickLblPos val="nextTo"/>
        <c:crossAx val="274856576"/>
        <c:crosses val="autoZero"/>
        <c:auto val="1"/>
        <c:lblAlgn val="ctr"/>
        <c:lblOffset val="100"/>
        <c:noMultiLvlLbl val="0"/>
      </c:catAx>
    </c:plotArea>
    <c:legend>
      <c:legendPos val="r"/>
      <c:layout>
        <c:manualLayout>
          <c:xMode val="edge"/>
          <c:yMode val="edge"/>
          <c:x val="0.12677759835110861"/>
          <c:y val="1.4096422765636166E-3"/>
          <c:w val="0.75907606323015853"/>
          <c:h val="0.18166786823035047"/>
        </c:manualLayout>
      </c:layout>
      <c:overlay val="0"/>
    </c:legend>
    <c:plotVisOnly val="1"/>
    <c:dispBlanksAs val="gap"/>
    <c:showDLblsOverMax val="0"/>
  </c:chart>
  <c:spPr>
    <a:ln>
      <a:noFill/>
    </a:ln>
  </c:spPr>
  <c:txPr>
    <a:bodyPr/>
    <a:lstStyle/>
    <a:p>
      <a:pPr>
        <a:defRPr sz="700"/>
      </a:pPr>
      <a:endParaRPr lang="en-US"/>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6543572502875343E-2"/>
          <c:y val="4.2722811822435237E-2"/>
          <c:w val="0.88643192072901"/>
          <c:h val="0.86254250827342238"/>
        </c:manualLayout>
      </c:layout>
      <c:lineChart>
        <c:grouping val="standard"/>
        <c:varyColors val="0"/>
        <c:ser>
          <c:idx val="1"/>
          <c:order val="0"/>
          <c:tx>
            <c:strRef>
              <c:f>Sheet1!$F$1</c:f>
              <c:strCache>
                <c:ptCount val="1"/>
                <c:pt idx="0">
                  <c:v>Developing</c:v>
                </c:pt>
              </c:strCache>
            </c:strRef>
          </c:tx>
          <c:spPr>
            <a:ln>
              <a:solidFill>
                <a:schemeClr val="accent6">
                  <a:lumMod val="75000"/>
                </a:schemeClr>
              </a:solidFill>
            </a:ln>
          </c:spPr>
          <c:marker>
            <c:symbol val="none"/>
          </c:marker>
          <c:cat>
            <c:strRef>
              <c:f>Sheet1!$A$2:$A$11</c:f>
              <c:strCache>
                <c:ptCount val="10"/>
                <c:pt idx="0">
                  <c:v>2011Q1</c:v>
                </c:pt>
                <c:pt idx="1">
                  <c:v>2011Q2</c:v>
                </c:pt>
                <c:pt idx="2">
                  <c:v>2011Q3</c:v>
                </c:pt>
                <c:pt idx="3">
                  <c:v>2011Q4</c:v>
                </c:pt>
                <c:pt idx="4">
                  <c:v>2012Q1</c:v>
                </c:pt>
                <c:pt idx="5">
                  <c:v>2012Q2</c:v>
                </c:pt>
                <c:pt idx="6">
                  <c:v>2012Q3</c:v>
                </c:pt>
                <c:pt idx="7">
                  <c:v>2012Q4</c:v>
                </c:pt>
                <c:pt idx="8">
                  <c:v>2013Q1</c:v>
                </c:pt>
                <c:pt idx="9">
                  <c:v>2013Q2</c:v>
                </c:pt>
              </c:strCache>
            </c:strRef>
          </c:cat>
          <c:val>
            <c:numRef>
              <c:f>Sheet1!$F$2:$F$11</c:f>
              <c:numCache>
                <c:formatCode>0.00</c:formatCode>
                <c:ptCount val="10"/>
                <c:pt idx="0">
                  <c:v>6.9665910004046196</c:v>
                </c:pt>
                <c:pt idx="1">
                  <c:v>5.5051043377235898</c:v>
                </c:pt>
                <c:pt idx="2">
                  <c:v>5.2835938174247801</c:v>
                </c:pt>
                <c:pt idx="3">
                  <c:v>3.7225496216943998</c:v>
                </c:pt>
                <c:pt idx="4">
                  <c:v>5.46577489580923</c:v>
                </c:pt>
                <c:pt idx="5">
                  <c:v>4.5505023107736697</c:v>
                </c:pt>
                <c:pt idx="6">
                  <c:v>4.4493527531297801</c:v>
                </c:pt>
                <c:pt idx="7">
                  <c:v>5.5967262049424704</c:v>
                </c:pt>
                <c:pt idx="8">
                  <c:v>4.4452274296651701</c:v>
                </c:pt>
                <c:pt idx="9">
                  <c:v>5.4475278214421898</c:v>
                </c:pt>
              </c:numCache>
            </c:numRef>
          </c:val>
          <c:smooth val="1"/>
        </c:ser>
        <c:ser>
          <c:idx val="2"/>
          <c:order val="1"/>
          <c:tx>
            <c:strRef>
              <c:f>Sheet1!$J$1</c:f>
              <c:strCache>
                <c:ptCount val="1"/>
                <c:pt idx="0">
                  <c:v>East Asia</c:v>
                </c:pt>
              </c:strCache>
            </c:strRef>
          </c:tx>
          <c:spPr>
            <a:ln w="31750" cmpd="sng">
              <a:solidFill>
                <a:srgbClr val="1F497D">
                  <a:lumMod val="50000"/>
                </a:srgbClr>
              </a:solidFill>
            </a:ln>
          </c:spPr>
          <c:marker>
            <c:symbol val="none"/>
          </c:marker>
          <c:cat>
            <c:strRef>
              <c:f>Sheet1!$A$2:$A$11</c:f>
              <c:strCache>
                <c:ptCount val="10"/>
                <c:pt idx="0">
                  <c:v>2011Q1</c:v>
                </c:pt>
                <c:pt idx="1">
                  <c:v>2011Q2</c:v>
                </c:pt>
                <c:pt idx="2">
                  <c:v>2011Q3</c:v>
                </c:pt>
                <c:pt idx="3">
                  <c:v>2011Q4</c:v>
                </c:pt>
                <c:pt idx="4">
                  <c:v>2012Q1</c:v>
                </c:pt>
                <c:pt idx="5">
                  <c:v>2012Q2</c:v>
                </c:pt>
                <c:pt idx="6">
                  <c:v>2012Q3</c:v>
                </c:pt>
                <c:pt idx="7">
                  <c:v>2012Q4</c:v>
                </c:pt>
                <c:pt idx="8">
                  <c:v>2013Q1</c:v>
                </c:pt>
                <c:pt idx="9">
                  <c:v>2013Q2</c:v>
                </c:pt>
              </c:strCache>
            </c:strRef>
          </c:cat>
          <c:val>
            <c:numRef>
              <c:f>Sheet1!$J$2:$J$11</c:f>
              <c:numCache>
                <c:formatCode>0.00</c:formatCode>
                <c:ptCount val="10"/>
                <c:pt idx="0">
                  <c:v>8.4773001520845597</c:v>
                </c:pt>
                <c:pt idx="1">
                  <c:v>8.03645616549937</c:v>
                </c:pt>
                <c:pt idx="2">
                  <c:v>7.8107712184145504</c:v>
                </c:pt>
                <c:pt idx="3">
                  <c:v>4.1886362252392102</c:v>
                </c:pt>
                <c:pt idx="4">
                  <c:v>9.1513371214195303</c:v>
                </c:pt>
                <c:pt idx="5">
                  <c:v>7.4644632714926598</c:v>
                </c:pt>
                <c:pt idx="6">
                  <c:v>7.64563234647082</c:v>
                </c:pt>
                <c:pt idx="7">
                  <c:v>8.3317100846323804</c:v>
                </c:pt>
                <c:pt idx="8">
                  <c:v>5.2145614470334198</c:v>
                </c:pt>
                <c:pt idx="9">
                  <c:v>6.6584757753436197</c:v>
                </c:pt>
              </c:numCache>
            </c:numRef>
          </c:val>
          <c:smooth val="1"/>
        </c:ser>
        <c:dLbls>
          <c:showLegendKey val="0"/>
          <c:showVal val="0"/>
          <c:showCatName val="0"/>
          <c:showSerName val="0"/>
          <c:showPercent val="0"/>
          <c:showBubbleSize val="0"/>
        </c:dLbls>
        <c:marker val="1"/>
        <c:smooth val="0"/>
        <c:axId val="225909376"/>
        <c:axId val="225943936"/>
      </c:lineChart>
      <c:catAx>
        <c:axId val="225909376"/>
        <c:scaling>
          <c:orientation val="minMax"/>
        </c:scaling>
        <c:delete val="0"/>
        <c:axPos val="b"/>
        <c:numFmt formatCode="General" sourceLinked="0"/>
        <c:majorTickMark val="out"/>
        <c:minorTickMark val="none"/>
        <c:tickLblPos val="low"/>
        <c:txPr>
          <a:bodyPr rot="0"/>
          <a:lstStyle/>
          <a:p>
            <a:pPr>
              <a:defRPr/>
            </a:pPr>
            <a:endParaRPr lang="en-US"/>
          </a:p>
        </c:txPr>
        <c:crossAx val="225943936"/>
        <c:crosses val="autoZero"/>
        <c:auto val="1"/>
        <c:lblAlgn val="ctr"/>
        <c:lblOffset val="100"/>
        <c:noMultiLvlLbl val="0"/>
      </c:catAx>
      <c:valAx>
        <c:axId val="225943936"/>
        <c:scaling>
          <c:orientation val="minMax"/>
          <c:min val="3"/>
        </c:scaling>
        <c:delete val="0"/>
        <c:axPos val="l"/>
        <c:numFmt formatCode="#,##0" sourceLinked="0"/>
        <c:majorTickMark val="none"/>
        <c:minorTickMark val="none"/>
        <c:tickLblPos val="nextTo"/>
        <c:spPr>
          <a:ln>
            <a:solidFill>
              <a:schemeClr val="accent1">
                <a:lumMod val="50000"/>
              </a:schemeClr>
            </a:solidFill>
          </a:ln>
        </c:spPr>
        <c:crossAx val="225909376"/>
        <c:crosses val="autoZero"/>
        <c:crossBetween val="between"/>
        <c:dispUnits>
          <c:custUnit val="1"/>
        </c:dispUnits>
      </c:valAx>
    </c:plotArea>
    <c:plotVisOnly val="1"/>
    <c:dispBlanksAs val="gap"/>
    <c:showDLblsOverMax val="0"/>
  </c:chart>
  <c:spPr>
    <a:solidFill>
      <a:sysClr val="window" lastClr="FFFFFF"/>
    </a:solidFill>
    <a:ln w="9525" cap="flat" cmpd="sng" algn="ctr">
      <a:noFill/>
      <a:prstDash val="solid"/>
      <a:round/>
    </a:ln>
    <a:effectLst/>
    <a:extLst>
      <a:ext uri="{91240B29-F687-4F45-9708-019B960494DF}">
        <a14:hiddenLine xmlns:a14="http://schemas.microsoft.com/office/drawing/2010/main" w="9525" cap="flat" cmpd="sng" algn="ctr">
          <a:solidFill>
            <a:sysClr val="windowText" lastClr="000000">
              <a:tint val="75000"/>
              <a:shade val="95000"/>
              <a:satMod val="105000"/>
            </a:sysClr>
          </a:solidFill>
          <a:prstDash val="solid"/>
          <a:round/>
        </a14:hiddenLine>
      </a:ext>
    </a:extLst>
  </c:spPr>
  <c:txPr>
    <a:bodyPr/>
    <a:lstStyle/>
    <a:p>
      <a:pPr>
        <a:defRPr sz="700">
          <a:solidFill>
            <a:schemeClr val="accent1">
              <a:lumMod val="50000"/>
            </a:schemeClr>
          </a:solidFill>
          <a:latin typeface="+mn-lt"/>
          <a:cs typeface="Estrangelo Edessa" pitchFamily="66" charset="0"/>
        </a:defRPr>
      </a:pPr>
      <a:endParaRPr lang="en-US"/>
    </a:p>
  </c:txPr>
  <c:externalData r:id="rId2">
    <c:autoUpdate val="0"/>
  </c:externalData>
  <c:userShapes r:id="rId3"/>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3085739282589675E-2"/>
          <c:y val="5.1400554097404488E-2"/>
          <c:w val="0.88999715660542433"/>
          <c:h val="0.77349166945518777"/>
        </c:manualLayout>
      </c:layout>
      <c:lineChart>
        <c:grouping val="standard"/>
        <c:varyColors val="0"/>
        <c:ser>
          <c:idx val="0"/>
          <c:order val="0"/>
          <c:tx>
            <c:v>Male (%)</c:v>
          </c:tx>
          <c:spPr>
            <a:ln w="22225"/>
          </c:spPr>
          <c:marker>
            <c:symbol val="none"/>
          </c:marker>
          <c:cat>
            <c:strRef>
              <c:f>'Key labor market'!$Q$5:$AD$5</c:f>
              <c:strCache>
                <c:ptCount val="14"/>
                <c:pt idx="0">
                  <c:v>Q1 2010</c:v>
                </c:pt>
                <c:pt idx="1">
                  <c:v>Q2 2010</c:v>
                </c:pt>
                <c:pt idx="2">
                  <c:v>Q3 2010</c:v>
                </c:pt>
                <c:pt idx="3">
                  <c:v>Q4 2010</c:v>
                </c:pt>
                <c:pt idx="4">
                  <c:v>Q1 2011</c:v>
                </c:pt>
                <c:pt idx="5">
                  <c:v>Q2 2011</c:v>
                </c:pt>
                <c:pt idx="6">
                  <c:v>Q3 2011</c:v>
                </c:pt>
                <c:pt idx="7">
                  <c:v>Q4 2011</c:v>
                </c:pt>
                <c:pt idx="8">
                  <c:v>Q1 2012</c:v>
                </c:pt>
                <c:pt idx="9">
                  <c:v>Q2 2012</c:v>
                </c:pt>
                <c:pt idx="10">
                  <c:v>Q3 2012</c:v>
                </c:pt>
                <c:pt idx="11">
                  <c:v>Q4 2012</c:v>
                </c:pt>
                <c:pt idx="12">
                  <c:v>Q1 2013</c:v>
                </c:pt>
                <c:pt idx="13">
                  <c:v>Q2 2013</c:v>
                </c:pt>
              </c:strCache>
            </c:strRef>
          </c:cat>
          <c:val>
            <c:numRef>
              <c:f>'Key labor market'!$Q$20:$AD$20</c:f>
              <c:numCache>
                <c:formatCode>#,##0.0########</c:formatCode>
                <c:ptCount val="14"/>
                <c:pt idx="0">
                  <c:v>13.1</c:v>
                </c:pt>
                <c:pt idx="1">
                  <c:v>9.9</c:v>
                </c:pt>
                <c:pt idx="2">
                  <c:v>9.3000000000000007</c:v>
                </c:pt>
                <c:pt idx="3">
                  <c:v>9.9</c:v>
                </c:pt>
                <c:pt idx="4">
                  <c:v>9.3000000000000007</c:v>
                </c:pt>
                <c:pt idx="5">
                  <c:v>7.7</c:v>
                </c:pt>
                <c:pt idx="6">
                  <c:v>7.5</c:v>
                </c:pt>
                <c:pt idx="7">
                  <c:v>7.7</c:v>
                </c:pt>
                <c:pt idx="8">
                  <c:v>10.6</c:v>
                </c:pt>
                <c:pt idx="9">
                  <c:v>8.5</c:v>
                </c:pt>
                <c:pt idx="10">
                  <c:v>6.1</c:v>
                </c:pt>
                <c:pt idx="11">
                  <c:v>8.5</c:v>
                </c:pt>
                <c:pt idx="12" formatCode="#,##0">
                  <c:v>9</c:v>
                </c:pt>
                <c:pt idx="13">
                  <c:v>6.9</c:v>
                </c:pt>
              </c:numCache>
            </c:numRef>
          </c:val>
          <c:smooth val="0"/>
        </c:ser>
        <c:ser>
          <c:idx val="1"/>
          <c:order val="1"/>
          <c:tx>
            <c:v>Female (%)</c:v>
          </c:tx>
          <c:spPr>
            <a:ln w="22225">
              <a:prstDash val="sysDash"/>
            </a:ln>
          </c:spPr>
          <c:marker>
            <c:symbol val="none"/>
          </c:marker>
          <c:cat>
            <c:strRef>
              <c:f>'Key labor market'!$Q$5:$AD$5</c:f>
              <c:strCache>
                <c:ptCount val="14"/>
                <c:pt idx="0">
                  <c:v>Q1 2010</c:v>
                </c:pt>
                <c:pt idx="1">
                  <c:v>Q2 2010</c:v>
                </c:pt>
                <c:pt idx="2">
                  <c:v>Q3 2010</c:v>
                </c:pt>
                <c:pt idx="3">
                  <c:v>Q4 2010</c:v>
                </c:pt>
                <c:pt idx="4">
                  <c:v>Q1 2011</c:v>
                </c:pt>
                <c:pt idx="5">
                  <c:v>Q2 2011</c:v>
                </c:pt>
                <c:pt idx="6">
                  <c:v>Q3 2011</c:v>
                </c:pt>
                <c:pt idx="7">
                  <c:v>Q4 2011</c:v>
                </c:pt>
                <c:pt idx="8">
                  <c:v>Q1 2012</c:v>
                </c:pt>
                <c:pt idx="9">
                  <c:v>Q2 2012</c:v>
                </c:pt>
                <c:pt idx="10">
                  <c:v>Q3 2012</c:v>
                </c:pt>
                <c:pt idx="11">
                  <c:v>Q4 2012</c:v>
                </c:pt>
                <c:pt idx="12">
                  <c:v>Q1 2013</c:v>
                </c:pt>
                <c:pt idx="13">
                  <c:v>Q2 2013</c:v>
                </c:pt>
              </c:strCache>
            </c:strRef>
          </c:cat>
          <c:val>
            <c:numRef>
              <c:f>'Key labor market'!$Q$21:$AD$21</c:f>
              <c:numCache>
                <c:formatCode>#,##0</c:formatCode>
                <c:ptCount val="14"/>
                <c:pt idx="0" formatCode="#,##0.0########">
                  <c:v>11.1</c:v>
                </c:pt>
                <c:pt idx="1">
                  <c:v>9</c:v>
                </c:pt>
                <c:pt idx="2" formatCode="#,##0.0########">
                  <c:v>7.8</c:v>
                </c:pt>
                <c:pt idx="3" formatCode="#,##0.0########">
                  <c:v>8.9</c:v>
                </c:pt>
                <c:pt idx="4" formatCode="#,##0.0########">
                  <c:v>7.9</c:v>
                </c:pt>
                <c:pt idx="5" formatCode="#,##0.0########">
                  <c:v>6.8</c:v>
                </c:pt>
                <c:pt idx="6" formatCode="#,##0.0########">
                  <c:v>8.5</c:v>
                </c:pt>
                <c:pt idx="7" formatCode="#,##0.0########">
                  <c:v>6.2</c:v>
                </c:pt>
                <c:pt idx="8">
                  <c:v>10</c:v>
                </c:pt>
                <c:pt idx="9" formatCode="#,##0.0########">
                  <c:v>8.3000000000000007</c:v>
                </c:pt>
                <c:pt idx="10" formatCode="#,##0.0########">
                  <c:v>6.6</c:v>
                </c:pt>
                <c:pt idx="11" formatCode="#,##0.0########">
                  <c:v>7.3</c:v>
                </c:pt>
                <c:pt idx="12" formatCode="#,##0.0########">
                  <c:v>9.6999999999999993</c:v>
                </c:pt>
                <c:pt idx="13" formatCode="#,##0.0########">
                  <c:v>7.6</c:v>
                </c:pt>
              </c:numCache>
            </c:numRef>
          </c:val>
          <c:smooth val="0"/>
        </c:ser>
        <c:dLbls>
          <c:showLegendKey val="0"/>
          <c:showVal val="0"/>
          <c:showCatName val="0"/>
          <c:showSerName val="0"/>
          <c:showPercent val="0"/>
          <c:showBubbleSize val="0"/>
        </c:dLbls>
        <c:marker val="1"/>
        <c:smooth val="0"/>
        <c:axId val="275015936"/>
        <c:axId val="275021824"/>
      </c:lineChart>
      <c:catAx>
        <c:axId val="275015936"/>
        <c:scaling>
          <c:orientation val="minMax"/>
        </c:scaling>
        <c:delete val="0"/>
        <c:axPos val="b"/>
        <c:majorTickMark val="out"/>
        <c:minorTickMark val="none"/>
        <c:tickLblPos val="nextTo"/>
        <c:crossAx val="275021824"/>
        <c:crosses val="autoZero"/>
        <c:auto val="1"/>
        <c:lblAlgn val="ctr"/>
        <c:lblOffset val="100"/>
        <c:noMultiLvlLbl val="0"/>
      </c:catAx>
      <c:valAx>
        <c:axId val="275021824"/>
        <c:scaling>
          <c:orientation val="minMax"/>
        </c:scaling>
        <c:delete val="0"/>
        <c:axPos val="l"/>
        <c:majorGridlines>
          <c:spPr>
            <a:ln>
              <a:noFill/>
            </a:ln>
          </c:spPr>
        </c:majorGridlines>
        <c:numFmt formatCode="#,##0.0########" sourceLinked="1"/>
        <c:majorTickMark val="out"/>
        <c:minorTickMark val="none"/>
        <c:tickLblPos val="nextTo"/>
        <c:crossAx val="275015936"/>
        <c:crosses val="autoZero"/>
        <c:crossBetween val="between"/>
      </c:valAx>
    </c:plotArea>
    <c:legend>
      <c:legendPos val="r"/>
      <c:layout>
        <c:manualLayout>
          <c:xMode val="edge"/>
          <c:yMode val="edge"/>
          <c:x val="0.23586067366579172"/>
          <c:y val="5.5171697287839022E-2"/>
          <c:w val="0.34613310721123658"/>
          <c:h val="0.22428353991271954"/>
        </c:manualLayout>
      </c:layout>
      <c:overlay val="0"/>
    </c:legend>
    <c:plotVisOnly val="1"/>
    <c:dispBlanksAs val="gap"/>
    <c:showDLblsOverMax val="0"/>
  </c:chart>
  <c:spPr>
    <a:ln>
      <a:noFill/>
    </a:ln>
  </c:spPr>
  <c:txPr>
    <a:bodyPr/>
    <a:lstStyle/>
    <a:p>
      <a:pPr>
        <a:defRPr sz="700"/>
      </a:pPr>
      <a:endParaRPr lang="en-US"/>
    </a:p>
  </c:txPr>
  <c:externalData r:id="rId1">
    <c:autoUpdate val="0"/>
  </c:externalData>
  <c:userShapes r:id="rId2"/>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2.0891407366856376E-2"/>
          <c:y val="9.6906380729712541E-2"/>
          <c:w val="0.61576681642428899"/>
          <c:h val="0.75136829594413912"/>
        </c:manualLayout>
      </c:layout>
      <c:pieChart>
        <c:varyColors val="1"/>
        <c:ser>
          <c:idx val="0"/>
          <c:order val="0"/>
          <c:dLbls>
            <c:showLegendKey val="0"/>
            <c:showVal val="1"/>
            <c:showCatName val="0"/>
            <c:showSerName val="0"/>
            <c:showPercent val="0"/>
            <c:showBubbleSize val="0"/>
            <c:showLeaderLines val="1"/>
          </c:dLbls>
          <c:cat>
            <c:strRef>
              <c:f>'Bull-5'!$C$53:$C$60</c:f>
              <c:strCache>
                <c:ptCount val="8"/>
                <c:pt idx="0">
                  <c:v>Agriculture</c:v>
                </c:pt>
                <c:pt idx="1">
                  <c:v>Mining</c:v>
                </c:pt>
                <c:pt idx="2">
                  <c:v>Manufacturing &amp; Energy</c:v>
                </c:pt>
                <c:pt idx="3">
                  <c:v>Whole Sael/Retail &amp; Accommodation</c:v>
                </c:pt>
                <c:pt idx="4">
                  <c:v>Construction</c:v>
                </c:pt>
                <c:pt idx="5">
                  <c:v>Transportation &amp; Communication</c:v>
                </c:pt>
                <c:pt idx="6">
                  <c:v>Public Administration and Education</c:v>
                </c:pt>
                <c:pt idx="7">
                  <c:v>Others</c:v>
                </c:pt>
              </c:strCache>
            </c:strRef>
          </c:cat>
          <c:val>
            <c:numRef>
              <c:f>'Bull-5'!$O$53:$O$60</c:f>
              <c:numCache>
                <c:formatCode>#\ ##0.0</c:formatCode>
                <c:ptCount val="8"/>
                <c:pt idx="0">
                  <c:v>28.882233770809474</c:v>
                </c:pt>
                <c:pt idx="1">
                  <c:v>3.9725182771073717</c:v>
                </c:pt>
                <c:pt idx="2">
                  <c:v>9.4864793446666074</c:v>
                </c:pt>
                <c:pt idx="3">
                  <c:v>17.827886902140399</c:v>
                </c:pt>
                <c:pt idx="4">
                  <c:v>6.156962917290584</c:v>
                </c:pt>
                <c:pt idx="5">
                  <c:v>6.9320884347749478</c:v>
                </c:pt>
                <c:pt idx="6">
                  <c:v>15.396811415484892</c:v>
                </c:pt>
                <c:pt idx="7" formatCode="0.0">
                  <c:v>11.345018937725726</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62462908520246985"/>
          <c:y val="6.8381876977212288E-4"/>
          <c:w val="0.37102040494723104"/>
          <c:h val="0.99881468443079569"/>
        </c:manualLayout>
      </c:layout>
      <c:overlay val="0"/>
      <c:txPr>
        <a:bodyPr/>
        <a:lstStyle/>
        <a:p>
          <a:pPr>
            <a:defRPr sz="750"/>
          </a:pPr>
          <a:endParaRPr lang="en-US"/>
        </a:p>
      </c:txPr>
    </c:legend>
    <c:plotVisOnly val="1"/>
    <c:dispBlanksAs val="gap"/>
    <c:showDLblsOverMax val="0"/>
  </c:chart>
  <c:spPr>
    <a:ln>
      <a:noFill/>
    </a:ln>
  </c:spPr>
  <c:txPr>
    <a:bodyPr/>
    <a:lstStyle/>
    <a:p>
      <a:pPr>
        <a:defRPr sz="700"/>
      </a:pPr>
      <a:endParaRPr lang="en-US"/>
    </a:p>
  </c:txPr>
  <c:externalData r:id="rId1">
    <c:autoUpdate val="0"/>
  </c:externalData>
  <c:userShapes r:id="rId2"/>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3380032149727117E-2"/>
          <c:y val="5.1400554097404488E-2"/>
          <c:w val="0.88766499823198197"/>
          <c:h val="0.68733305663279209"/>
        </c:manualLayout>
      </c:layout>
      <c:barChart>
        <c:barDir val="col"/>
        <c:grouping val="clustered"/>
        <c:varyColors val="0"/>
        <c:ser>
          <c:idx val="0"/>
          <c:order val="0"/>
          <c:tx>
            <c:v>Q2 2012</c:v>
          </c:tx>
          <c:invertIfNegative val="0"/>
          <c:cat>
            <c:strRef>
              <c:f>('Bull-5'!$C$12:$C$14,'Bull-5'!$C$20,'Bull-5'!$C$23)</c:f>
              <c:strCache>
                <c:ptCount val="5"/>
                <c:pt idx="0">
                  <c:v>Agriculture</c:v>
                </c:pt>
                <c:pt idx="1">
                  <c:v>Minging</c:v>
                </c:pt>
                <c:pt idx="2">
                  <c:v>Manufacturing</c:v>
                </c:pt>
                <c:pt idx="3">
                  <c:v>Construction</c:v>
                </c:pt>
                <c:pt idx="4">
                  <c:v>Wholesale/Retail</c:v>
                </c:pt>
              </c:strCache>
            </c:strRef>
          </c:cat>
          <c:val>
            <c:numRef>
              <c:f>('Bull-5'!$E$12:$E$14,'Bull-5'!$E$20,'Bull-5'!$E$23)</c:f>
              <c:numCache>
                <c:formatCode>0.0</c:formatCode>
                <c:ptCount val="5"/>
                <c:pt idx="0">
                  <c:v>345.024</c:v>
                </c:pt>
                <c:pt idx="1">
                  <c:v>50.798999999999999</c:v>
                </c:pt>
                <c:pt idx="2">
                  <c:v>70.180000000000007</c:v>
                </c:pt>
                <c:pt idx="3">
                  <c:v>56.33</c:v>
                </c:pt>
                <c:pt idx="4">
                  <c:v>140.999</c:v>
                </c:pt>
              </c:numCache>
            </c:numRef>
          </c:val>
        </c:ser>
        <c:ser>
          <c:idx val="1"/>
          <c:order val="1"/>
          <c:tx>
            <c:v>Q1 2013</c:v>
          </c:tx>
          <c:invertIfNegative val="0"/>
          <c:cat>
            <c:strRef>
              <c:f>('Bull-5'!$C$12:$C$14,'Bull-5'!$C$20,'Bull-5'!$C$23)</c:f>
              <c:strCache>
                <c:ptCount val="5"/>
                <c:pt idx="0">
                  <c:v>Agriculture</c:v>
                </c:pt>
                <c:pt idx="1">
                  <c:v>Minging</c:v>
                </c:pt>
                <c:pt idx="2">
                  <c:v>Manufacturing</c:v>
                </c:pt>
                <c:pt idx="3">
                  <c:v>Construction</c:v>
                </c:pt>
                <c:pt idx="4">
                  <c:v>Wholesale/Retail</c:v>
                </c:pt>
              </c:strCache>
            </c:strRef>
          </c:cat>
          <c:val>
            <c:numRef>
              <c:f>('Bull-5'!$G$12:$G$14,'Bull-5'!$G$20,'Bull-5'!$G$23)</c:f>
              <c:numCache>
                <c:formatCode>0.0</c:formatCode>
                <c:ptCount val="5"/>
                <c:pt idx="0">
                  <c:v>319.89999999999998</c:v>
                </c:pt>
                <c:pt idx="1">
                  <c:v>56.9</c:v>
                </c:pt>
                <c:pt idx="2">
                  <c:v>64.7</c:v>
                </c:pt>
                <c:pt idx="3">
                  <c:v>59.8</c:v>
                </c:pt>
                <c:pt idx="4">
                  <c:v>136.80000000000001</c:v>
                </c:pt>
              </c:numCache>
            </c:numRef>
          </c:val>
        </c:ser>
        <c:ser>
          <c:idx val="2"/>
          <c:order val="2"/>
          <c:tx>
            <c:v>Q2 2013</c:v>
          </c:tx>
          <c:invertIfNegative val="0"/>
          <c:cat>
            <c:strRef>
              <c:f>('Bull-5'!$C$12:$C$14,'Bull-5'!$C$20,'Bull-5'!$C$23)</c:f>
              <c:strCache>
                <c:ptCount val="5"/>
                <c:pt idx="0">
                  <c:v>Agriculture</c:v>
                </c:pt>
                <c:pt idx="1">
                  <c:v>Minging</c:v>
                </c:pt>
                <c:pt idx="2">
                  <c:v>Manufacturing</c:v>
                </c:pt>
                <c:pt idx="3">
                  <c:v>Construction</c:v>
                </c:pt>
                <c:pt idx="4">
                  <c:v>Wholesale/Retail</c:v>
                </c:pt>
              </c:strCache>
            </c:strRef>
          </c:cat>
          <c:val>
            <c:numRef>
              <c:f>('Bull-5'!$H$12:$H$14,'Bull-5'!$H$20,'Bull-5'!$H$23)</c:f>
              <c:numCache>
                <c:formatCode>0.0</c:formatCode>
                <c:ptCount val="5"/>
                <c:pt idx="0">
                  <c:v>327.9</c:v>
                </c:pt>
                <c:pt idx="1">
                  <c:v>45.1</c:v>
                </c:pt>
                <c:pt idx="2">
                  <c:v>94.4</c:v>
                </c:pt>
                <c:pt idx="3">
                  <c:v>69.900000000000006</c:v>
                </c:pt>
                <c:pt idx="4">
                  <c:v>168.5</c:v>
                </c:pt>
              </c:numCache>
            </c:numRef>
          </c:val>
        </c:ser>
        <c:dLbls>
          <c:showLegendKey val="0"/>
          <c:showVal val="0"/>
          <c:showCatName val="0"/>
          <c:showSerName val="0"/>
          <c:showPercent val="0"/>
          <c:showBubbleSize val="0"/>
        </c:dLbls>
        <c:gapWidth val="150"/>
        <c:axId val="275094528"/>
        <c:axId val="275100416"/>
      </c:barChart>
      <c:catAx>
        <c:axId val="275094528"/>
        <c:scaling>
          <c:orientation val="minMax"/>
        </c:scaling>
        <c:delete val="0"/>
        <c:axPos val="b"/>
        <c:majorTickMark val="out"/>
        <c:minorTickMark val="none"/>
        <c:tickLblPos val="nextTo"/>
        <c:txPr>
          <a:bodyPr/>
          <a:lstStyle/>
          <a:p>
            <a:pPr>
              <a:defRPr sz="700"/>
            </a:pPr>
            <a:endParaRPr lang="en-US"/>
          </a:p>
        </c:txPr>
        <c:crossAx val="275100416"/>
        <c:crosses val="autoZero"/>
        <c:auto val="1"/>
        <c:lblAlgn val="ctr"/>
        <c:lblOffset val="100"/>
        <c:noMultiLvlLbl val="0"/>
      </c:catAx>
      <c:valAx>
        <c:axId val="275100416"/>
        <c:scaling>
          <c:orientation val="minMax"/>
          <c:max val="350"/>
        </c:scaling>
        <c:delete val="0"/>
        <c:axPos val="l"/>
        <c:majorGridlines>
          <c:spPr>
            <a:ln>
              <a:noFill/>
            </a:ln>
          </c:spPr>
        </c:majorGridlines>
        <c:numFmt formatCode="0" sourceLinked="0"/>
        <c:majorTickMark val="out"/>
        <c:minorTickMark val="none"/>
        <c:tickLblPos val="nextTo"/>
        <c:crossAx val="275094528"/>
        <c:crosses val="autoZero"/>
        <c:crossBetween val="between"/>
      </c:valAx>
    </c:plotArea>
    <c:legend>
      <c:legendPos val="r"/>
      <c:layout>
        <c:manualLayout>
          <c:xMode val="edge"/>
          <c:yMode val="edge"/>
          <c:x val="0.49930286474708363"/>
          <c:y val="0.12825094976335505"/>
          <c:w val="0.23705266028914265"/>
          <c:h val="0.25115157480314959"/>
        </c:manualLayout>
      </c:layout>
      <c:overlay val="0"/>
      <c:txPr>
        <a:bodyPr/>
        <a:lstStyle/>
        <a:p>
          <a:pPr>
            <a:defRPr sz="800"/>
          </a:pPr>
          <a:endParaRPr lang="en-US"/>
        </a:p>
      </c:txPr>
    </c:legend>
    <c:plotVisOnly val="1"/>
    <c:dispBlanksAs val="gap"/>
    <c:showDLblsOverMax val="0"/>
  </c:chart>
  <c:spPr>
    <a:ln>
      <a:noFill/>
    </a:ln>
  </c:spPr>
  <c:txPr>
    <a:bodyPr/>
    <a:lstStyle/>
    <a:p>
      <a:pPr>
        <a:defRPr sz="700"/>
      </a:pPr>
      <a:endParaRPr lang="en-US"/>
    </a:p>
  </c:txPr>
  <c:externalData r:id="rId1">
    <c:autoUpdate val="0"/>
  </c:externalData>
  <c:userShapes r:id="rId2"/>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593285214348207"/>
          <c:y val="5.1400554097404488E-2"/>
          <c:w val="0.87417891513560797"/>
          <c:h val="0.89719889180519097"/>
        </c:manualLayout>
      </c:layout>
      <c:barChart>
        <c:barDir val="col"/>
        <c:grouping val="clustered"/>
        <c:varyColors val="0"/>
        <c:ser>
          <c:idx val="1"/>
          <c:order val="0"/>
          <c:tx>
            <c:v>2013 Budget Annual Projection</c:v>
          </c:tx>
          <c:invertIfNegative val="0"/>
          <c:cat>
            <c:strRef>
              <c:f>'Fiscal Analysis'!$X$3:$X$9</c:f>
              <c:strCache>
                <c:ptCount val="7"/>
                <c:pt idx="0">
                  <c:v>Total Revenue</c:v>
                </c:pt>
                <c:pt idx="1">
                  <c:v>CIT</c:v>
                </c:pt>
                <c:pt idx="2">
                  <c:v>PIT</c:v>
                </c:pt>
                <c:pt idx="3">
                  <c:v>VAT</c:v>
                </c:pt>
                <c:pt idx="4">
                  <c:v>Excise Tax</c:v>
                </c:pt>
                <c:pt idx="5">
                  <c:v>Customs Duty</c:v>
                </c:pt>
                <c:pt idx="6">
                  <c:v>Royalty</c:v>
                </c:pt>
              </c:strCache>
            </c:strRef>
          </c:cat>
          <c:val>
            <c:numRef>
              <c:f>'Fiscal Analysis'!$Z$3:$Z$9</c:f>
              <c:numCache>
                <c:formatCode>0%</c:formatCode>
                <c:ptCount val="7"/>
                <c:pt idx="0">
                  <c:v>0.45833106548174496</c:v>
                </c:pt>
                <c:pt idx="1">
                  <c:v>0.64736097784590552</c:v>
                </c:pt>
                <c:pt idx="2">
                  <c:v>0.14612360929933499</c:v>
                </c:pt>
                <c:pt idx="3">
                  <c:v>0.49651935513184964</c:v>
                </c:pt>
                <c:pt idx="4">
                  <c:v>0.90543428214578903</c:v>
                </c:pt>
                <c:pt idx="5">
                  <c:v>0.75775494946678057</c:v>
                </c:pt>
                <c:pt idx="6">
                  <c:v>0.16342733023680567</c:v>
                </c:pt>
              </c:numCache>
            </c:numRef>
          </c:val>
        </c:ser>
        <c:ser>
          <c:idx val="0"/>
          <c:order val="1"/>
          <c:tx>
            <c:strRef>
              <c:f>'Fiscal Analysis'!$Y$2</c:f>
              <c:strCache>
                <c:ptCount val="1"/>
                <c:pt idx="0">
                  <c:v>2013 Outturn (Jan-Sep)</c:v>
                </c:pt>
              </c:strCache>
            </c:strRef>
          </c:tx>
          <c:invertIfNegative val="0"/>
          <c:cat>
            <c:strRef>
              <c:f>'Fiscal Analysis'!$X$3:$X$9</c:f>
              <c:strCache>
                <c:ptCount val="7"/>
                <c:pt idx="0">
                  <c:v>Total Revenue</c:v>
                </c:pt>
                <c:pt idx="1">
                  <c:v>CIT</c:v>
                </c:pt>
                <c:pt idx="2">
                  <c:v>PIT</c:v>
                </c:pt>
                <c:pt idx="3">
                  <c:v>VAT</c:v>
                </c:pt>
                <c:pt idx="4">
                  <c:v>Excise Tax</c:v>
                </c:pt>
                <c:pt idx="5">
                  <c:v>Customs Duty</c:v>
                </c:pt>
                <c:pt idx="6">
                  <c:v>Royalty</c:v>
                </c:pt>
              </c:strCache>
            </c:strRef>
          </c:cat>
          <c:val>
            <c:numRef>
              <c:f>'Fiscal Analysis'!$Y$3:$Y$9</c:f>
              <c:numCache>
                <c:formatCode>0%</c:formatCode>
                <c:ptCount val="7"/>
                <c:pt idx="0">
                  <c:v>0.13155170301217844</c:v>
                </c:pt>
                <c:pt idx="1">
                  <c:v>0.16978891065586788</c:v>
                </c:pt>
                <c:pt idx="2">
                  <c:v>0.33373081385461134</c:v>
                </c:pt>
                <c:pt idx="3">
                  <c:v>8.1327690888916004E-2</c:v>
                </c:pt>
                <c:pt idx="4">
                  <c:v>0.52963832179192227</c:v>
                </c:pt>
                <c:pt idx="5">
                  <c:v>7.567671363360029E-2</c:v>
                </c:pt>
                <c:pt idx="6">
                  <c:v>-0.29211114209231615</c:v>
                </c:pt>
              </c:numCache>
            </c:numRef>
          </c:val>
        </c:ser>
        <c:dLbls>
          <c:showLegendKey val="0"/>
          <c:showVal val="0"/>
          <c:showCatName val="0"/>
          <c:showSerName val="0"/>
          <c:showPercent val="0"/>
          <c:showBubbleSize val="0"/>
        </c:dLbls>
        <c:gapWidth val="150"/>
        <c:axId val="275121664"/>
        <c:axId val="275123200"/>
      </c:barChart>
      <c:catAx>
        <c:axId val="275121664"/>
        <c:scaling>
          <c:orientation val="minMax"/>
        </c:scaling>
        <c:delete val="0"/>
        <c:axPos val="b"/>
        <c:majorTickMark val="out"/>
        <c:minorTickMark val="none"/>
        <c:tickLblPos val="low"/>
        <c:crossAx val="275123200"/>
        <c:crosses val="autoZero"/>
        <c:auto val="1"/>
        <c:lblAlgn val="ctr"/>
        <c:lblOffset val="100"/>
        <c:noMultiLvlLbl val="0"/>
      </c:catAx>
      <c:valAx>
        <c:axId val="275123200"/>
        <c:scaling>
          <c:orientation val="minMax"/>
        </c:scaling>
        <c:delete val="0"/>
        <c:axPos val="l"/>
        <c:majorGridlines>
          <c:spPr>
            <a:ln>
              <a:noFill/>
            </a:ln>
          </c:spPr>
        </c:majorGridlines>
        <c:numFmt formatCode="0%" sourceLinked="1"/>
        <c:majorTickMark val="out"/>
        <c:minorTickMark val="none"/>
        <c:tickLblPos val="nextTo"/>
        <c:crossAx val="275121664"/>
        <c:crosses val="autoZero"/>
        <c:crossBetween val="between"/>
      </c:valAx>
    </c:plotArea>
    <c:legend>
      <c:legendPos val="r"/>
      <c:layout>
        <c:manualLayout>
          <c:xMode val="edge"/>
          <c:yMode val="edge"/>
          <c:x val="0.12069964070025227"/>
          <c:y val="7.5493830316664914E-2"/>
          <c:w val="0.41988823272090986"/>
          <c:h val="0.17283172936716243"/>
        </c:manualLayout>
      </c:layout>
      <c:overlay val="0"/>
    </c:legend>
    <c:plotVisOnly val="1"/>
    <c:dispBlanksAs val="gap"/>
    <c:showDLblsOverMax val="0"/>
  </c:chart>
  <c:spPr>
    <a:ln>
      <a:noFill/>
    </a:ln>
  </c:spPr>
  <c:txPr>
    <a:bodyPr/>
    <a:lstStyle/>
    <a:p>
      <a:pPr>
        <a:defRPr sz="700"/>
      </a:pPr>
      <a:endParaRPr lang="en-US"/>
    </a:p>
  </c:txPr>
  <c:externalData r:id="rId1">
    <c:autoUpdate val="0"/>
  </c:externalData>
  <c:userShapes r:id="rId2"/>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6460629921259843E-2"/>
          <c:y val="3.0770757544395896E-2"/>
          <c:w val="0.87902405949256335"/>
          <c:h val="0.86978961191964932"/>
        </c:manualLayout>
      </c:layout>
      <c:lineChart>
        <c:grouping val="standard"/>
        <c:varyColors val="0"/>
        <c:ser>
          <c:idx val="2"/>
          <c:order val="0"/>
          <c:tx>
            <c:v>Capital Sepdning (2013)</c:v>
          </c:tx>
          <c:spPr>
            <a:ln w="22225"/>
          </c:spPr>
          <c:marker>
            <c:symbol val="none"/>
          </c:marker>
          <c:cat>
            <c:strRef>
              <c:f>'Fiscal Analysis'!$K$3:$R$3</c:f>
              <c:strCache>
                <c:ptCount val="8"/>
                <c:pt idx="0">
                  <c:v>Jan</c:v>
                </c:pt>
                <c:pt idx="1">
                  <c:v>Feb</c:v>
                </c:pt>
                <c:pt idx="2">
                  <c:v>Mar</c:v>
                </c:pt>
                <c:pt idx="3">
                  <c:v>Apr</c:v>
                </c:pt>
                <c:pt idx="4">
                  <c:v>May</c:v>
                </c:pt>
                <c:pt idx="5">
                  <c:v>Jun</c:v>
                </c:pt>
                <c:pt idx="6">
                  <c:v>Jul</c:v>
                </c:pt>
                <c:pt idx="7">
                  <c:v>Aug</c:v>
                </c:pt>
              </c:strCache>
            </c:strRef>
          </c:cat>
          <c:val>
            <c:numRef>
              <c:f>'Fiscal Analysis'!$K$6:$R$6</c:f>
              <c:numCache>
                <c:formatCode>0%</c:formatCode>
                <c:ptCount val="8"/>
                <c:pt idx="0">
                  <c:v>3.5192289835944283E-4</c:v>
                </c:pt>
                <c:pt idx="1">
                  <c:v>9.0474424595879E-3</c:v>
                </c:pt>
                <c:pt idx="2">
                  <c:v>1.495417183342582E-2</c:v>
                </c:pt>
                <c:pt idx="3">
                  <c:v>4.172676002892961E-2</c:v>
                </c:pt>
                <c:pt idx="4">
                  <c:v>6.9765857377675197E-2</c:v>
                </c:pt>
                <c:pt idx="5">
                  <c:v>0.10160885663787278</c:v>
                </c:pt>
                <c:pt idx="6">
                  <c:v>0.23524459441756354</c:v>
                </c:pt>
                <c:pt idx="7">
                  <c:v>0.28850152564186865</c:v>
                </c:pt>
              </c:numCache>
            </c:numRef>
          </c:val>
          <c:smooth val="0"/>
        </c:ser>
        <c:ser>
          <c:idx val="3"/>
          <c:order val="1"/>
          <c:tx>
            <c:v>Current Spending (2013)</c:v>
          </c:tx>
          <c:spPr>
            <a:ln w="22225">
              <a:prstDash val="dash"/>
            </a:ln>
          </c:spPr>
          <c:marker>
            <c:symbol val="none"/>
          </c:marker>
          <c:cat>
            <c:strRef>
              <c:f>'Fiscal Analysis'!$K$3:$R$3</c:f>
              <c:strCache>
                <c:ptCount val="8"/>
                <c:pt idx="0">
                  <c:v>Jan</c:v>
                </c:pt>
                <c:pt idx="1">
                  <c:v>Feb</c:v>
                </c:pt>
                <c:pt idx="2">
                  <c:v>Mar</c:v>
                </c:pt>
                <c:pt idx="3">
                  <c:v>Apr</c:v>
                </c:pt>
                <c:pt idx="4">
                  <c:v>May</c:v>
                </c:pt>
                <c:pt idx="5">
                  <c:v>Jun</c:v>
                </c:pt>
                <c:pt idx="6">
                  <c:v>Jul</c:v>
                </c:pt>
                <c:pt idx="7">
                  <c:v>Aug</c:v>
                </c:pt>
              </c:strCache>
            </c:strRef>
          </c:cat>
          <c:val>
            <c:numRef>
              <c:f>'Fiscal Analysis'!$K$7:$R$7</c:f>
              <c:numCache>
                <c:formatCode>0%</c:formatCode>
                <c:ptCount val="8"/>
                <c:pt idx="0">
                  <c:v>5.4253020956955215E-2</c:v>
                </c:pt>
                <c:pt idx="1">
                  <c:v>0.12232326684361931</c:v>
                </c:pt>
                <c:pt idx="2">
                  <c:v>0.20122568041284739</c:v>
                </c:pt>
                <c:pt idx="3">
                  <c:v>0.27508530823227939</c:v>
                </c:pt>
                <c:pt idx="4">
                  <c:v>0.34566273412579523</c:v>
                </c:pt>
                <c:pt idx="5">
                  <c:v>0.47993471541910521</c:v>
                </c:pt>
                <c:pt idx="6">
                  <c:v>0.51611507952784819</c:v>
                </c:pt>
                <c:pt idx="7">
                  <c:v>0.57417828034447449</c:v>
                </c:pt>
              </c:numCache>
            </c:numRef>
          </c:val>
          <c:smooth val="0"/>
        </c:ser>
        <c:ser>
          <c:idx val="0"/>
          <c:order val="2"/>
          <c:tx>
            <c:v>Current Spending (2012)</c:v>
          </c:tx>
          <c:spPr>
            <a:ln w="22225">
              <a:prstDash val="sysDash"/>
            </a:ln>
          </c:spPr>
          <c:marker>
            <c:symbol val="none"/>
          </c:marker>
          <c:cat>
            <c:strRef>
              <c:f>'Fiscal Analysis'!$K$3:$R$3</c:f>
              <c:strCache>
                <c:ptCount val="8"/>
                <c:pt idx="0">
                  <c:v>Jan</c:v>
                </c:pt>
                <c:pt idx="1">
                  <c:v>Feb</c:v>
                </c:pt>
                <c:pt idx="2">
                  <c:v>Mar</c:v>
                </c:pt>
                <c:pt idx="3">
                  <c:v>Apr</c:v>
                </c:pt>
                <c:pt idx="4">
                  <c:v>May</c:v>
                </c:pt>
                <c:pt idx="5">
                  <c:v>Jun</c:v>
                </c:pt>
                <c:pt idx="6">
                  <c:v>Jul</c:v>
                </c:pt>
                <c:pt idx="7">
                  <c:v>Aug</c:v>
                </c:pt>
              </c:strCache>
            </c:strRef>
          </c:cat>
          <c:val>
            <c:numRef>
              <c:f>'Fiscal Analysis'!$K$13:$R$13</c:f>
              <c:numCache>
                <c:formatCode>0%</c:formatCode>
                <c:ptCount val="8"/>
                <c:pt idx="0">
                  <c:v>5.8075335977979398E-2</c:v>
                </c:pt>
                <c:pt idx="1">
                  <c:v>0.1264232974989358</c:v>
                </c:pt>
                <c:pt idx="2">
                  <c:v>0.19476862729869468</c:v>
                </c:pt>
                <c:pt idx="3">
                  <c:v>0.27819470643889138</c:v>
                </c:pt>
                <c:pt idx="4">
                  <c:v>0.40248709487980666</c:v>
                </c:pt>
                <c:pt idx="5">
                  <c:v>0.51544705637554034</c:v>
                </c:pt>
                <c:pt idx="6">
                  <c:v>0.58417885122485336</c:v>
                </c:pt>
                <c:pt idx="7">
                  <c:v>0.62352740524058092</c:v>
                </c:pt>
              </c:numCache>
            </c:numRef>
          </c:val>
          <c:smooth val="0"/>
        </c:ser>
        <c:ser>
          <c:idx val="1"/>
          <c:order val="3"/>
          <c:tx>
            <c:v>Capital Spending (2012)</c:v>
          </c:tx>
          <c:spPr>
            <a:ln w="22225"/>
          </c:spPr>
          <c:marker>
            <c:symbol val="none"/>
          </c:marker>
          <c:cat>
            <c:strRef>
              <c:f>'Fiscal Analysis'!$K$3:$R$3</c:f>
              <c:strCache>
                <c:ptCount val="8"/>
                <c:pt idx="0">
                  <c:v>Jan</c:v>
                </c:pt>
                <c:pt idx="1">
                  <c:v>Feb</c:v>
                </c:pt>
                <c:pt idx="2">
                  <c:v>Mar</c:v>
                </c:pt>
                <c:pt idx="3">
                  <c:v>Apr</c:v>
                </c:pt>
                <c:pt idx="4">
                  <c:v>May</c:v>
                </c:pt>
                <c:pt idx="5">
                  <c:v>Jun</c:v>
                </c:pt>
                <c:pt idx="6">
                  <c:v>Jul</c:v>
                </c:pt>
                <c:pt idx="7">
                  <c:v>Aug</c:v>
                </c:pt>
              </c:strCache>
            </c:strRef>
          </c:cat>
          <c:val>
            <c:numRef>
              <c:f>'Fiscal Analysis'!$K$12:$R$12</c:f>
              <c:numCache>
                <c:formatCode>0%</c:formatCode>
                <c:ptCount val="8"/>
                <c:pt idx="0">
                  <c:v>4.7530368633374089E-3</c:v>
                </c:pt>
                <c:pt idx="1">
                  <c:v>7.7599846094825051E-2</c:v>
                </c:pt>
                <c:pt idx="2">
                  <c:v>0.14281472418277533</c:v>
                </c:pt>
                <c:pt idx="3">
                  <c:v>0.16743142867231231</c:v>
                </c:pt>
                <c:pt idx="4">
                  <c:v>0.26469104605015537</c:v>
                </c:pt>
                <c:pt idx="5">
                  <c:v>0.39758322209757779</c:v>
                </c:pt>
                <c:pt idx="6">
                  <c:v>0.47323009005553163</c:v>
                </c:pt>
                <c:pt idx="7">
                  <c:v>0.5113181217435856</c:v>
                </c:pt>
              </c:numCache>
            </c:numRef>
          </c:val>
          <c:smooth val="0"/>
        </c:ser>
        <c:dLbls>
          <c:showLegendKey val="0"/>
          <c:showVal val="0"/>
          <c:showCatName val="0"/>
          <c:showSerName val="0"/>
          <c:showPercent val="0"/>
          <c:showBubbleSize val="0"/>
        </c:dLbls>
        <c:marker val="1"/>
        <c:smooth val="0"/>
        <c:axId val="275158912"/>
        <c:axId val="275160448"/>
      </c:lineChart>
      <c:catAx>
        <c:axId val="275158912"/>
        <c:scaling>
          <c:orientation val="minMax"/>
        </c:scaling>
        <c:delete val="0"/>
        <c:axPos val="b"/>
        <c:numFmt formatCode="General" sourceLinked="0"/>
        <c:majorTickMark val="out"/>
        <c:minorTickMark val="none"/>
        <c:tickLblPos val="nextTo"/>
        <c:crossAx val="275160448"/>
        <c:crosses val="autoZero"/>
        <c:auto val="1"/>
        <c:lblAlgn val="ctr"/>
        <c:lblOffset val="100"/>
        <c:noMultiLvlLbl val="0"/>
      </c:catAx>
      <c:valAx>
        <c:axId val="275160448"/>
        <c:scaling>
          <c:orientation val="minMax"/>
        </c:scaling>
        <c:delete val="0"/>
        <c:axPos val="l"/>
        <c:majorGridlines>
          <c:spPr>
            <a:ln>
              <a:noFill/>
            </a:ln>
          </c:spPr>
        </c:majorGridlines>
        <c:numFmt formatCode="0%" sourceLinked="1"/>
        <c:majorTickMark val="out"/>
        <c:minorTickMark val="none"/>
        <c:tickLblPos val="nextTo"/>
        <c:crossAx val="275158912"/>
        <c:crosses val="autoZero"/>
        <c:crossBetween val="between"/>
      </c:valAx>
    </c:plotArea>
    <c:legend>
      <c:legendPos val="r"/>
      <c:layout>
        <c:manualLayout>
          <c:xMode val="edge"/>
          <c:yMode val="edge"/>
          <c:x val="0.10641048326176168"/>
          <c:y val="5.2253849188549452E-2"/>
          <c:w val="0.49039337372548059"/>
          <c:h val="0.33710913039423374"/>
        </c:manualLayout>
      </c:layout>
      <c:overlay val="0"/>
    </c:legend>
    <c:plotVisOnly val="1"/>
    <c:dispBlanksAs val="gap"/>
    <c:showDLblsOverMax val="0"/>
  </c:chart>
  <c:spPr>
    <a:ln>
      <a:noFill/>
    </a:ln>
  </c:spPr>
  <c:txPr>
    <a:bodyPr/>
    <a:lstStyle/>
    <a:p>
      <a:pPr>
        <a:defRPr sz="700"/>
      </a:pPr>
      <a:endParaRPr lang="en-US"/>
    </a:p>
  </c:txPr>
  <c:externalData r:id="rId1">
    <c:autoUpdate val="0"/>
  </c:externalData>
  <c:userShapes r:id="rId2"/>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108589367505532"/>
          <c:y val="6.7393621251888955E-2"/>
          <c:w val="0.87891410632494471"/>
          <c:h val="0.90202289495488086"/>
        </c:manualLayout>
      </c:layout>
      <c:barChart>
        <c:barDir val="col"/>
        <c:grouping val="clustered"/>
        <c:varyColors val="0"/>
        <c:ser>
          <c:idx val="4"/>
          <c:order val="0"/>
          <c:tx>
            <c:v>2013</c:v>
          </c:tx>
          <c:spPr>
            <a:solidFill>
              <a:srgbClr val="7030A0"/>
            </a:solidFill>
          </c:spPr>
          <c:invertIfNegative val="0"/>
          <c:cat>
            <c:strRef>
              <c:f>'Fiscal Analysis'!$K$3:$R$3</c:f>
              <c:strCache>
                <c:ptCount val="8"/>
                <c:pt idx="0">
                  <c:v>Jan</c:v>
                </c:pt>
                <c:pt idx="1">
                  <c:v>Feb</c:v>
                </c:pt>
                <c:pt idx="2">
                  <c:v>Mar</c:v>
                </c:pt>
                <c:pt idx="3">
                  <c:v>Apr</c:v>
                </c:pt>
                <c:pt idx="4">
                  <c:v>May</c:v>
                </c:pt>
                <c:pt idx="5">
                  <c:v>Jun</c:v>
                </c:pt>
                <c:pt idx="6">
                  <c:v>Jul</c:v>
                </c:pt>
                <c:pt idx="7">
                  <c:v>Aug</c:v>
                </c:pt>
              </c:strCache>
            </c:strRef>
          </c:cat>
          <c:val>
            <c:numRef>
              <c:f>'Fiscal Analysis'!$K$8:$R$8</c:f>
              <c:numCache>
                <c:formatCode>#,##0</c:formatCode>
                <c:ptCount val="8"/>
                <c:pt idx="0">
                  <c:v>78.502411375420095</c:v>
                </c:pt>
                <c:pt idx="1">
                  <c:v>89.83654085306263</c:v>
                </c:pt>
                <c:pt idx="2">
                  <c:v>98.348265579302435</c:v>
                </c:pt>
                <c:pt idx="3">
                  <c:v>155.40646957670808</c:v>
                </c:pt>
                <c:pt idx="4">
                  <c:v>165.17789633146691</c:v>
                </c:pt>
                <c:pt idx="5">
                  <c:v>-100.22849577459431</c:v>
                </c:pt>
                <c:pt idx="6">
                  <c:v>-111.93680116427707</c:v>
                </c:pt>
                <c:pt idx="7">
                  <c:v>-96.957551197073457</c:v>
                </c:pt>
              </c:numCache>
            </c:numRef>
          </c:val>
        </c:ser>
        <c:ser>
          <c:idx val="5"/>
          <c:order val="1"/>
          <c:tx>
            <c:v>2012</c:v>
          </c:tx>
          <c:spPr>
            <a:solidFill>
              <a:srgbClr val="92D050"/>
            </a:solidFill>
          </c:spPr>
          <c:invertIfNegative val="0"/>
          <c:cat>
            <c:strRef>
              <c:f>'Fiscal Analysis'!$K$3:$R$3</c:f>
              <c:strCache>
                <c:ptCount val="8"/>
                <c:pt idx="0">
                  <c:v>Jan</c:v>
                </c:pt>
                <c:pt idx="1">
                  <c:v>Feb</c:v>
                </c:pt>
                <c:pt idx="2">
                  <c:v>Mar</c:v>
                </c:pt>
                <c:pt idx="3">
                  <c:v>Apr</c:v>
                </c:pt>
                <c:pt idx="4">
                  <c:v>May</c:v>
                </c:pt>
                <c:pt idx="5">
                  <c:v>Jun</c:v>
                </c:pt>
                <c:pt idx="6">
                  <c:v>Jul</c:v>
                </c:pt>
                <c:pt idx="7">
                  <c:v>Aug</c:v>
                </c:pt>
              </c:strCache>
            </c:strRef>
          </c:cat>
          <c:val>
            <c:numRef>
              <c:f>'Fiscal Analysis'!$K$14:$R$14</c:f>
              <c:numCache>
                <c:formatCode>0</c:formatCode>
                <c:ptCount val="8"/>
                <c:pt idx="0">
                  <c:v>66.025547259539962</c:v>
                </c:pt>
                <c:pt idx="1">
                  <c:v>-7.1024787062602046</c:v>
                </c:pt>
                <c:pt idx="2">
                  <c:v>-47.712193333170298</c:v>
                </c:pt>
                <c:pt idx="3">
                  <c:v>-39.084699999999998</c:v>
                </c:pt>
                <c:pt idx="4">
                  <c:v>-378.84004593220021</c:v>
                </c:pt>
                <c:pt idx="5">
                  <c:v>-549.31823348677062</c:v>
                </c:pt>
                <c:pt idx="6">
                  <c:v>-574.10453141332005</c:v>
                </c:pt>
                <c:pt idx="7">
                  <c:v>-456.59095110230015</c:v>
                </c:pt>
              </c:numCache>
            </c:numRef>
          </c:val>
        </c:ser>
        <c:dLbls>
          <c:showLegendKey val="0"/>
          <c:showVal val="0"/>
          <c:showCatName val="0"/>
          <c:showSerName val="0"/>
          <c:showPercent val="0"/>
          <c:showBubbleSize val="0"/>
        </c:dLbls>
        <c:gapWidth val="150"/>
        <c:axId val="275249024"/>
        <c:axId val="275250560"/>
      </c:barChart>
      <c:catAx>
        <c:axId val="275249024"/>
        <c:scaling>
          <c:orientation val="minMax"/>
        </c:scaling>
        <c:delete val="0"/>
        <c:axPos val="b"/>
        <c:numFmt formatCode="General" sourceLinked="0"/>
        <c:majorTickMark val="out"/>
        <c:minorTickMark val="none"/>
        <c:tickLblPos val="low"/>
        <c:crossAx val="275250560"/>
        <c:crosses val="autoZero"/>
        <c:auto val="1"/>
        <c:lblAlgn val="ctr"/>
        <c:lblOffset val="100"/>
        <c:noMultiLvlLbl val="0"/>
      </c:catAx>
      <c:valAx>
        <c:axId val="275250560"/>
        <c:scaling>
          <c:orientation val="minMax"/>
        </c:scaling>
        <c:delete val="0"/>
        <c:axPos val="l"/>
        <c:majorGridlines>
          <c:spPr>
            <a:ln>
              <a:noFill/>
            </a:ln>
          </c:spPr>
        </c:majorGridlines>
        <c:numFmt formatCode="#,##0" sourceLinked="1"/>
        <c:majorTickMark val="out"/>
        <c:minorTickMark val="none"/>
        <c:tickLblPos val="nextTo"/>
        <c:crossAx val="275249024"/>
        <c:crosses val="autoZero"/>
        <c:crossBetween val="between"/>
      </c:valAx>
    </c:plotArea>
    <c:legend>
      <c:legendPos val="r"/>
      <c:layout>
        <c:manualLayout>
          <c:xMode val="edge"/>
          <c:yMode val="edge"/>
          <c:x val="0.18476246719160103"/>
          <c:y val="0.62809419655876353"/>
          <c:w val="0.3211473026303367"/>
          <c:h val="0.14506780402449693"/>
        </c:manualLayout>
      </c:layout>
      <c:overlay val="0"/>
      <c:txPr>
        <a:bodyPr/>
        <a:lstStyle/>
        <a:p>
          <a:pPr>
            <a:defRPr sz="800"/>
          </a:pPr>
          <a:endParaRPr lang="en-US"/>
        </a:p>
      </c:txPr>
    </c:legend>
    <c:plotVisOnly val="1"/>
    <c:dispBlanksAs val="gap"/>
    <c:showDLblsOverMax val="0"/>
  </c:chart>
  <c:spPr>
    <a:ln>
      <a:noFill/>
    </a:ln>
  </c:spPr>
  <c:txPr>
    <a:bodyPr/>
    <a:lstStyle/>
    <a:p>
      <a:pPr>
        <a:defRPr sz="700"/>
      </a:pPr>
      <a:endParaRPr lang="en-US"/>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8099518810148819E-2"/>
          <c:y val="2.8252405949256338E-2"/>
          <c:w val="0.92919257781564057"/>
          <c:h val="0.85967938562653556"/>
        </c:manualLayout>
      </c:layout>
      <c:barChart>
        <c:barDir val="col"/>
        <c:grouping val="stacked"/>
        <c:varyColors val="0"/>
        <c:ser>
          <c:idx val="1"/>
          <c:order val="1"/>
          <c:tx>
            <c:v>On-budget spending  (Left Axis, billion MNT)</c:v>
          </c:tx>
          <c:invertIfNegative val="0"/>
          <c:cat>
            <c:strRef>
              <c:f>Sheet9!$B$1:$L$1</c:f>
              <c:strCache>
                <c:ptCount val="11"/>
                <c:pt idx="0">
                  <c:v>2003</c:v>
                </c:pt>
                <c:pt idx="1">
                  <c:v>2004</c:v>
                </c:pt>
                <c:pt idx="2">
                  <c:v>2005</c:v>
                </c:pt>
                <c:pt idx="3">
                  <c:v>2006</c:v>
                </c:pt>
                <c:pt idx="4">
                  <c:v>2007</c:v>
                </c:pt>
                <c:pt idx="5">
                  <c:v>2008</c:v>
                </c:pt>
                <c:pt idx="6">
                  <c:v>2009</c:v>
                </c:pt>
                <c:pt idx="7">
                  <c:v>2010</c:v>
                </c:pt>
                <c:pt idx="8">
                  <c:v>2011</c:v>
                </c:pt>
                <c:pt idx="9">
                  <c:v>2012</c:v>
                </c:pt>
                <c:pt idx="10">
                  <c:v>2013 e</c:v>
                </c:pt>
              </c:strCache>
            </c:strRef>
          </c:cat>
          <c:val>
            <c:numRef>
              <c:f>Sheet9!$B$3:$L$3</c:f>
              <c:numCache>
                <c:formatCode>#,##0.0</c:formatCode>
                <c:ptCount val="11"/>
                <c:pt idx="0">
                  <c:v>615771.25449999922</c:v>
                </c:pt>
                <c:pt idx="1">
                  <c:v>752486.36139999994</c:v>
                </c:pt>
                <c:pt idx="2">
                  <c:v>764597.13970000006</c:v>
                </c:pt>
                <c:pt idx="3">
                  <c:v>1237007.9915422001</c:v>
                </c:pt>
                <c:pt idx="4">
                  <c:v>1747310.5226843499</c:v>
                </c:pt>
                <c:pt idx="5" formatCode="_(* #,##0_);_(* \(#,##0\);_(* &quot;-&quot;??_);_(@_)">
                  <c:v>2466774.3645224394</c:v>
                </c:pt>
                <c:pt idx="6" formatCode="_(* #,##0_);_(* \(#,##0\);_(* &quot;-&quot;??_);_(@_)">
                  <c:v>2336629.6526322369</c:v>
                </c:pt>
                <c:pt idx="7" formatCode="_(* #,##0_);_(* \(#,##0\);_(* &quot;-&quot;??_);_(@_)">
                  <c:v>3076262.7901214967</c:v>
                </c:pt>
                <c:pt idx="8" formatCode="_(* #,##0_);_(* \(#,##0\);_(* &quot;-&quot;??_);_(@_)">
                  <c:v>4997039.8590968624</c:v>
                </c:pt>
                <c:pt idx="9" formatCode="_(* #,##0.0_);_(* \(#,##0.0\);_(* &quot;-&quot;??_);_(@_)">
                  <c:v>6017800</c:v>
                </c:pt>
                <c:pt idx="10" formatCode="_(* #,##0.0_);_(* \(#,##0.0\);_(* &quot;-&quot;??_);_(@_)">
                  <c:v>6691000</c:v>
                </c:pt>
              </c:numCache>
            </c:numRef>
          </c:val>
        </c:ser>
        <c:ser>
          <c:idx val="2"/>
          <c:order val="2"/>
          <c:tx>
            <c:v>DBM Spending  (Left Axis, billion MNT)</c:v>
          </c:tx>
          <c:invertIfNegative val="0"/>
          <c:cat>
            <c:strRef>
              <c:f>Sheet9!$B$1:$L$1</c:f>
              <c:strCache>
                <c:ptCount val="11"/>
                <c:pt idx="0">
                  <c:v>2003</c:v>
                </c:pt>
                <c:pt idx="1">
                  <c:v>2004</c:v>
                </c:pt>
                <c:pt idx="2">
                  <c:v>2005</c:v>
                </c:pt>
                <c:pt idx="3">
                  <c:v>2006</c:v>
                </c:pt>
                <c:pt idx="4">
                  <c:v>2007</c:v>
                </c:pt>
                <c:pt idx="5">
                  <c:v>2008</c:v>
                </c:pt>
                <c:pt idx="6">
                  <c:v>2009</c:v>
                </c:pt>
                <c:pt idx="7">
                  <c:v>2010</c:v>
                </c:pt>
                <c:pt idx="8">
                  <c:v>2011</c:v>
                </c:pt>
                <c:pt idx="9">
                  <c:v>2012</c:v>
                </c:pt>
                <c:pt idx="10">
                  <c:v>2013 e</c:v>
                </c:pt>
              </c:strCache>
            </c:strRef>
          </c:cat>
          <c:val>
            <c:numRef>
              <c:f>Sheet9!$B$4:$L$4</c:f>
              <c:numCache>
                <c:formatCode>General</c:formatCode>
                <c:ptCount val="11"/>
                <c:pt idx="9" formatCode="_(* #,##0.00_);_(* \(#,##0.00\);_(* &quot;-&quot;??_);_(@_)">
                  <c:v>488200</c:v>
                </c:pt>
                <c:pt idx="10" formatCode="_(* #,##0.00_);_(* \(#,##0.00\);_(* &quot;-&quot;??_);_(@_)">
                  <c:v>1600000</c:v>
                </c:pt>
              </c:numCache>
            </c:numRef>
          </c:val>
        </c:ser>
        <c:dLbls>
          <c:showLegendKey val="0"/>
          <c:showVal val="0"/>
          <c:showCatName val="0"/>
          <c:showSerName val="0"/>
          <c:showPercent val="0"/>
          <c:showBubbleSize val="0"/>
        </c:dLbls>
        <c:gapWidth val="150"/>
        <c:overlap val="100"/>
        <c:axId val="280507520"/>
        <c:axId val="280509056"/>
      </c:barChart>
      <c:lineChart>
        <c:grouping val="standard"/>
        <c:varyColors val="0"/>
        <c:ser>
          <c:idx val="0"/>
          <c:order val="0"/>
          <c:tx>
            <c:v>Budget Revenue (Left Axis, billion MNT)</c:v>
          </c:tx>
          <c:spPr>
            <a:ln w="22225"/>
          </c:spPr>
          <c:marker>
            <c:symbol val="none"/>
          </c:marker>
          <c:cat>
            <c:strRef>
              <c:f>Sheet9!$B$1:$L$1</c:f>
              <c:strCache>
                <c:ptCount val="11"/>
                <c:pt idx="0">
                  <c:v>2003</c:v>
                </c:pt>
                <c:pt idx="1">
                  <c:v>2004</c:v>
                </c:pt>
                <c:pt idx="2">
                  <c:v>2005</c:v>
                </c:pt>
                <c:pt idx="3">
                  <c:v>2006</c:v>
                </c:pt>
                <c:pt idx="4">
                  <c:v>2007</c:v>
                </c:pt>
                <c:pt idx="5">
                  <c:v>2008</c:v>
                </c:pt>
                <c:pt idx="6">
                  <c:v>2009</c:v>
                </c:pt>
                <c:pt idx="7">
                  <c:v>2010</c:v>
                </c:pt>
                <c:pt idx="8">
                  <c:v>2011</c:v>
                </c:pt>
                <c:pt idx="9">
                  <c:v>2012</c:v>
                </c:pt>
                <c:pt idx="10">
                  <c:v>2013 e</c:v>
                </c:pt>
              </c:strCache>
            </c:strRef>
          </c:cat>
          <c:val>
            <c:numRef>
              <c:f>Sheet9!$B$2:$L$2</c:f>
              <c:numCache>
                <c:formatCode>General</c:formatCode>
                <c:ptCount val="11"/>
                <c:pt idx="0">
                  <c:v>553889.27774508891</c:v>
                </c:pt>
                <c:pt idx="1">
                  <c:v>713113.55856129003</c:v>
                </c:pt>
                <c:pt idx="2">
                  <c:v>838843.92457196908</c:v>
                </c:pt>
                <c:pt idx="3">
                  <c:v>1360409.8777008711</c:v>
                </c:pt>
                <c:pt idx="4">
                  <c:v>1880488.9051250499</c:v>
                </c:pt>
                <c:pt idx="5">
                  <c:v>2170369.9868896967</c:v>
                </c:pt>
                <c:pt idx="6">
                  <c:v>1993995.5570285474</c:v>
                </c:pt>
                <c:pt idx="7">
                  <c:v>3122464.1636007624</c:v>
                </c:pt>
                <c:pt idx="8">
                  <c:v>4468197.9704761701</c:v>
                </c:pt>
                <c:pt idx="9">
                  <c:v>4952166.5366426008</c:v>
                </c:pt>
                <c:pt idx="10">
                  <c:v>5747000</c:v>
                </c:pt>
              </c:numCache>
            </c:numRef>
          </c:val>
          <c:smooth val="0"/>
        </c:ser>
        <c:dLbls>
          <c:showLegendKey val="0"/>
          <c:showVal val="0"/>
          <c:showCatName val="0"/>
          <c:showSerName val="0"/>
          <c:showPercent val="0"/>
          <c:showBubbleSize val="0"/>
        </c:dLbls>
        <c:marker val="1"/>
        <c:smooth val="0"/>
        <c:axId val="280507520"/>
        <c:axId val="280509056"/>
      </c:lineChart>
      <c:catAx>
        <c:axId val="280507520"/>
        <c:scaling>
          <c:orientation val="minMax"/>
        </c:scaling>
        <c:delete val="0"/>
        <c:axPos val="b"/>
        <c:numFmt formatCode="General" sourceLinked="1"/>
        <c:majorTickMark val="out"/>
        <c:minorTickMark val="none"/>
        <c:tickLblPos val="nextTo"/>
        <c:crossAx val="280509056"/>
        <c:crosses val="autoZero"/>
        <c:auto val="1"/>
        <c:lblAlgn val="ctr"/>
        <c:lblOffset val="100"/>
        <c:noMultiLvlLbl val="0"/>
      </c:catAx>
      <c:valAx>
        <c:axId val="280509056"/>
        <c:scaling>
          <c:orientation val="minMax"/>
        </c:scaling>
        <c:delete val="0"/>
        <c:axPos val="l"/>
        <c:majorGridlines>
          <c:spPr>
            <a:ln>
              <a:noFill/>
            </a:ln>
          </c:spPr>
        </c:majorGridlines>
        <c:numFmt formatCode="#,##0" sourceLinked="0"/>
        <c:majorTickMark val="out"/>
        <c:minorTickMark val="none"/>
        <c:tickLblPos val="nextTo"/>
        <c:crossAx val="280507520"/>
        <c:crosses val="autoZero"/>
        <c:crossBetween val="between"/>
        <c:dispUnits>
          <c:builtInUnit val="millions"/>
        </c:dispUnits>
      </c:valAx>
    </c:plotArea>
    <c:legend>
      <c:legendPos val="r"/>
      <c:layout>
        <c:manualLayout>
          <c:xMode val="edge"/>
          <c:yMode val="edge"/>
          <c:x val="7.5674849467345956E-2"/>
          <c:y val="5.7219797064017745E-2"/>
          <c:w val="0.62939041994750722"/>
          <c:h val="0.386797330961902"/>
        </c:manualLayout>
      </c:layout>
      <c:overlay val="0"/>
    </c:legend>
    <c:plotVisOnly val="1"/>
    <c:dispBlanksAs val="gap"/>
    <c:showDLblsOverMax val="0"/>
  </c:chart>
  <c:spPr>
    <a:ln>
      <a:noFill/>
    </a:ln>
  </c:spPr>
  <c:txPr>
    <a:bodyPr/>
    <a:lstStyle/>
    <a:p>
      <a:pPr>
        <a:defRPr sz="700"/>
      </a:pPr>
      <a:endParaRPr lang="en-US"/>
    </a:p>
  </c:txPr>
  <c:externalData r:id="rId1">
    <c:autoUpdate val="0"/>
  </c:externalData>
  <c:userShapes r:id="rId2"/>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3702582779758491E-2"/>
          <c:y val="4.0454761807623883E-2"/>
          <c:w val="0.89446561850778461"/>
          <c:h val="0.91990861245971334"/>
        </c:manualLayout>
      </c:layout>
      <c:barChart>
        <c:barDir val="col"/>
        <c:grouping val="stacked"/>
        <c:varyColors val="0"/>
        <c:ser>
          <c:idx val="0"/>
          <c:order val="0"/>
          <c:tx>
            <c:v>Official Budget Balance</c:v>
          </c:tx>
          <c:spPr>
            <a:solidFill>
              <a:srgbClr val="92D050"/>
            </a:solidFill>
          </c:spPr>
          <c:invertIfNegative val="0"/>
          <c:cat>
            <c:strRef>
              <c:f>Sheet9!$B$1:$L$1</c:f>
              <c:strCache>
                <c:ptCount val="11"/>
                <c:pt idx="0">
                  <c:v>2003</c:v>
                </c:pt>
                <c:pt idx="1">
                  <c:v>2004</c:v>
                </c:pt>
                <c:pt idx="2">
                  <c:v>2005</c:v>
                </c:pt>
                <c:pt idx="3">
                  <c:v>2006</c:v>
                </c:pt>
                <c:pt idx="4">
                  <c:v>2007</c:v>
                </c:pt>
                <c:pt idx="5">
                  <c:v>2008</c:v>
                </c:pt>
                <c:pt idx="6">
                  <c:v>2009</c:v>
                </c:pt>
                <c:pt idx="7">
                  <c:v>2010</c:v>
                </c:pt>
                <c:pt idx="8">
                  <c:v>2011</c:v>
                </c:pt>
                <c:pt idx="9">
                  <c:v>2012</c:v>
                </c:pt>
                <c:pt idx="10">
                  <c:v>2013 e</c:v>
                </c:pt>
              </c:strCache>
            </c:strRef>
          </c:cat>
          <c:val>
            <c:numRef>
              <c:f>Sheet9!$B$28:$L$28</c:f>
              <c:numCache>
                <c:formatCode>0.0%</c:formatCode>
                <c:ptCount val="11"/>
                <c:pt idx="0">
                  <c:v>-3.38324444061852E-2</c:v>
                </c:pt>
                <c:pt idx="1">
                  <c:v>-1.6675223000390448E-2</c:v>
                </c:pt>
                <c:pt idx="2">
                  <c:v>2.4412001976708078E-2</c:v>
                </c:pt>
                <c:pt idx="3">
                  <c:v>3.0639376803004451E-2</c:v>
                </c:pt>
                <c:pt idx="4">
                  <c:v>2.686864276821558E-2</c:v>
                </c:pt>
                <c:pt idx="5">
                  <c:v>-4.5214131930204994E-2</c:v>
                </c:pt>
                <c:pt idx="6">
                  <c:v>-5.1988008989676156E-2</c:v>
                </c:pt>
                <c:pt idx="7">
                  <c:v>5.4906829302431848E-3</c:v>
                </c:pt>
                <c:pt idx="8">
                  <c:v>-4.7696162767101681E-2</c:v>
                </c:pt>
                <c:pt idx="9">
                  <c:v>-7.6421061040223184E-2</c:v>
                </c:pt>
                <c:pt idx="10">
                  <c:v>-2.0000000000000011E-2</c:v>
                </c:pt>
              </c:numCache>
            </c:numRef>
          </c:val>
        </c:ser>
        <c:ser>
          <c:idx val="1"/>
          <c:order val="1"/>
          <c:tx>
            <c:v>Additioanal Budget Deficit (DBM)</c:v>
          </c:tx>
          <c:invertIfNegative val="0"/>
          <c:cat>
            <c:strRef>
              <c:f>Sheet9!$B$1:$L$1</c:f>
              <c:strCache>
                <c:ptCount val="11"/>
                <c:pt idx="0">
                  <c:v>2003</c:v>
                </c:pt>
                <c:pt idx="1">
                  <c:v>2004</c:v>
                </c:pt>
                <c:pt idx="2">
                  <c:v>2005</c:v>
                </c:pt>
                <c:pt idx="3">
                  <c:v>2006</c:v>
                </c:pt>
                <c:pt idx="4">
                  <c:v>2007</c:v>
                </c:pt>
                <c:pt idx="5">
                  <c:v>2008</c:v>
                </c:pt>
                <c:pt idx="6">
                  <c:v>2009</c:v>
                </c:pt>
                <c:pt idx="7">
                  <c:v>2010</c:v>
                </c:pt>
                <c:pt idx="8">
                  <c:v>2011</c:v>
                </c:pt>
                <c:pt idx="9">
                  <c:v>2012</c:v>
                </c:pt>
                <c:pt idx="10">
                  <c:v>2013 e</c:v>
                </c:pt>
              </c:strCache>
            </c:strRef>
          </c:cat>
          <c:val>
            <c:numRef>
              <c:f>Sheet9!$B$29:$L$29</c:f>
              <c:numCache>
                <c:formatCode>0.0%</c:formatCode>
                <c:ptCount val="11"/>
                <c:pt idx="0">
                  <c:v>0</c:v>
                </c:pt>
                <c:pt idx="1">
                  <c:v>0</c:v>
                </c:pt>
                <c:pt idx="2">
                  <c:v>0</c:v>
                </c:pt>
                <c:pt idx="3">
                  <c:v>0</c:v>
                </c:pt>
                <c:pt idx="4">
                  <c:v>0</c:v>
                </c:pt>
                <c:pt idx="5">
                  <c:v>0</c:v>
                </c:pt>
                <c:pt idx="6">
                  <c:v>0</c:v>
                </c:pt>
                <c:pt idx="7">
                  <c:v>0</c:v>
                </c:pt>
                <c:pt idx="8">
                  <c:v>0</c:v>
                </c:pt>
                <c:pt idx="9">
                  <c:v>-3.5010876894097771E-2</c:v>
                </c:pt>
                <c:pt idx="10">
                  <c:v>-9.4051421801325086E-2</c:v>
                </c:pt>
              </c:numCache>
            </c:numRef>
          </c:val>
        </c:ser>
        <c:dLbls>
          <c:showLegendKey val="0"/>
          <c:showVal val="0"/>
          <c:showCatName val="0"/>
          <c:showSerName val="0"/>
          <c:showPercent val="0"/>
          <c:showBubbleSize val="0"/>
        </c:dLbls>
        <c:gapWidth val="150"/>
        <c:overlap val="100"/>
        <c:axId val="280528000"/>
        <c:axId val="280529536"/>
      </c:barChart>
      <c:catAx>
        <c:axId val="280528000"/>
        <c:scaling>
          <c:orientation val="minMax"/>
        </c:scaling>
        <c:delete val="0"/>
        <c:axPos val="b"/>
        <c:numFmt formatCode="General" sourceLinked="0"/>
        <c:majorTickMark val="out"/>
        <c:minorTickMark val="none"/>
        <c:tickLblPos val="low"/>
        <c:crossAx val="280529536"/>
        <c:crosses val="autoZero"/>
        <c:auto val="1"/>
        <c:lblAlgn val="ctr"/>
        <c:lblOffset val="100"/>
        <c:noMultiLvlLbl val="0"/>
      </c:catAx>
      <c:valAx>
        <c:axId val="280529536"/>
        <c:scaling>
          <c:orientation val="minMax"/>
        </c:scaling>
        <c:delete val="0"/>
        <c:axPos val="l"/>
        <c:majorGridlines>
          <c:spPr>
            <a:ln>
              <a:noFill/>
            </a:ln>
          </c:spPr>
        </c:majorGridlines>
        <c:numFmt formatCode="0%" sourceLinked="0"/>
        <c:majorTickMark val="out"/>
        <c:minorTickMark val="none"/>
        <c:tickLblPos val="nextTo"/>
        <c:crossAx val="280528000"/>
        <c:crosses val="autoZero"/>
        <c:crossBetween val="between"/>
      </c:valAx>
    </c:plotArea>
    <c:legend>
      <c:legendPos val="r"/>
      <c:layout>
        <c:manualLayout>
          <c:xMode val="edge"/>
          <c:yMode val="edge"/>
          <c:x val="0.11980150171534348"/>
          <c:y val="0.56765171712161677"/>
          <c:w val="0.54722222222222228"/>
          <c:h val="0.17820751079100894"/>
        </c:manualLayout>
      </c:layout>
      <c:overlay val="0"/>
    </c:legend>
    <c:plotVisOnly val="1"/>
    <c:dispBlanksAs val="gap"/>
    <c:showDLblsOverMax val="0"/>
  </c:chart>
  <c:spPr>
    <a:ln>
      <a:noFill/>
    </a:ln>
  </c:spPr>
  <c:txPr>
    <a:bodyPr/>
    <a:lstStyle/>
    <a:p>
      <a:pPr>
        <a:defRPr sz="700"/>
      </a:pPr>
      <a:endParaRPr lang="en-US"/>
    </a:p>
  </c:txPr>
  <c:externalData r:id="rId1">
    <c:autoUpdate val="0"/>
  </c:externalData>
  <c:userShapes r:id="rId2"/>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0488407699037617E-2"/>
          <c:y val="5.1400554097404488E-2"/>
          <c:w val="0.8936380139982506"/>
          <c:h val="0.8326195683872849"/>
        </c:manualLayout>
      </c:layout>
      <c:barChart>
        <c:barDir val="col"/>
        <c:grouping val="clustered"/>
        <c:varyColors val="0"/>
        <c:ser>
          <c:idx val="0"/>
          <c:order val="0"/>
          <c:tx>
            <c:strRef>
              <c:f>'Intl Comparison'!$B$1</c:f>
              <c:strCache>
                <c:ptCount val="1"/>
                <c:pt idx="0">
                  <c:v>2011</c:v>
                </c:pt>
              </c:strCache>
            </c:strRef>
          </c:tx>
          <c:invertIfNegative val="0"/>
          <c:cat>
            <c:strRef>
              <c:f>'Intl Comparison'!$A$2:$A$7</c:f>
              <c:strCache>
                <c:ptCount val="6"/>
                <c:pt idx="0">
                  <c:v>Myanmar</c:v>
                </c:pt>
                <c:pt idx="1">
                  <c:v>Indonesia</c:v>
                </c:pt>
                <c:pt idx="2">
                  <c:v>Lao PDR</c:v>
                </c:pt>
                <c:pt idx="3">
                  <c:v>Malaysia</c:v>
                </c:pt>
                <c:pt idx="4">
                  <c:v>Vietnam</c:v>
                </c:pt>
                <c:pt idx="5">
                  <c:v>Mongolia</c:v>
                </c:pt>
              </c:strCache>
            </c:strRef>
          </c:cat>
          <c:val>
            <c:numRef>
              <c:f>'Intl Comparison'!$B$2:$B$7</c:f>
              <c:numCache>
                <c:formatCode>General</c:formatCode>
                <c:ptCount val="6"/>
                <c:pt idx="0">
                  <c:v>-4.5999999999999996</c:v>
                </c:pt>
                <c:pt idx="1">
                  <c:v>-1.1000000000000001</c:v>
                </c:pt>
                <c:pt idx="2">
                  <c:v>-2.7</c:v>
                </c:pt>
                <c:pt idx="3">
                  <c:v>-4.8</c:v>
                </c:pt>
                <c:pt idx="4">
                  <c:v>-2.9</c:v>
                </c:pt>
                <c:pt idx="5">
                  <c:v>-4.8</c:v>
                </c:pt>
              </c:numCache>
            </c:numRef>
          </c:val>
        </c:ser>
        <c:ser>
          <c:idx val="1"/>
          <c:order val="1"/>
          <c:tx>
            <c:strRef>
              <c:f>'Intl Comparison'!$C$1</c:f>
              <c:strCache>
                <c:ptCount val="1"/>
                <c:pt idx="0">
                  <c:v>2012</c:v>
                </c:pt>
              </c:strCache>
            </c:strRef>
          </c:tx>
          <c:invertIfNegative val="0"/>
          <c:cat>
            <c:strRef>
              <c:f>'Intl Comparison'!$A$2:$A$7</c:f>
              <c:strCache>
                <c:ptCount val="6"/>
                <c:pt idx="0">
                  <c:v>Myanmar</c:v>
                </c:pt>
                <c:pt idx="1">
                  <c:v>Indonesia</c:v>
                </c:pt>
                <c:pt idx="2">
                  <c:v>Lao PDR</c:v>
                </c:pt>
                <c:pt idx="3">
                  <c:v>Malaysia</c:v>
                </c:pt>
                <c:pt idx="4">
                  <c:v>Vietnam</c:v>
                </c:pt>
                <c:pt idx="5">
                  <c:v>Mongolia</c:v>
                </c:pt>
              </c:strCache>
            </c:strRef>
          </c:cat>
          <c:val>
            <c:numRef>
              <c:f>'Intl Comparison'!$C$2:$C$7</c:f>
              <c:numCache>
                <c:formatCode>General</c:formatCode>
                <c:ptCount val="6"/>
                <c:pt idx="0">
                  <c:v>-3.7</c:v>
                </c:pt>
                <c:pt idx="1">
                  <c:v>-1.9000000000000001</c:v>
                </c:pt>
                <c:pt idx="2">
                  <c:v>-1.3</c:v>
                </c:pt>
                <c:pt idx="3">
                  <c:v>-4.5</c:v>
                </c:pt>
                <c:pt idx="4">
                  <c:v>-4.8</c:v>
                </c:pt>
                <c:pt idx="5">
                  <c:v>-10.9</c:v>
                </c:pt>
              </c:numCache>
            </c:numRef>
          </c:val>
        </c:ser>
        <c:ser>
          <c:idx val="2"/>
          <c:order val="2"/>
          <c:tx>
            <c:strRef>
              <c:f>'Intl Comparison'!$D$1</c:f>
              <c:strCache>
                <c:ptCount val="1"/>
                <c:pt idx="0">
                  <c:v>2013f</c:v>
                </c:pt>
              </c:strCache>
            </c:strRef>
          </c:tx>
          <c:invertIfNegative val="0"/>
          <c:cat>
            <c:strRef>
              <c:f>'Intl Comparison'!$A$2:$A$7</c:f>
              <c:strCache>
                <c:ptCount val="6"/>
                <c:pt idx="0">
                  <c:v>Myanmar</c:v>
                </c:pt>
                <c:pt idx="1">
                  <c:v>Indonesia</c:v>
                </c:pt>
                <c:pt idx="2">
                  <c:v>Lao PDR</c:v>
                </c:pt>
                <c:pt idx="3">
                  <c:v>Malaysia</c:v>
                </c:pt>
                <c:pt idx="4">
                  <c:v>Vietnam</c:v>
                </c:pt>
                <c:pt idx="5">
                  <c:v>Mongolia</c:v>
                </c:pt>
              </c:strCache>
            </c:strRef>
          </c:cat>
          <c:val>
            <c:numRef>
              <c:f>'Intl Comparison'!$D$2:$D$7</c:f>
              <c:numCache>
                <c:formatCode>General</c:formatCode>
                <c:ptCount val="6"/>
                <c:pt idx="0">
                  <c:v>-5</c:v>
                </c:pt>
                <c:pt idx="1">
                  <c:v>-2.5</c:v>
                </c:pt>
                <c:pt idx="2">
                  <c:v>-6.1</c:v>
                </c:pt>
                <c:pt idx="3">
                  <c:v>-4.0999999999999996</c:v>
                </c:pt>
                <c:pt idx="4">
                  <c:v>-4</c:v>
                </c:pt>
                <c:pt idx="5">
                  <c:v>-11.8</c:v>
                </c:pt>
              </c:numCache>
            </c:numRef>
          </c:val>
        </c:ser>
        <c:dLbls>
          <c:showLegendKey val="0"/>
          <c:showVal val="0"/>
          <c:showCatName val="0"/>
          <c:showSerName val="0"/>
          <c:showPercent val="0"/>
          <c:showBubbleSize val="0"/>
        </c:dLbls>
        <c:gapWidth val="150"/>
        <c:axId val="280556672"/>
        <c:axId val="280558208"/>
      </c:barChart>
      <c:catAx>
        <c:axId val="280556672"/>
        <c:scaling>
          <c:orientation val="minMax"/>
        </c:scaling>
        <c:delete val="0"/>
        <c:axPos val="b"/>
        <c:majorTickMark val="out"/>
        <c:minorTickMark val="none"/>
        <c:tickLblPos val="low"/>
        <c:crossAx val="280558208"/>
        <c:crosses val="autoZero"/>
        <c:auto val="1"/>
        <c:lblAlgn val="ctr"/>
        <c:lblOffset val="100"/>
        <c:noMultiLvlLbl val="0"/>
      </c:catAx>
      <c:valAx>
        <c:axId val="280558208"/>
        <c:scaling>
          <c:orientation val="minMax"/>
        </c:scaling>
        <c:delete val="0"/>
        <c:axPos val="l"/>
        <c:majorGridlines>
          <c:spPr>
            <a:ln>
              <a:noFill/>
            </a:ln>
          </c:spPr>
        </c:majorGridlines>
        <c:numFmt formatCode="General" sourceLinked="1"/>
        <c:majorTickMark val="out"/>
        <c:minorTickMark val="none"/>
        <c:tickLblPos val="nextTo"/>
        <c:crossAx val="280556672"/>
        <c:crosses val="autoZero"/>
        <c:crossBetween val="between"/>
      </c:valAx>
    </c:plotArea>
    <c:legend>
      <c:legendPos val="r"/>
      <c:layout>
        <c:manualLayout>
          <c:xMode val="edge"/>
          <c:yMode val="edge"/>
          <c:x val="0.13245975503062121"/>
          <c:y val="0.49942403032954291"/>
          <c:w val="0.10647344613838169"/>
          <c:h val="0.24664310542744253"/>
        </c:manualLayout>
      </c:layout>
      <c:overlay val="0"/>
    </c:legend>
    <c:plotVisOnly val="1"/>
    <c:dispBlanksAs val="gap"/>
    <c:showDLblsOverMax val="0"/>
  </c:chart>
  <c:spPr>
    <a:ln>
      <a:noFill/>
    </a:ln>
  </c:spPr>
  <c:txPr>
    <a:bodyPr/>
    <a:lstStyle/>
    <a:p>
      <a:pPr>
        <a:defRPr sz="700"/>
      </a:pPr>
      <a:endParaRPr lang="en-US"/>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1849518810148689E-2"/>
          <c:y val="2.7049628397631982E-2"/>
          <c:w val="0.89350430267423997"/>
          <c:h val="0.87963456192791256"/>
        </c:manualLayout>
      </c:layout>
      <c:lineChart>
        <c:grouping val="standard"/>
        <c:varyColors val="0"/>
        <c:ser>
          <c:idx val="0"/>
          <c:order val="0"/>
          <c:tx>
            <c:strRef>
              <c:f>Sheet9!$A$6</c:f>
              <c:strCache>
                <c:ptCount val="1"/>
                <c:pt idx="0">
                  <c:v>Government Expenditure to GDP (%)</c:v>
                </c:pt>
              </c:strCache>
            </c:strRef>
          </c:tx>
          <c:spPr>
            <a:ln w="22225"/>
          </c:spPr>
          <c:marker>
            <c:symbol val="none"/>
          </c:marker>
          <c:cat>
            <c:strRef>
              <c:f>Sheet9!$B$1:$L$1</c:f>
              <c:strCache>
                <c:ptCount val="11"/>
                <c:pt idx="0">
                  <c:v>2003</c:v>
                </c:pt>
                <c:pt idx="1">
                  <c:v>2004</c:v>
                </c:pt>
                <c:pt idx="2">
                  <c:v>2005</c:v>
                </c:pt>
                <c:pt idx="3">
                  <c:v>2006</c:v>
                </c:pt>
                <c:pt idx="4">
                  <c:v>2007</c:v>
                </c:pt>
                <c:pt idx="5">
                  <c:v>2008</c:v>
                </c:pt>
                <c:pt idx="6">
                  <c:v>2009</c:v>
                </c:pt>
                <c:pt idx="7">
                  <c:v>2010</c:v>
                </c:pt>
                <c:pt idx="8">
                  <c:v>2011</c:v>
                </c:pt>
                <c:pt idx="9">
                  <c:v>2012</c:v>
                </c:pt>
                <c:pt idx="10">
                  <c:v>2013 e</c:v>
                </c:pt>
              </c:strCache>
            </c:strRef>
          </c:cat>
          <c:val>
            <c:numRef>
              <c:f>Sheet9!$B$6:$L$6</c:f>
              <c:numCache>
                <c:formatCode>0%</c:formatCode>
                <c:ptCount val="11"/>
                <c:pt idx="0">
                  <c:v>0.33665774474706334</c:v>
                </c:pt>
                <c:pt idx="1">
                  <c:v>0.31869404706846982</c:v>
                </c:pt>
                <c:pt idx="2">
                  <c:v>0.25139602903921082</c:v>
                </c:pt>
                <c:pt idx="3">
                  <c:v>0.30713593722915988</c:v>
                </c:pt>
                <c:pt idx="4">
                  <c:v>0.35251863987801685</c:v>
                </c:pt>
                <c:pt idx="5">
                  <c:v>0.37628682292189486</c:v>
                </c:pt>
                <c:pt idx="6">
                  <c:v>0.35453775600632187</c:v>
                </c:pt>
                <c:pt idx="7" formatCode="0.0%">
                  <c:v>0.36559050778530738</c:v>
                </c:pt>
                <c:pt idx="8" formatCode="0.0%">
                  <c:v>0.45068220124318298</c:v>
                </c:pt>
                <c:pt idx="9" formatCode="0.0%">
                  <c:v>0.46657264455755848</c:v>
                </c:pt>
                <c:pt idx="10" formatCode="0.0%">
                  <c:v>0.47613532286920834</c:v>
                </c:pt>
              </c:numCache>
            </c:numRef>
          </c:val>
          <c:smooth val="0"/>
        </c:ser>
        <c:ser>
          <c:idx val="1"/>
          <c:order val="1"/>
          <c:tx>
            <c:strRef>
              <c:f>Sheet9!$A$27</c:f>
              <c:strCache>
                <c:ptCount val="1"/>
                <c:pt idx="0">
                  <c:v>Government Revenue to GDP (%)</c:v>
                </c:pt>
              </c:strCache>
            </c:strRef>
          </c:tx>
          <c:spPr>
            <a:ln w="22225">
              <a:prstDash val="sysDash"/>
            </a:ln>
          </c:spPr>
          <c:marker>
            <c:symbol val="none"/>
          </c:marker>
          <c:cat>
            <c:strRef>
              <c:f>Sheet9!$B$1:$L$1</c:f>
              <c:strCache>
                <c:ptCount val="11"/>
                <c:pt idx="0">
                  <c:v>2003</c:v>
                </c:pt>
                <c:pt idx="1">
                  <c:v>2004</c:v>
                </c:pt>
                <c:pt idx="2">
                  <c:v>2005</c:v>
                </c:pt>
                <c:pt idx="3">
                  <c:v>2006</c:v>
                </c:pt>
                <c:pt idx="4">
                  <c:v>2007</c:v>
                </c:pt>
                <c:pt idx="5">
                  <c:v>2008</c:v>
                </c:pt>
                <c:pt idx="6">
                  <c:v>2009</c:v>
                </c:pt>
                <c:pt idx="7">
                  <c:v>2010</c:v>
                </c:pt>
                <c:pt idx="8">
                  <c:v>2011</c:v>
                </c:pt>
                <c:pt idx="9">
                  <c:v>2012</c:v>
                </c:pt>
                <c:pt idx="10">
                  <c:v>2013 e</c:v>
                </c:pt>
              </c:strCache>
            </c:strRef>
          </c:cat>
          <c:val>
            <c:numRef>
              <c:f>Sheet9!$B$27:$L$27</c:f>
              <c:numCache>
                <c:formatCode>0.0%</c:formatCode>
                <c:ptCount val="11"/>
                <c:pt idx="0">
                  <c:v>0.30282530034087851</c:v>
                </c:pt>
                <c:pt idx="1">
                  <c:v>0.30201882406807973</c:v>
                </c:pt>
                <c:pt idx="2">
                  <c:v>0.27580803101591894</c:v>
                </c:pt>
                <c:pt idx="3">
                  <c:v>0.33777531403216432</c:v>
                </c:pt>
                <c:pt idx="4">
                  <c:v>0.37938728264623234</c:v>
                </c:pt>
                <c:pt idx="5">
                  <c:v>0.33107269099169012</c:v>
                </c:pt>
                <c:pt idx="6">
                  <c:v>0.30254974701664644</c:v>
                </c:pt>
                <c:pt idx="7">
                  <c:v>0.37108119071555085</c:v>
                </c:pt>
                <c:pt idx="8">
                  <c:v>0.40298603847608128</c:v>
                </c:pt>
                <c:pt idx="9">
                  <c:v>0.35514070662323755</c:v>
                </c:pt>
                <c:pt idx="10">
                  <c:v>0.37169121895883672</c:v>
                </c:pt>
              </c:numCache>
            </c:numRef>
          </c:val>
          <c:smooth val="0"/>
        </c:ser>
        <c:dLbls>
          <c:showLegendKey val="0"/>
          <c:showVal val="0"/>
          <c:showCatName val="0"/>
          <c:showSerName val="0"/>
          <c:showPercent val="0"/>
          <c:showBubbleSize val="0"/>
        </c:dLbls>
        <c:marker val="1"/>
        <c:smooth val="0"/>
        <c:axId val="280570880"/>
        <c:axId val="280601344"/>
      </c:lineChart>
      <c:catAx>
        <c:axId val="280570880"/>
        <c:scaling>
          <c:orientation val="minMax"/>
        </c:scaling>
        <c:delete val="0"/>
        <c:axPos val="b"/>
        <c:numFmt formatCode="General" sourceLinked="0"/>
        <c:majorTickMark val="out"/>
        <c:minorTickMark val="none"/>
        <c:tickLblPos val="nextTo"/>
        <c:crossAx val="280601344"/>
        <c:crosses val="autoZero"/>
        <c:auto val="1"/>
        <c:lblAlgn val="ctr"/>
        <c:lblOffset val="100"/>
        <c:noMultiLvlLbl val="0"/>
      </c:catAx>
      <c:valAx>
        <c:axId val="280601344"/>
        <c:scaling>
          <c:orientation val="minMax"/>
          <c:min val="0.2"/>
        </c:scaling>
        <c:delete val="0"/>
        <c:axPos val="l"/>
        <c:majorGridlines>
          <c:spPr>
            <a:ln>
              <a:noFill/>
            </a:ln>
          </c:spPr>
        </c:majorGridlines>
        <c:numFmt formatCode="0%" sourceLinked="1"/>
        <c:majorTickMark val="out"/>
        <c:minorTickMark val="none"/>
        <c:tickLblPos val="nextTo"/>
        <c:crossAx val="280570880"/>
        <c:crosses val="autoZero"/>
        <c:crossBetween val="between"/>
      </c:valAx>
    </c:plotArea>
    <c:legend>
      <c:legendPos val="r"/>
      <c:layout>
        <c:manualLayout>
          <c:xMode val="edge"/>
          <c:yMode val="edge"/>
          <c:x val="9.2294378222850901E-2"/>
          <c:y val="5.2057558660571865E-2"/>
          <c:w val="0.61890813648293963"/>
          <c:h val="0.16008282884237471"/>
        </c:manualLayout>
      </c:layout>
      <c:overlay val="0"/>
    </c:legend>
    <c:plotVisOnly val="1"/>
    <c:dispBlanksAs val="gap"/>
    <c:showDLblsOverMax val="0"/>
  </c:chart>
  <c:spPr>
    <a:ln>
      <a:noFill/>
    </a:ln>
  </c:spPr>
  <c:txPr>
    <a:bodyPr/>
    <a:lstStyle/>
    <a:p>
      <a:pPr>
        <a:defRPr sz="700"/>
      </a:pPr>
      <a:endParaRPr lang="en-US"/>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3.2116869635668531E-2"/>
          <c:y val="2.466343222248734E-2"/>
          <c:w val="0.95493459452834095"/>
          <c:h val="0.84599518810148733"/>
        </c:manualLayout>
      </c:layout>
      <c:barChart>
        <c:barDir val="col"/>
        <c:grouping val="stacked"/>
        <c:varyColors val="0"/>
        <c:ser>
          <c:idx val="0"/>
          <c:order val="0"/>
          <c:tx>
            <c:strRef>
              <c:f>Sheet1!$A$3</c:f>
              <c:strCache>
                <c:ptCount val="1"/>
                <c:pt idx="0">
                  <c:v>Consumption</c:v>
                </c:pt>
              </c:strCache>
            </c:strRef>
          </c:tx>
          <c:spPr>
            <a:solidFill>
              <a:schemeClr val="tx2">
                <a:lumMod val="75000"/>
              </a:schemeClr>
            </a:solidFill>
          </c:spPr>
          <c:invertIfNegative val="0"/>
          <c:cat>
            <c:strRef>
              <c:f>Sheet1!$B$2:$AW$2</c:f>
              <c:strCache>
                <c:ptCount val="48"/>
                <c:pt idx="0">
                  <c:v>2007</c:v>
                </c:pt>
                <c:pt idx="1">
                  <c:v>2008</c:v>
                </c:pt>
                <c:pt idx="2">
                  <c:v>2009</c:v>
                </c:pt>
                <c:pt idx="3">
                  <c:v>2010</c:v>
                </c:pt>
                <c:pt idx="4">
                  <c:v>2011</c:v>
                </c:pt>
                <c:pt idx="5">
                  <c:v>2012</c:v>
                </c:pt>
                <c:pt idx="6">
                  <c:v>Q1-13</c:v>
                </c:pt>
                <c:pt idx="7">
                  <c:v>Q2-13</c:v>
                </c:pt>
                <c:pt idx="10">
                  <c:v>2007</c:v>
                </c:pt>
                <c:pt idx="11">
                  <c:v>2008</c:v>
                </c:pt>
                <c:pt idx="12">
                  <c:v>2009</c:v>
                </c:pt>
                <c:pt idx="13">
                  <c:v>2010</c:v>
                </c:pt>
                <c:pt idx="14">
                  <c:v>2011</c:v>
                </c:pt>
                <c:pt idx="15">
                  <c:v>2012</c:v>
                </c:pt>
                <c:pt idx="16">
                  <c:v>Q1-13</c:v>
                </c:pt>
                <c:pt idx="17">
                  <c:v>Q2-13</c:v>
                </c:pt>
                <c:pt idx="20">
                  <c:v>2007</c:v>
                </c:pt>
                <c:pt idx="21">
                  <c:v>2008</c:v>
                </c:pt>
                <c:pt idx="22">
                  <c:v>2009</c:v>
                </c:pt>
                <c:pt idx="23">
                  <c:v>2010</c:v>
                </c:pt>
                <c:pt idx="24">
                  <c:v>2011</c:v>
                </c:pt>
                <c:pt idx="25">
                  <c:v>2012</c:v>
                </c:pt>
                <c:pt idx="26">
                  <c:v>Q1-13</c:v>
                </c:pt>
                <c:pt idx="27">
                  <c:v>Q2-13</c:v>
                </c:pt>
                <c:pt idx="30">
                  <c:v>2007</c:v>
                </c:pt>
                <c:pt idx="31">
                  <c:v>2008</c:v>
                </c:pt>
                <c:pt idx="32">
                  <c:v>2009</c:v>
                </c:pt>
                <c:pt idx="33">
                  <c:v>2010</c:v>
                </c:pt>
                <c:pt idx="34">
                  <c:v>2011</c:v>
                </c:pt>
                <c:pt idx="35">
                  <c:v>2012</c:v>
                </c:pt>
                <c:pt idx="36">
                  <c:v>Q1-13</c:v>
                </c:pt>
                <c:pt idx="37">
                  <c:v>Q2-13</c:v>
                </c:pt>
                <c:pt idx="40">
                  <c:v>2007</c:v>
                </c:pt>
                <c:pt idx="41">
                  <c:v>2008</c:v>
                </c:pt>
                <c:pt idx="42">
                  <c:v>2009</c:v>
                </c:pt>
                <c:pt idx="43">
                  <c:v>2010</c:v>
                </c:pt>
                <c:pt idx="44">
                  <c:v>2011</c:v>
                </c:pt>
                <c:pt idx="45">
                  <c:v>2012</c:v>
                </c:pt>
                <c:pt idx="46">
                  <c:v>Q1-13</c:v>
                </c:pt>
                <c:pt idx="47">
                  <c:v>Q2-13</c:v>
                </c:pt>
              </c:strCache>
            </c:strRef>
          </c:cat>
          <c:val>
            <c:numRef>
              <c:f>Sheet1!$B$3:$AW$3</c:f>
              <c:numCache>
                <c:formatCode>General</c:formatCode>
                <c:ptCount val="48"/>
                <c:pt idx="0">
                  <c:v>5.6</c:v>
                </c:pt>
                <c:pt idx="1">
                  <c:v>4.2</c:v>
                </c:pt>
                <c:pt idx="2">
                  <c:v>4.5999999999999996</c:v>
                </c:pt>
                <c:pt idx="3">
                  <c:v>4.5</c:v>
                </c:pt>
                <c:pt idx="4">
                  <c:v>5.3</c:v>
                </c:pt>
                <c:pt idx="5">
                  <c:v>4.0999999999999996</c:v>
                </c:pt>
                <c:pt idx="6">
                  <c:v>4.3</c:v>
                </c:pt>
                <c:pt idx="7">
                  <c:v>3.4</c:v>
                </c:pt>
                <c:pt idx="10">
                  <c:v>3.2</c:v>
                </c:pt>
                <c:pt idx="11">
                  <c:v>3.9</c:v>
                </c:pt>
                <c:pt idx="12">
                  <c:v>4.0999999999999996</c:v>
                </c:pt>
                <c:pt idx="13">
                  <c:v>2.7</c:v>
                </c:pt>
                <c:pt idx="14">
                  <c:v>2.9</c:v>
                </c:pt>
                <c:pt idx="15">
                  <c:v>3</c:v>
                </c:pt>
                <c:pt idx="16">
                  <c:v>2.9</c:v>
                </c:pt>
                <c:pt idx="17">
                  <c:v>2.9</c:v>
                </c:pt>
                <c:pt idx="20">
                  <c:v>5.4</c:v>
                </c:pt>
                <c:pt idx="21">
                  <c:v>4.8</c:v>
                </c:pt>
                <c:pt idx="22">
                  <c:v>0.8</c:v>
                </c:pt>
                <c:pt idx="23">
                  <c:v>3.6</c:v>
                </c:pt>
                <c:pt idx="24">
                  <c:v>5.4</c:v>
                </c:pt>
                <c:pt idx="25">
                  <c:v>4.5</c:v>
                </c:pt>
                <c:pt idx="26">
                  <c:v>3.8</c:v>
                </c:pt>
                <c:pt idx="27">
                  <c:v>4.9000000000000004</c:v>
                </c:pt>
                <c:pt idx="30">
                  <c:v>4</c:v>
                </c:pt>
                <c:pt idx="31">
                  <c:v>2.7</c:v>
                </c:pt>
                <c:pt idx="32">
                  <c:v>2.7</c:v>
                </c:pt>
                <c:pt idx="33">
                  <c:v>2.8</c:v>
                </c:pt>
                <c:pt idx="34">
                  <c:v>4.0999999999999996</c:v>
                </c:pt>
                <c:pt idx="35">
                  <c:v>5.8</c:v>
                </c:pt>
                <c:pt idx="36">
                  <c:v>5.3</c:v>
                </c:pt>
                <c:pt idx="37">
                  <c:v>5.6</c:v>
                </c:pt>
                <c:pt idx="40">
                  <c:v>1.8</c:v>
                </c:pt>
                <c:pt idx="41">
                  <c:v>1.8</c:v>
                </c:pt>
                <c:pt idx="42">
                  <c:v>0.1</c:v>
                </c:pt>
                <c:pt idx="43">
                  <c:v>3.2</c:v>
                </c:pt>
                <c:pt idx="44">
                  <c:v>0.8</c:v>
                </c:pt>
                <c:pt idx="45">
                  <c:v>4.2</c:v>
                </c:pt>
                <c:pt idx="46">
                  <c:v>2.5</c:v>
                </c:pt>
                <c:pt idx="47">
                  <c:v>1.9</c:v>
                </c:pt>
              </c:numCache>
            </c:numRef>
          </c:val>
        </c:ser>
        <c:ser>
          <c:idx val="1"/>
          <c:order val="1"/>
          <c:tx>
            <c:strRef>
              <c:f>Sheet1!$A$4</c:f>
              <c:strCache>
                <c:ptCount val="1"/>
                <c:pt idx="0">
                  <c:v>Investment</c:v>
                </c:pt>
              </c:strCache>
            </c:strRef>
          </c:tx>
          <c:spPr>
            <a:solidFill>
              <a:schemeClr val="accent6">
                <a:lumMod val="75000"/>
              </a:schemeClr>
            </a:solidFill>
          </c:spPr>
          <c:invertIfNegative val="0"/>
          <c:val>
            <c:numRef>
              <c:f>Sheet1!$B$4:$AW$4</c:f>
              <c:numCache>
                <c:formatCode>General</c:formatCode>
                <c:ptCount val="48"/>
                <c:pt idx="0">
                  <c:v>6</c:v>
                </c:pt>
                <c:pt idx="1">
                  <c:v>4.5</c:v>
                </c:pt>
                <c:pt idx="2">
                  <c:v>8.1</c:v>
                </c:pt>
                <c:pt idx="3">
                  <c:v>5.5</c:v>
                </c:pt>
                <c:pt idx="4">
                  <c:v>4.4000000000000004</c:v>
                </c:pt>
                <c:pt idx="5">
                  <c:v>3.9</c:v>
                </c:pt>
                <c:pt idx="6">
                  <c:v>2.2999999999999998</c:v>
                </c:pt>
                <c:pt idx="7">
                  <c:v>4.0999999999999996</c:v>
                </c:pt>
                <c:pt idx="10">
                  <c:v>0.5</c:v>
                </c:pt>
                <c:pt idx="11">
                  <c:v>2.8</c:v>
                </c:pt>
                <c:pt idx="12">
                  <c:v>0.6</c:v>
                </c:pt>
                <c:pt idx="13">
                  <c:v>2.1</c:v>
                </c:pt>
                <c:pt idx="14">
                  <c:v>2.5</c:v>
                </c:pt>
                <c:pt idx="15">
                  <c:v>4.2</c:v>
                </c:pt>
                <c:pt idx="16">
                  <c:v>1.9</c:v>
                </c:pt>
                <c:pt idx="17">
                  <c:v>1.2</c:v>
                </c:pt>
                <c:pt idx="20">
                  <c:v>2.1</c:v>
                </c:pt>
                <c:pt idx="21">
                  <c:v>0.4</c:v>
                </c:pt>
                <c:pt idx="22">
                  <c:v>-2.2000000000000002</c:v>
                </c:pt>
                <c:pt idx="23">
                  <c:v>5</c:v>
                </c:pt>
                <c:pt idx="24">
                  <c:v>0.8</c:v>
                </c:pt>
                <c:pt idx="25">
                  <c:v>5</c:v>
                </c:pt>
                <c:pt idx="26">
                  <c:v>4</c:v>
                </c:pt>
                <c:pt idx="27">
                  <c:v>2.7</c:v>
                </c:pt>
                <c:pt idx="30">
                  <c:v>-0.1</c:v>
                </c:pt>
                <c:pt idx="31">
                  <c:v>3.7</c:v>
                </c:pt>
                <c:pt idx="32">
                  <c:v>-1.6</c:v>
                </c:pt>
                <c:pt idx="33">
                  <c:v>5.4</c:v>
                </c:pt>
                <c:pt idx="34">
                  <c:v>0.4</c:v>
                </c:pt>
                <c:pt idx="35">
                  <c:v>-0.6</c:v>
                </c:pt>
                <c:pt idx="36">
                  <c:v>6.5</c:v>
                </c:pt>
                <c:pt idx="37">
                  <c:v>2.2000000000000002</c:v>
                </c:pt>
                <c:pt idx="40">
                  <c:v>0.2</c:v>
                </c:pt>
                <c:pt idx="41">
                  <c:v>1.8</c:v>
                </c:pt>
                <c:pt idx="42">
                  <c:v>-5.9</c:v>
                </c:pt>
                <c:pt idx="43">
                  <c:v>5.2</c:v>
                </c:pt>
                <c:pt idx="44">
                  <c:v>0</c:v>
                </c:pt>
                <c:pt idx="45">
                  <c:v>3.6</c:v>
                </c:pt>
                <c:pt idx="46">
                  <c:v>1.7</c:v>
                </c:pt>
                <c:pt idx="47">
                  <c:v>1.3</c:v>
                </c:pt>
              </c:numCache>
            </c:numRef>
          </c:val>
        </c:ser>
        <c:ser>
          <c:idx val="2"/>
          <c:order val="2"/>
          <c:tx>
            <c:strRef>
              <c:f>Sheet1!$A$5</c:f>
              <c:strCache>
                <c:ptCount val="1"/>
                <c:pt idx="0">
                  <c:v>Net exports</c:v>
                </c:pt>
              </c:strCache>
            </c:strRef>
          </c:tx>
          <c:spPr>
            <a:solidFill>
              <a:schemeClr val="bg1">
                <a:lumMod val="50000"/>
              </a:schemeClr>
            </a:solidFill>
          </c:spPr>
          <c:invertIfNegative val="0"/>
          <c:val>
            <c:numRef>
              <c:f>Sheet1!$B$5:$AW$5</c:f>
              <c:numCache>
                <c:formatCode>General</c:formatCode>
                <c:ptCount val="48"/>
                <c:pt idx="0">
                  <c:v>2.6</c:v>
                </c:pt>
                <c:pt idx="1">
                  <c:v>0.9</c:v>
                </c:pt>
                <c:pt idx="2">
                  <c:v>-3.5</c:v>
                </c:pt>
                <c:pt idx="3">
                  <c:v>0.4</c:v>
                </c:pt>
                <c:pt idx="4">
                  <c:v>-0.4</c:v>
                </c:pt>
                <c:pt idx="5">
                  <c:v>-0.2</c:v>
                </c:pt>
                <c:pt idx="6">
                  <c:v>1.1000000000000001</c:v>
                </c:pt>
                <c:pt idx="7">
                  <c:v>0.1</c:v>
                </c:pt>
                <c:pt idx="10">
                  <c:v>0.6</c:v>
                </c:pt>
                <c:pt idx="11">
                  <c:v>0.7</c:v>
                </c:pt>
                <c:pt idx="12">
                  <c:v>1.2</c:v>
                </c:pt>
                <c:pt idx="13">
                  <c:v>0.9</c:v>
                </c:pt>
                <c:pt idx="14">
                  <c:v>1.5</c:v>
                </c:pt>
                <c:pt idx="15">
                  <c:v>-1.5</c:v>
                </c:pt>
                <c:pt idx="16">
                  <c:v>1.7</c:v>
                </c:pt>
                <c:pt idx="17">
                  <c:v>2</c:v>
                </c:pt>
                <c:pt idx="20">
                  <c:v>-1.2</c:v>
                </c:pt>
                <c:pt idx="21">
                  <c:v>-0.4</c:v>
                </c:pt>
                <c:pt idx="22">
                  <c:v>-0.2</c:v>
                </c:pt>
                <c:pt idx="23">
                  <c:v>-1.4</c:v>
                </c:pt>
                <c:pt idx="24">
                  <c:v>-1.1000000000000001</c:v>
                </c:pt>
                <c:pt idx="25">
                  <c:v>-3.8</c:v>
                </c:pt>
                <c:pt idx="26">
                  <c:v>-3.7</c:v>
                </c:pt>
                <c:pt idx="27">
                  <c:v>-3.3</c:v>
                </c:pt>
                <c:pt idx="30">
                  <c:v>2.7</c:v>
                </c:pt>
                <c:pt idx="31">
                  <c:v>-2.2000000000000002</c:v>
                </c:pt>
                <c:pt idx="32">
                  <c:v>0.1</c:v>
                </c:pt>
                <c:pt idx="33">
                  <c:v>-0.6</c:v>
                </c:pt>
                <c:pt idx="34">
                  <c:v>-0.9</c:v>
                </c:pt>
                <c:pt idx="35">
                  <c:v>1.6</c:v>
                </c:pt>
                <c:pt idx="36">
                  <c:v>-4.9000000000000004</c:v>
                </c:pt>
                <c:pt idx="37">
                  <c:v>-2</c:v>
                </c:pt>
                <c:pt idx="40">
                  <c:v>2.9</c:v>
                </c:pt>
                <c:pt idx="41">
                  <c:v>-1.2</c:v>
                </c:pt>
                <c:pt idx="42">
                  <c:v>3.4</c:v>
                </c:pt>
                <c:pt idx="43">
                  <c:v>-0.5</c:v>
                </c:pt>
                <c:pt idx="44">
                  <c:v>-0.7</c:v>
                </c:pt>
                <c:pt idx="45">
                  <c:v>-1.4</c:v>
                </c:pt>
                <c:pt idx="46">
                  <c:v>1.4</c:v>
                </c:pt>
                <c:pt idx="47">
                  <c:v>-0.4</c:v>
                </c:pt>
              </c:numCache>
            </c:numRef>
          </c:val>
        </c:ser>
        <c:dLbls>
          <c:showLegendKey val="0"/>
          <c:showVal val="0"/>
          <c:showCatName val="0"/>
          <c:showSerName val="0"/>
          <c:showPercent val="0"/>
          <c:showBubbleSize val="0"/>
        </c:dLbls>
        <c:gapWidth val="50"/>
        <c:overlap val="100"/>
        <c:axId val="225976704"/>
        <c:axId val="225979008"/>
      </c:barChart>
      <c:lineChart>
        <c:grouping val="standard"/>
        <c:varyColors val="0"/>
        <c:ser>
          <c:idx val="3"/>
          <c:order val="3"/>
          <c:tx>
            <c:strRef>
              <c:f>Sheet1!$A$6</c:f>
              <c:strCache>
                <c:ptCount val="1"/>
                <c:pt idx="0">
                  <c:v>GDP growth</c:v>
                </c:pt>
              </c:strCache>
            </c:strRef>
          </c:tx>
          <c:spPr>
            <a:ln w="19050">
              <a:solidFill>
                <a:schemeClr val="tx1">
                  <a:lumMod val="50000"/>
                  <a:lumOff val="50000"/>
                </a:schemeClr>
              </a:solidFill>
              <a:prstDash val="sysDot"/>
            </a:ln>
          </c:spPr>
          <c:marker>
            <c:symbol val="circle"/>
            <c:size val="5"/>
            <c:spPr>
              <a:solidFill>
                <a:schemeClr val="tx1"/>
              </a:solidFill>
            </c:spPr>
          </c:marker>
          <c:val>
            <c:numRef>
              <c:f>Sheet1!$B$6:$AW$6</c:f>
              <c:numCache>
                <c:formatCode>General</c:formatCode>
                <c:ptCount val="48"/>
                <c:pt idx="0">
                  <c:v>14.2</c:v>
                </c:pt>
                <c:pt idx="1">
                  <c:v>9.6</c:v>
                </c:pt>
                <c:pt idx="2">
                  <c:v>9.1999999999999993</c:v>
                </c:pt>
                <c:pt idx="3">
                  <c:v>10.4</c:v>
                </c:pt>
                <c:pt idx="4">
                  <c:v>9.3000000000000007</c:v>
                </c:pt>
                <c:pt idx="5">
                  <c:v>7.7</c:v>
                </c:pt>
                <c:pt idx="6">
                  <c:v>7.7</c:v>
                </c:pt>
                <c:pt idx="7">
                  <c:v>7.5</c:v>
                </c:pt>
                <c:pt idx="10">
                  <c:v>6.3</c:v>
                </c:pt>
                <c:pt idx="11">
                  <c:v>6</c:v>
                </c:pt>
                <c:pt idx="12">
                  <c:v>4.5999999999999996</c:v>
                </c:pt>
                <c:pt idx="13">
                  <c:v>6.2</c:v>
                </c:pt>
                <c:pt idx="14">
                  <c:v>6.5</c:v>
                </c:pt>
                <c:pt idx="15">
                  <c:v>6.2</c:v>
                </c:pt>
                <c:pt idx="16">
                  <c:v>6</c:v>
                </c:pt>
                <c:pt idx="17">
                  <c:v>5.8</c:v>
                </c:pt>
                <c:pt idx="20">
                  <c:v>6.3</c:v>
                </c:pt>
                <c:pt idx="21">
                  <c:v>4.8</c:v>
                </c:pt>
                <c:pt idx="22">
                  <c:v>-1.5</c:v>
                </c:pt>
                <c:pt idx="23">
                  <c:v>7.2</c:v>
                </c:pt>
                <c:pt idx="24">
                  <c:v>5.0999999999999996</c:v>
                </c:pt>
                <c:pt idx="25">
                  <c:v>5.6</c:v>
                </c:pt>
                <c:pt idx="26">
                  <c:v>4.0999999999999996</c:v>
                </c:pt>
                <c:pt idx="27">
                  <c:v>4.3</c:v>
                </c:pt>
                <c:pt idx="30">
                  <c:v>6.6</c:v>
                </c:pt>
                <c:pt idx="31">
                  <c:v>4.2</c:v>
                </c:pt>
                <c:pt idx="32">
                  <c:v>1.1000000000000001</c:v>
                </c:pt>
                <c:pt idx="33">
                  <c:v>7.6</c:v>
                </c:pt>
                <c:pt idx="34">
                  <c:v>3.6</c:v>
                </c:pt>
                <c:pt idx="35">
                  <c:v>6.8</c:v>
                </c:pt>
                <c:pt idx="36">
                  <c:v>7.7</c:v>
                </c:pt>
                <c:pt idx="37">
                  <c:v>7.5</c:v>
                </c:pt>
                <c:pt idx="40">
                  <c:v>5</c:v>
                </c:pt>
                <c:pt idx="41">
                  <c:v>2.5</c:v>
                </c:pt>
                <c:pt idx="42">
                  <c:v>-2.2999999999999998</c:v>
                </c:pt>
                <c:pt idx="43">
                  <c:v>7.8</c:v>
                </c:pt>
                <c:pt idx="44">
                  <c:v>0.1</c:v>
                </c:pt>
                <c:pt idx="45">
                  <c:v>6.5</c:v>
                </c:pt>
                <c:pt idx="46">
                  <c:v>5.4</c:v>
                </c:pt>
                <c:pt idx="47">
                  <c:v>2.8</c:v>
                </c:pt>
              </c:numCache>
            </c:numRef>
          </c:val>
          <c:smooth val="1"/>
        </c:ser>
        <c:dLbls>
          <c:showLegendKey val="0"/>
          <c:showVal val="0"/>
          <c:showCatName val="0"/>
          <c:showSerName val="0"/>
          <c:showPercent val="0"/>
          <c:showBubbleSize val="0"/>
        </c:dLbls>
        <c:marker val="1"/>
        <c:smooth val="0"/>
        <c:axId val="225976704"/>
        <c:axId val="225979008"/>
      </c:lineChart>
      <c:catAx>
        <c:axId val="225976704"/>
        <c:scaling>
          <c:orientation val="minMax"/>
        </c:scaling>
        <c:delete val="0"/>
        <c:axPos val="b"/>
        <c:majorTickMark val="out"/>
        <c:minorTickMark val="none"/>
        <c:tickLblPos val="low"/>
        <c:txPr>
          <a:bodyPr/>
          <a:lstStyle/>
          <a:p>
            <a:pPr>
              <a:defRPr sz="700"/>
            </a:pPr>
            <a:endParaRPr lang="en-US"/>
          </a:p>
        </c:txPr>
        <c:crossAx val="225979008"/>
        <c:crosses val="autoZero"/>
        <c:auto val="1"/>
        <c:lblAlgn val="ctr"/>
        <c:lblOffset val="100"/>
        <c:noMultiLvlLbl val="0"/>
      </c:catAx>
      <c:valAx>
        <c:axId val="225979008"/>
        <c:scaling>
          <c:orientation val="minMax"/>
        </c:scaling>
        <c:delete val="0"/>
        <c:axPos val="l"/>
        <c:majorGridlines>
          <c:spPr>
            <a:ln>
              <a:noFill/>
            </a:ln>
          </c:spPr>
        </c:majorGridlines>
        <c:numFmt formatCode="General" sourceLinked="1"/>
        <c:majorTickMark val="out"/>
        <c:minorTickMark val="none"/>
        <c:tickLblPos val="nextTo"/>
        <c:crossAx val="225976704"/>
        <c:crosses val="autoZero"/>
        <c:crossBetween val="between"/>
      </c:valAx>
    </c:plotArea>
    <c:legend>
      <c:legendPos val="b"/>
      <c:layout>
        <c:manualLayout>
          <c:xMode val="edge"/>
          <c:yMode val="edge"/>
          <c:x val="0.15133874949953291"/>
          <c:y val="0.7474475065616798"/>
          <c:w val="0.72246661500447518"/>
          <c:h val="8.0330271216097981E-2"/>
        </c:manualLayout>
      </c:layout>
      <c:overlay val="0"/>
    </c:legend>
    <c:plotVisOnly val="1"/>
    <c:dispBlanksAs val="gap"/>
    <c:showDLblsOverMax val="0"/>
  </c:chart>
  <c:spPr>
    <a:ln w="9525">
      <a:noFill/>
    </a:ln>
  </c:spPr>
  <c:txPr>
    <a:bodyPr/>
    <a:lstStyle/>
    <a:p>
      <a:pPr>
        <a:defRPr sz="600">
          <a:latin typeface="Calibri"/>
          <a:ea typeface="Calibri"/>
          <a:cs typeface="Calibri"/>
        </a:defRPr>
      </a:pPr>
      <a:endParaRPr lang="en-US"/>
    </a:p>
  </c:txPr>
  <c:externalData r:id="rId1">
    <c:autoUpdate val="0"/>
  </c:externalData>
  <c:userShapes r:id="rId2"/>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1988407699037624E-2"/>
          <c:y val="5.1400554097404488E-2"/>
          <c:w val="0.90997047244094553"/>
          <c:h val="0.8326195683872849"/>
        </c:manualLayout>
      </c:layout>
      <c:barChart>
        <c:barDir val="col"/>
        <c:grouping val="stacked"/>
        <c:varyColors val="0"/>
        <c:ser>
          <c:idx val="0"/>
          <c:order val="0"/>
          <c:tx>
            <c:strRef>
              <c:f>'public debt'!$A$9</c:f>
              <c:strCache>
                <c:ptCount val="1"/>
                <c:pt idx="0">
                  <c:v>External debt (% to GDP)</c:v>
                </c:pt>
              </c:strCache>
            </c:strRef>
          </c:tx>
          <c:invertIfNegative val="0"/>
          <c:cat>
            <c:numRef>
              <c:f>'public debt'!$B$1:$E$1</c:f>
              <c:numCache>
                <c:formatCode>General</c:formatCode>
                <c:ptCount val="4"/>
                <c:pt idx="0">
                  <c:v>2009</c:v>
                </c:pt>
                <c:pt idx="1">
                  <c:v>2010</c:v>
                </c:pt>
                <c:pt idx="2">
                  <c:v>2011</c:v>
                </c:pt>
                <c:pt idx="3">
                  <c:v>2012</c:v>
                </c:pt>
              </c:numCache>
            </c:numRef>
          </c:cat>
          <c:val>
            <c:numRef>
              <c:f>'public debt'!$B$9:$E$9</c:f>
              <c:numCache>
                <c:formatCode>General</c:formatCode>
                <c:ptCount val="4"/>
                <c:pt idx="0">
                  <c:v>45.1</c:v>
                </c:pt>
                <c:pt idx="1">
                  <c:v>30.799999999999986</c:v>
                </c:pt>
                <c:pt idx="2">
                  <c:v>27.9</c:v>
                </c:pt>
                <c:pt idx="3">
                  <c:v>48.3</c:v>
                </c:pt>
              </c:numCache>
            </c:numRef>
          </c:val>
        </c:ser>
        <c:ser>
          <c:idx val="1"/>
          <c:order val="1"/>
          <c:tx>
            <c:strRef>
              <c:f>'public debt'!$A$10</c:f>
              <c:strCache>
                <c:ptCount val="1"/>
                <c:pt idx="0">
                  <c:v>Domestic debt (% to GDP)</c:v>
                </c:pt>
              </c:strCache>
            </c:strRef>
          </c:tx>
          <c:invertIfNegative val="0"/>
          <c:cat>
            <c:numRef>
              <c:f>'public debt'!$B$1:$E$1</c:f>
              <c:numCache>
                <c:formatCode>General</c:formatCode>
                <c:ptCount val="4"/>
                <c:pt idx="0">
                  <c:v>2009</c:v>
                </c:pt>
                <c:pt idx="1">
                  <c:v>2010</c:v>
                </c:pt>
                <c:pt idx="2">
                  <c:v>2011</c:v>
                </c:pt>
                <c:pt idx="3">
                  <c:v>2012</c:v>
                </c:pt>
              </c:numCache>
            </c:numRef>
          </c:cat>
          <c:val>
            <c:numRef>
              <c:f>'public debt'!$B$10:$E$10</c:f>
              <c:numCache>
                <c:formatCode>General</c:formatCode>
                <c:ptCount val="4"/>
                <c:pt idx="0">
                  <c:v>3.4</c:v>
                </c:pt>
                <c:pt idx="1">
                  <c:v>5.0999999999999996</c:v>
                </c:pt>
                <c:pt idx="2">
                  <c:v>10.9</c:v>
                </c:pt>
                <c:pt idx="3">
                  <c:v>14.7</c:v>
                </c:pt>
              </c:numCache>
            </c:numRef>
          </c:val>
        </c:ser>
        <c:dLbls>
          <c:showLegendKey val="0"/>
          <c:showVal val="0"/>
          <c:showCatName val="0"/>
          <c:showSerName val="0"/>
          <c:showPercent val="0"/>
          <c:showBubbleSize val="0"/>
        </c:dLbls>
        <c:gapWidth val="150"/>
        <c:overlap val="100"/>
        <c:axId val="280624128"/>
        <c:axId val="280642304"/>
      </c:barChart>
      <c:lineChart>
        <c:grouping val="standard"/>
        <c:varyColors val="0"/>
        <c:ser>
          <c:idx val="2"/>
          <c:order val="2"/>
          <c:tx>
            <c:v>Public Debt (% to GDP)</c:v>
          </c:tx>
          <c:spPr>
            <a:ln w="22225"/>
          </c:spPr>
          <c:val>
            <c:numRef>
              <c:f>'public debt'!$B$8:$E$8</c:f>
              <c:numCache>
                <c:formatCode>General</c:formatCode>
                <c:ptCount val="4"/>
                <c:pt idx="0">
                  <c:v>48.5</c:v>
                </c:pt>
                <c:pt idx="1">
                  <c:v>35.9</c:v>
                </c:pt>
                <c:pt idx="2">
                  <c:v>38.800000000000004</c:v>
                </c:pt>
                <c:pt idx="3">
                  <c:v>63</c:v>
                </c:pt>
              </c:numCache>
            </c:numRef>
          </c:val>
          <c:smooth val="0"/>
        </c:ser>
        <c:dLbls>
          <c:showLegendKey val="0"/>
          <c:showVal val="0"/>
          <c:showCatName val="0"/>
          <c:showSerName val="0"/>
          <c:showPercent val="0"/>
          <c:showBubbleSize val="0"/>
        </c:dLbls>
        <c:marker val="1"/>
        <c:smooth val="0"/>
        <c:axId val="280624128"/>
        <c:axId val="280642304"/>
      </c:lineChart>
      <c:catAx>
        <c:axId val="280624128"/>
        <c:scaling>
          <c:orientation val="minMax"/>
        </c:scaling>
        <c:delete val="0"/>
        <c:axPos val="b"/>
        <c:numFmt formatCode="General" sourceLinked="1"/>
        <c:majorTickMark val="out"/>
        <c:minorTickMark val="none"/>
        <c:tickLblPos val="nextTo"/>
        <c:crossAx val="280642304"/>
        <c:crosses val="autoZero"/>
        <c:auto val="1"/>
        <c:lblAlgn val="ctr"/>
        <c:lblOffset val="100"/>
        <c:noMultiLvlLbl val="0"/>
      </c:catAx>
      <c:valAx>
        <c:axId val="280642304"/>
        <c:scaling>
          <c:orientation val="minMax"/>
        </c:scaling>
        <c:delete val="0"/>
        <c:axPos val="l"/>
        <c:majorGridlines>
          <c:spPr>
            <a:ln>
              <a:noFill/>
            </a:ln>
          </c:spPr>
        </c:majorGridlines>
        <c:numFmt formatCode="General" sourceLinked="1"/>
        <c:majorTickMark val="out"/>
        <c:minorTickMark val="none"/>
        <c:tickLblPos val="nextTo"/>
        <c:crossAx val="280624128"/>
        <c:crosses val="autoZero"/>
        <c:crossBetween val="between"/>
      </c:valAx>
    </c:plotArea>
    <c:legend>
      <c:legendPos val="r"/>
      <c:layout>
        <c:manualLayout>
          <c:xMode val="edge"/>
          <c:yMode val="edge"/>
          <c:x val="6.9931493811208917E-2"/>
          <c:y val="3.2391874928677437E-3"/>
          <c:w val="0.49531732845751691"/>
          <c:h val="0.28572178477690291"/>
        </c:manualLayout>
      </c:layout>
      <c:overlay val="0"/>
    </c:legend>
    <c:plotVisOnly val="1"/>
    <c:dispBlanksAs val="gap"/>
    <c:showDLblsOverMax val="0"/>
  </c:chart>
  <c:spPr>
    <a:ln>
      <a:noFill/>
    </a:ln>
  </c:spPr>
  <c:txPr>
    <a:bodyPr/>
    <a:lstStyle/>
    <a:p>
      <a:pPr>
        <a:defRPr sz="700"/>
      </a:pPr>
      <a:endParaRPr lang="en-US"/>
    </a:p>
  </c:txPr>
  <c:externalData r:id="rId1">
    <c:autoUpdate val="0"/>
  </c:externalData>
  <c:userShapes r:id="rId2"/>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5894070933441174E-2"/>
          <c:y val="2.7692251160924976E-2"/>
          <c:w val="0.89898310788074487"/>
          <c:h val="0.81392909361628019"/>
        </c:manualLayout>
      </c:layout>
      <c:lineChart>
        <c:grouping val="standard"/>
        <c:varyColors val="0"/>
        <c:ser>
          <c:idx val="0"/>
          <c:order val="0"/>
          <c:tx>
            <c:v>Capital Spending to GDP (%)</c:v>
          </c:tx>
          <c:spPr>
            <a:ln w="22225"/>
          </c:spPr>
          <c:marker>
            <c:symbol val="none"/>
          </c:marker>
          <c:cat>
            <c:strRef>
              <c:f>Sheet9!$C$1:$M$1</c:f>
              <c:strCache>
                <c:ptCount val="11"/>
                <c:pt idx="0">
                  <c:v>2003</c:v>
                </c:pt>
                <c:pt idx="1">
                  <c:v>2004</c:v>
                </c:pt>
                <c:pt idx="2">
                  <c:v>2005</c:v>
                </c:pt>
                <c:pt idx="3">
                  <c:v>2006</c:v>
                </c:pt>
                <c:pt idx="4">
                  <c:v>2007</c:v>
                </c:pt>
                <c:pt idx="5">
                  <c:v>2008</c:v>
                </c:pt>
                <c:pt idx="6">
                  <c:v>2009</c:v>
                </c:pt>
                <c:pt idx="7">
                  <c:v>2010</c:v>
                </c:pt>
                <c:pt idx="8">
                  <c:v>2011</c:v>
                </c:pt>
                <c:pt idx="9">
                  <c:v>2012</c:v>
                </c:pt>
                <c:pt idx="10">
                  <c:v>2013 e</c:v>
                </c:pt>
              </c:strCache>
            </c:strRef>
          </c:cat>
          <c:val>
            <c:numRef>
              <c:f>Sheet9!$C$25:$M$25</c:f>
              <c:numCache>
                <c:formatCode>0.0%</c:formatCode>
                <c:ptCount val="11"/>
                <c:pt idx="0">
                  <c:v>4.9459550526168461E-2</c:v>
                </c:pt>
                <c:pt idx="1">
                  <c:v>4.4421809952413134E-2</c:v>
                </c:pt>
                <c:pt idx="2">
                  <c:v>2.9531773505994816E-2</c:v>
                </c:pt>
                <c:pt idx="3">
                  <c:v>4.3617362923141424E-2</c:v>
                </c:pt>
                <c:pt idx="4">
                  <c:v>6.0423572888662895E-2</c:v>
                </c:pt>
                <c:pt idx="5">
                  <c:v>9.5245696870720709E-2</c:v>
                </c:pt>
                <c:pt idx="6">
                  <c:v>6.9881635536419406E-2</c:v>
                </c:pt>
                <c:pt idx="7">
                  <c:v>6.7111597052375363E-2</c:v>
                </c:pt>
                <c:pt idx="8">
                  <c:v>0.11552592711009042</c:v>
                </c:pt>
                <c:pt idx="9">
                  <c:v>0.13429232371253991</c:v>
                </c:pt>
                <c:pt idx="10">
                  <c:v>0.21096084017042735</c:v>
                </c:pt>
              </c:numCache>
            </c:numRef>
          </c:val>
          <c:smooth val="0"/>
        </c:ser>
        <c:ser>
          <c:idx val="1"/>
          <c:order val="1"/>
          <c:tx>
            <c:v>Recurrent Spending to GDP (%)</c:v>
          </c:tx>
          <c:spPr>
            <a:ln w="22225"/>
          </c:spPr>
          <c:marker>
            <c:symbol val="none"/>
          </c:marker>
          <c:cat>
            <c:strRef>
              <c:f>Sheet9!$C$1:$M$1</c:f>
              <c:strCache>
                <c:ptCount val="11"/>
                <c:pt idx="0">
                  <c:v>2003</c:v>
                </c:pt>
                <c:pt idx="1">
                  <c:v>2004</c:v>
                </c:pt>
                <c:pt idx="2">
                  <c:v>2005</c:v>
                </c:pt>
                <c:pt idx="3">
                  <c:v>2006</c:v>
                </c:pt>
                <c:pt idx="4">
                  <c:v>2007</c:v>
                </c:pt>
                <c:pt idx="5">
                  <c:v>2008</c:v>
                </c:pt>
                <c:pt idx="6">
                  <c:v>2009</c:v>
                </c:pt>
                <c:pt idx="7">
                  <c:v>2010</c:v>
                </c:pt>
                <c:pt idx="8">
                  <c:v>2011</c:v>
                </c:pt>
                <c:pt idx="9">
                  <c:v>2012</c:v>
                </c:pt>
                <c:pt idx="10">
                  <c:v>2013 e</c:v>
                </c:pt>
              </c:strCache>
            </c:strRef>
          </c:cat>
          <c:val>
            <c:numRef>
              <c:f>Sheet9!$C$26:$M$26</c:f>
              <c:numCache>
                <c:formatCode>0.0%</c:formatCode>
                <c:ptCount val="11"/>
                <c:pt idx="0">
                  <c:v>0.28719819422089482</c:v>
                </c:pt>
                <c:pt idx="1">
                  <c:v>0.27427223711605681</c:v>
                </c:pt>
                <c:pt idx="2">
                  <c:v>0.22186425553321573</c:v>
                </c:pt>
                <c:pt idx="3">
                  <c:v>0.26351857430601838</c:v>
                </c:pt>
                <c:pt idx="4">
                  <c:v>0.29209506698935384</c:v>
                </c:pt>
                <c:pt idx="5">
                  <c:v>0.28104112605117315</c:v>
                </c:pt>
                <c:pt idx="6">
                  <c:v>0.28465612046990296</c:v>
                </c:pt>
                <c:pt idx="7">
                  <c:v>0.29847891073293253</c:v>
                </c:pt>
                <c:pt idx="8">
                  <c:v>0.33515627413309296</c:v>
                </c:pt>
                <c:pt idx="9">
                  <c:v>0.33228032084501902</c:v>
                </c:pt>
                <c:pt idx="10">
                  <c:v>0.2651744826987813</c:v>
                </c:pt>
              </c:numCache>
            </c:numRef>
          </c:val>
          <c:smooth val="0"/>
        </c:ser>
        <c:dLbls>
          <c:showLegendKey val="0"/>
          <c:showVal val="0"/>
          <c:showCatName val="0"/>
          <c:showSerName val="0"/>
          <c:showPercent val="0"/>
          <c:showBubbleSize val="0"/>
        </c:dLbls>
        <c:marker val="1"/>
        <c:smooth val="0"/>
        <c:axId val="280660224"/>
        <c:axId val="280662016"/>
      </c:lineChart>
      <c:catAx>
        <c:axId val="280660224"/>
        <c:scaling>
          <c:orientation val="minMax"/>
        </c:scaling>
        <c:delete val="0"/>
        <c:axPos val="b"/>
        <c:numFmt formatCode="General" sourceLinked="0"/>
        <c:majorTickMark val="out"/>
        <c:minorTickMark val="none"/>
        <c:tickLblPos val="nextTo"/>
        <c:crossAx val="280662016"/>
        <c:crosses val="autoZero"/>
        <c:auto val="1"/>
        <c:lblAlgn val="ctr"/>
        <c:lblOffset val="100"/>
        <c:noMultiLvlLbl val="0"/>
      </c:catAx>
      <c:valAx>
        <c:axId val="280662016"/>
        <c:scaling>
          <c:orientation val="minMax"/>
        </c:scaling>
        <c:delete val="0"/>
        <c:axPos val="l"/>
        <c:majorGridlines>
          <c:spPr>
            <a:ln>
              <a:noFill/>
            </a:ln>
          </c:spPr>
        </c:majorGridlines>
        <c:numFmt formatCode="0%" sourceLinked="0"/>
        <c:majorTickMark val="out"/>
        <c:minorTickMark val="none"/>
        <c:tickLblPos val="nextTo"/>
        <c:crossAx val="280660224"/>
        <c:crosses val="autoZero"/>
        <c:crossBetween val="between"/>
      </c:valAx>
    </c:plotArea>
    <c:legend>
      <c:legendPos val="r"/>
      <c:layout>
        <c:manualLayout>
          <c:xMode val="edge"/>
          <c:yMode val="edge"/>
          <c:x val="0.11540358448793971"/>
          <c:y val="2.6232410897530471E-2"/>
          <c:w val="0.51222390470421886"/>
          <c:h val="0.21432820897387828"/>
        </c:manualLayout>
      </c:layout>
      <c:overlay val="0"/>
    </c:legend>
    <c:plotVisOnly val="1"/>
    <c:dispBlanksAs val="gap"/>
    <c:showDLblsOverMax val="0"/>
  </c:chart>
  <c:spPr>
    <a:ln>
      <a:noFill/>
    </a:ln>
  </c:spPr>
  <c:txPr>
    <a:bodyPr/>
    <a:lstStyle/>
    <a:p>
      <a:pPr>
        <a:defRPr sz="700"/>
      </a:pPr>
      <a:endParaRPr lang="en-US"/>
    </a:p>
  </c:txPr>
  <c:externalData r:id="rId1">
    <c:autoUpdate val="0"/>
  </c:externalData>
  <c:userShapes r:id="rId2"/>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2356173817469763E-2"/>
          <c:y val="0.17049074110711057"/>
          <c:w val="0.8196063768549452"/>
          <c:h val="0.67517706928634769"/>
        </c:manualLayout>
      </c:layout>
      <c:barChart>
        <c:barDir val="col"/>
        <c:grouping val="clustered"/>
        <c:varyColors val="0"/>
        <c:ser>
          <c:idx val="0"/>
          <c:order val="0"/>
          <c:tx>
            <c:v>Reserve Money (in MNT bn, Right Axis)</c:v>
          </c:tx>
          <c:spPr>
            <a:solidFill>
              <a:srgbClr val="00B050"/>
            </a:solidFill>
          </c:spPr>
          <c:invertIfNegative val="0"/>
          <c:cat>
            <c:numRef>
              <c:f>'Mnth BoM data'!$FZ$1:$HR$1</c:f>
              <c:numCache>
                <c:formatCode>mmm\-yy</c:formatCode>
                <c:ptCount val="45"/>
                <c:pt idx="0">
                  <c:v>40179</c:v>
                </c:pt>
                <c:pt idx="1">
                  <c:v>40210</c:v>
                </c:pt>
                <c:pt idx="2">
                  <c:v>40238</c:v>
                </c:pt>
                <c:pt idx="3">
                  <c:v>40269</c:v>
                </c:pt>
                <c:pt idx="4">
                  <c:v>40299</c:v>
                </c:pt>
                <c:pt idx="5">
                  <c:v>40330</c:v>
                </c:pt>
                <c:pt idx="6">
                  <c:v>40360</c:v>
                </c:pt>
                <c:pt idx="7">
                  <c:v>40391</c:v>
                </c:pt>
                <c:pt idx="8">
                  <c:v>40422</c:v>
                </c:pt>
                <c:pt idx="9">
                  <c:v>40452</c:v>
                </c:pt>
                <c:pt idx="10">
                  <c:v>40483</c:v>
                </c:pt>
                <c:pt idx="11">
                  <c:v>40513</c:v>
                </c:pt>
                <c:pt idx="12">
                  <c:v>40544</c:v>
                </c:pt>
                <c:pt idx="13">
                  <c:v>40575</c:v>
                </c:pt>
                <c:pt idx="14">
                  <c:v>40603</c:v>
                </c:pt>
                <c:pt idx="15">
                  <c:v>40634</c:v>
                </c:pt>
                <c:pt idx="16">
                  <c:v>40664</c:v>
                </c:pt>
                <c:pt idx="17">
                  <c:v>40695</c:v>
                </c:pt>
                <c:pt idx="18">
                  <c:v>40725</c:v>
                </c:pt>
                <c:pt idx="19">
                  <c:v>40756</c:v>
                </c:pt>
                <c:pt idx="20">
                  <c:v>40787</c:v>
                </c:pt>
                <c:pt idx="21">
                  <c:v>40817</c:v>
                </c:pt>
                <c:pt idx="22">
                  <c:v>40848</c:v>
                </c:pt>
                <c:pt idx="23">
                  <c:v>40878</c:v>
                </c:pt>
                <c:pt idx="24">
                  <c:v>40909</c:v>
                </c:pt>
                <c:pt idx="25">
                  <c:v>40940</c:v>
                </c:pt>
                <c:pt idx="26">
                  <c:v>40969</c:v>
                </c:pt>
                <c:pt idx="27">
                  <c:v>41000</c:v>
                </c:pt>
                <c:pt idx="28">
                  <c:v>41030</c:v>
                </c:pt>
                <c:pt idx="29">
                  <c:v>41061</c:v>
                </c:pt>
                <c:pt idx="30">
                  <c:v>41091</c:v>
                </c:pt>
                <c:pt idx="31">
                  <c:v>41122</c:v>
                </c:pt>
                <c:pt idx="32">
                  <c:v>41153</c:v>
                </c:pt>
                <c:pt idx="33">
                  <c:v>41183</c:v>
                </c:pt>
                <c:pt idx="34">
                  <c:v>41214</c:v>
                </c:pt>
                <c:pt idx="35">
                  <c:v>41244</c:v>
                </c:pt>
                <c:pt idx="36">
                  <c:v>41275</c:v>
                </c:pt>
                <c:pt idx="37">
                  <c:v>41306</c:v>
                </c:pt>
                <c:pt idx="38">
                  <c:v>41334</c:v>
                </c:pt>
                <c:pt idx="39">
                  <c:v>41365</c:v>
                </c:pt>
                <c:pt idx="40">
                  <c:v>41395</c:v>
                </c:pt>
                <c:pt idx="41">
                  <c:v>41426</c:v>
                </c:pt>
                <c:pt idx="42">
                  <c:v>41456</c:v>
                </c:pt>
                <c:pt idx="43">
                  <c:v>41487</c:v>
                </c:pt>
                <c:pt idx="44">
                  <c:v>41518</c:v>
                </c:pt>
              </c:numCache>
            </c:numRef>
          </c:cat>
          <c:val>
            <c:numRef>
              <c:f>'Mnth BoM data'!$FZ$15:$HR$15</c:f>
              <c:numCache>
                <c:formatCode>_(* #,##0.00_);_(* \(#,##0.00\);_(* "-"??_);_(@_)</c:formatCode>
                <c:ptCount val="45"/>
                <c:pt idx="0">
                  <c:v>626879.76799999923</c:v>
                </c:pt>
                <c:pt idx="1">
                  <c:v>663152.89699999988</c:v>
                </c:pt>
                <c:pt idx="2">
                  <c:v>678070.51339999936</c:v>
                </c:pt>
                <c:pt idx="3">
                  <c:v>745982.63899999997</c:v>
                </c:pt>
                <c:pt idx="4">
                  <c:v>712997.57249999919</c:v>
                </c:pt>
                <c:pt idx="5">
                  <c:v>838829.64749999996</c:v>
                </c:pt>
                <c:pt idx="6">
                  <c:v>773709.31200000003</c:v>
                </c:pt>
                <c:pt idx="7">
                  <c:v>738649.25399999996</c:v>
                </c:pt>
                <c:pt idx="8">
                  <c:v>778315.04200000002</c:v>
                </c:pt>
                <c:pt idx="9">
                  <c:v>807334.87540000002</c:v>
                </c:pt>
                <c:pt idx="10">
                  <c:v>772744.56189444626</c:v>
                </c:pt>
                <c:pt idx="11">
                  <c:v>945477.27989444498</c:v>
                </c:pt>
                <c:pt idx="12">
                  <c:v>893825.26389444584</c:v>
                </c:pt>
                <c:pt idx="13">
                  <c:v>848292.35200000042</c:v>
                </c:pt>
                <c:pt idx="14">
                  <c:v>1016737.6240000001</c:v>
                </c:pt>
                <c:pt idx="15">
                  <c:v>1163836.4720000001</c:v>
                </c:pt>
                <c:pt idx="16">
                  <c:v>1272422.6240000001</c:v>
                </c:pt>
                <c:pt idx="17">
                  <c:v>1276181.73045441</c:v>
                </c:pt>
                <c:pt idx="18">
                  <c:v>1344762.64785833</c:v>
                </c:pt>
                <c:pt idx="19">
                  <c:v>1289789.1334211</c:v>
                </c:pt>
                <c:pt idx="20">
                  <c:v>1398843.9724210999</c:v>
                </c:pt>
                <c:pt idx="21">
                  <c:v>1484223.4634210998</c:v>
                </c:pt>
                <c:pt idx="22">
                  <c:v>1516592.5494130014</c:v>
                </c:pt>
                <c:pt idx="23">
                  <c:v>1659753.2510209184</c:v>
                </c:pt>
                <c:pt idx="24">
                  <c:v>1553309.9082918083</c:v>
                </c:pt>
                <c:pt idx="25">
                  <c:v>1516624.5820000011</c:v>
                </c:pt>
                <c:pt idx="26">
                  <c:v>1814594.8555747098</c:v>
                </c:pt>
                <c:pt idx="27">
                  <c:v>1703941.3564146312</c:v>
                </c:pt>
                <c:pt idx="28">
                  <c:v>1825322.5319000001</c:v>
                </c:pt>
                <c:pt idx="29">
                  <c:v>2281350.2849707012</c:v>
                </c:pt>
                <c:pt idx="30">
                  <c:v>1947278.2073156401</c:v>
                </c:pt>
                <c:pt idx="31">
                  <c:v>1943101.3630000008</c:v>
                </c:pt>
                <c:pt idx="32">
                  <c:v>2404182.5860000001</c:v>
                </c:pt>
                <c:pt idx="33">
                  <c:v>2148057.446</c:v>
                </c:pt>
                <c:pt idx="34">
                  <c:v>2224661.0260000001</c:v>
                </c:pt>
                <c:pt idx="35">
                  <c:v>2166224.032999997</c:v>
                </c:pt>
                <c:pt idx="36">
                  <c:v>2165579.1030999999</c:v>
                </c:pt>
                <c:pt idx="37">
                  <c:v>2270599.4900999987</c:v>
                </c:pt>
                <c:pt idx="38">
                  <c:v>2467567.8130999971</c:v>
                </c:pt>
                <c:pt idx="39">
                  <c:v>2497314.0970999999</c:v>
                </c:pt>
                <c:pt idx="40">
                  <c:v>2800873.5934941298</c:v>
                </c:pt>
                <c:pt idx="41">
                  <c:v>3509282.9144941298</c:v>
                </c:pt>
                <c:pt idx="42">
                  <c:v>3102771.1197258872</c:v>
                </c:pt>
                <c:pt idx="43">
                  <c:v>2601735.201725889</c:v>
                </c:pt>
                <c:pt idx="44">
                  <c:v>2943077.0226550247</c:v>
                </c:pt>
              </c:numCache>
            </c:numRef>
          </c:val>
        </c:ser>
        <c:ser>
          <c:idx val="2"/>
          <c:order val="2"/>
          <c:tx>
            <c:v>Central Bank Loans to Banks (in MNT bn, Right Axis)</c:v>
          </c:tx>
          <c:spPr>
            <a:solidFill>
              <a:srgbClr val="7030A0"/>
            </a:solidFill>
          </c:spPr>
          <c:invertIfNegative val="0"/>
          <c:cat>
            <c:numRef>
              <c:f>'Mnth BoM data'!$FZ$1:$HR$1</c:f>
              <c:numCache>
                <c:formatCode>mmm\-yy</c:formatCode>
                <c:ptCount val="45"/>
                <c:pt idx="0">
                  <c:v>40179</c:v>
                </c:pt>
                <c:pt idx="1">
                  <c:v>40210</c:v>
                </c:pt>
                <c:pt idx="2">
                  <c:v>40238</c:v>
                </c:pt>
                <c:pt idx="3">
                  <c:v>40269</c:v>
                </c:pt>
                <c:pt idx="4">
                  <c:v>40299</c:v>
                </c:pt>
                <c:pt idx="5">
                  <c:v>40330</c:v>
                </c:pt>
                <c:pt idx="6">
                  <c:v>40360</c:v>
                </c:pt>
                <c:pt idx="7">
                  <c:v>40391</c:v>
                </c:pt>
                <c:pt idx="8">
                  <c:v>40422</c:v>
                </c:pt>
                <c:pt idx="9">
                  <c:v>40452</c:v>
                </c:pt>
                <c:pt idx="10">
                  <c:v>40483</c:v>
                </c:pt>
                <c:pt idx="11">
                  <c:v>40513</c:v>
                </c:pt>
                <c:pt idx="12">
                  <c:v>40544</c:v>
                </c:pt>
                <c:pt idx="13">
                  <c:v>40575</c:v>
                </c:pt>
                <c:pt idx="14">
                  <c:v>40603</c:v>
                </c:pt>
                <c:pt idx="15">
                  <c:v>40634</c:v>
                </c:pt>
                <c:pt idx="16">
                  <c:v>40664</c:v>
                </c:pt>
                <c:pt idx="17">
                  <c:v>40695</c:v>
                </c:pt>
                <c:pt idx="18">
                  <c:v>40725</c:v>
                </c:pt>
                <c:pt idx="19">
                  <c:v>40756</c:v>
                </c:pt>
                <c:pt idx="20">
                  <c:v>40787</c:v>
                </c:pt>
                <c:pt idx="21">
                  <c:v>40817</c:v>
                </c:pt>
                <c:pt idx="22">
                  <c:v>40848</c:v>
                </c:pt>
                <c:pt idx="23">
                  <c:v>40878</c:v>
                </c:pt>
                <c:pt idx="24">
                  <c:v>40909</c:v>
                </c:pt>
                <c:pt idx="25">
                  <c:v>40940</c:v>
                </c:pt>
                <c:pt idx="26">
                  <c:v>40969</c:v>
                </c:pt>
                <c:pt idx="27">
                  <c:v>41000</c:v>
                </c:pt>
                <c:pt idx="28">
                  <c:v>41030</c:v>
                </c:pt>
                <c:pt idx="29">
                  <c:v>41061</c:v>
                </c:pt>
                <c:pt idx="30">
                  <c:v>41091</c:v>
                </c:pt>
                <c:pt idx="31">
                  <c:v>41122</c:v>
                </c:pt>
                <c:pt idx="32">
                  <c:v>41153</c:v>
                </c:pt>
                <c:pt idx="33">
                  <c:v>41183</c:v>
                </c:pt>
                <c:pt idx="34">
                  <c:v>41214</c:v>
                </c:pt>
                <c:pt idx="35">
                  <c:v>41244</c:v>
                </c:pt>
                <c:pt idx="36">
                  <c:v>41275</c:v>
                </c:pt>
                <c:pt idx="37">
                  <c:v>41306</c:v>
                </c:pt>
                <c:pt idx="38">
                  <c:v>41334</c:v>
                </c:pt>
                <c:pt idx="39">
                  <c:v>41365</c:v>
                </c:pt>
                <c:pt idx="40">
                  <c:v>41395</c:v>
                </c:pt>
                <c:pt idx="41">
                  <c:v>41426</c:v>
                </c:pt>
                <c:pt idx="42">
                  <c:v>41456</c:v>
                </c:pt>
                <c:pt idx="43">
                  <c:v>41487</c:v>
                </c:pt>
                <c:pt idx="44">
                  <c:v>41518</c:v>
                </c:pt>
              </c:numCache>
            </c:numRef>
          </c:cat>
          <c:val>
            <c:numRef>
              <c:f>'Mnth BoM data'!$FZ$176:$HR$176</c:f>
              <c:numCache>
                <c:formatCode>_(* #,##0.00_);_(* \(#,##0.00\);_(* "-"??_);_(@_)</c:formatCode>
                <c:ptCount val="45"/>
                <c:pt idx="0">
                  <c:v>191328.92599999998</c:v>
                </c:pt>
                <c:pt idx="1">
                  <c:v>199276.628</c:v>
                </c:pt>
                <c:pt idx="2">
                  <c:v>171068.26080000011</c:v>
                </c:pt>
                <c:pt idx="3">
                  <c:v>161224.38979999977</c:v>
                </c:pt>
                <c:pt idx="4">
                  <c:v>159741.33199999982</c:v>
                </c:pt>
                <c:pt idx="5">
                  <c:v>157739.6134</c:v>
                </c:pt>
                <c:pt idx="6">
                  <c:v>158061.42399999982</c:v>
                </c:pt>
                <c:pt idx="7">
                  <c:v>153567.7205</c:v>
                </c:pt>
                <c:pt idx="8">
                  <c:v>154207.87099999998</c:v>
                </c:pt>
                <c:pt idx="9">
                  <c:v>154011.41159999982</c:v>
                </c:pt>
                <c:pt idx="10">
                  <c:v>132937.94</c:v>
                </c:pt>
                <c:pt idx="11">
                  <c:v>131316.30419999981</c:v>
                </c:pt>
                <c:pt idx="12">
                  <c:v>127748.473</c:v>
                </c:pt>
                <c:pt idx="13">
                  <c:v>128222.814</c:v>
                </c:pt>
                <c:pt idx="14">
                  <c:v>128006.52499999999</c:v>
                </c:pt>
                <c:pt idx="15">
                  <c:v>141296.12700000001</c:v>
                </c:pt>
                <c:pt idx="16">
                  <c:v>124219.81299999997</c:v>
                </c:pt>
                <c:pt idx="17">
                  <c:v>215392.17033858018</c:v>
                </c:pt>
                <c:pt idx="18">
                  <c:v>149869.04966563001</c:v>
                </c:pt>
                <c:pt idx="19">
                  <c:v>118420.09299999994</c:v>
                </c:pt>
                <c:pt idx="20">
                  <c:v>118242.87400000005</c:v>
                </c:pt>
                <c:pt idx="21">
                  <c:v>126422.83500000002</c:v>
                </c:pt>
                <c:pt idx="22">
                  <c:v>131076.90399999998</c:v>
                </c:pt>
                <c:pt idx="23">
                  <c:v>341506.05900000001</c:v>
                </c:pt>
                <c:pt idx="24">
                  <c:v>123249.12699999999</c:v>
                </c:pt>
                <c:pt idx="25">
                  <c:v>176856.802</c:v>
                </c:pt>
                <c:pt idx="26">
                  <c:v>544486.65158415993</c:v>
                </c:pt>
                <c:pt idx="27">
                  <c:v>269817.93922080036</c:v>
                </c:pt>
                <c:pt idx="28">
                  <c:v>216370.52475326983</c:v>
                </c:pt>
                <c:pt idx="29">
                  <c:v>403609.46</c:v>
                </c:pt>
                <c:pt idx="30">
                  <c:v>196885.84399999998</c:v>
                </c:pt>
                <c:pt idx="31">
                  <c:v>254375.42245596999</c:v>
                </c:pt>
                <c:pt idx="32">
                  <c:v>257528.52599999998</c:v>
                </c:pt>
                <c:pt idx="33">
                  <c:v>188822.66099999999</c:v>
                </c:pt>
                <c:pt idx="34">
                  <c:v>181954.00659999982</c:v>
                </c:pt>
                <c:pt idx="35">
                  <c:v>400642.67401993996</c:v>
                </c:pt>
                <c:pt idx="36">
                  <c:v>707646.74508599995</c:v>
                </c:pt>
                <c:pt idx="37">
                  <c:v>1038194.3350000004</c:v>
                </c:pt>
                <c:pt idx="38">
                  <c:v>1214564.8890000011</c:v>
                </c:pt>
                <c:pt idx="39">
                  <c:v>1261352.1940000008</c:v>
                </c:pt>
                <c:pt idx="40">
                  <c:v>1769917.048</c:v>
                </c:pt>
                <c:pt idx="41">
                  <c:v>2882932.9010000001</c:v>
                </c:pt>
                <c:pt idx="42">
                  <c:v>3048301.6470860029</c:v>
                </c:pt>
                <c:pt idx="43">
                  <c:v>3194096.609051717</c:v>
                </c:pt>
                <c:pt idx="44">
                  <c:v>3591701.5498181428</c:v>
                </c:pt>
              </c:numCache>
            </c:numRef>
          </c:val>
        </c:ser>
        <c:dLbls>
          <c:showLegendKey val="0"/>
          <c:showVal val="0"/>
          <c:showCatName val="0"/>
          <c:showSerName val="0"/>
          <c:showPercent val="0"/>
          <c:showBubbleSize val="0"/>
        </c:dLbls>
        <c:gapWidth val="150"/>
        <c:axId val="280714240"/>
        <c:axId val="280712320"/>
      </c:barChart>
      <c:lineChart>
        <c:grouping val="standard"/>
        <c:varyColors val="0"/>
        <c:ser>
          <c:idx val="1"/>
          <c:order val="1"/>
          <c:tx>
            <c:v>Reserve Money Growth (yoy, %, Left Axis)</c:v>
          </c:tx>
          <c:spPr>
            <a:ln w="25400">
              <a:prstDash val="sysDash"/>
            </a:ln>
          </c:spPr>
          <c:marker>
            <c:symbol val="none"/>
          </c:marker>
          <c:cat>
            <c:numRef>
              <c:f>'Mnth BoM data'!$FZ$1:$HQ$1</c:f>
              <c:numCache>
                <c:formatCode>mmm\-yy</c:formatCode>
                <c:ptCount val="44"/>
                <c:pt idx="0">
                  <c:v>40179</c:v>
                </c:pt>
                <c:pt idx="1">
                  <c:v>40210</c:v>
                </c:pt>
                <c:pt idx="2">
                  <c:v>40238</c:v>
                </c:pt>
                <c:pt idx="3">
                  <c:v>40269</c:v>
                </c:pt>
                <c:pt idx="4">
                  <c:v>40299</c:v>
                </c:pt>
                <c:pt idx="5">
                  <c:v>40330</c:v>
                </c:pt>
                <c:pt idx="6">
                  <c:v>40360</c:v>
                </c:pt>
                <c:pt idx="7">
                  <c:v>40391</c:v>
                </c:pt>
                <c:pt idx="8">
                  <c:v>40422</c:v>
                </c:pt>
                <c:pt idx="9">
                  <c:v>40452</c:v>
                </c:pt>
                <c:pt idx="10">
                  <c:v>40483</c:v>
                </c:pt>
                <c:pt idx="11">
                  <c:v>40513</c:v>
                </c:pt>
                <c:pt idx="12">
                  <c:v>40544</c:v>
                </c:pt>
                <c:pt idx="13">
                  <c:v>40575</c:v>
                </c:pt>
                <c:pt idx="14">
                  <c:v>40603</c:v>
                </c:pt>
                <c:pt idx="15">
                  <c:v>40634</c:v>
                </c:pt>
                <c:pt idx="16">
                  <c:v>40664</c:v>
                </c:pt>
                <c:pt idx="17">
                  <c:v>40695</c:v>
                </c:pt>
                <c:pt idx="18">
                  <c:v>40725</c:v>
                </c:pt>
                <c:pt idx="19">
                  <c:v>40756</c:v>
                </c:pt>
                <c:pt idx="20">
                  <c:v>40787</c:v>
                </c:pt>
                <c:pt idx="21">
                  <c:v>40817</c:v>
                </c:pt>
                <c:pt idx="22">
                  <c:v>40848</c:v>
                </c:pt>
                <c:pt idx="23">
                  <c:v>40878</c:v>
                </c:pt>
                <c:pt idx="24">
                  <c:v>40909</c:v>
                </c:pt>
                <c:pt idx="25">
                  <c:v>40940</c:v>
                </c:pt>
                <c:pt idx="26">
                  <c:v>40969</c:v>
                </c:pt>
                <c:pt idx="27">
                  <c:v>41000</c:v>
                </c:pt>
                <c:pt idx="28">
                  <c:v>41030</c:v>
                </c:pt>
                <c:pt idx="29">
                  <c:v>41061</c:v>
                </c:pt>
                <c:pt idx="30">
                  <c:v>41091</c:v>
                </c:pt>
                <c:pt idx="31">
                  <c:v>41122</c:v>
                </c:pt>
                <c:pt idx="32">
                  <c:v>41153</c:v>
                </c:pt>
                <c:pt idx="33">
                  <c:v>41183</c:v>
                </c:pt>
                <c:pt idx="34">
                  <c:v>41214</c:v>
                </c:pt>
                <c:pt idx="35">
                  <c:v>41244</c:v>
                </c:pt>
                <c:pt idx="36">
                  <c:v>41275</c:v>
                </c:pt>
                <c:pt idx="37">
                  <c:v>41306</c:v>
                </c:pt>
                <c:pt idx="38">
                  <c:v>41334</c:v>
                </c:pt>
                <c:pt idx="39">
                  <c:v>41365</c:v>
                </c:pt>
                <c:pt idx="40">
                  <c:v>41395</c:v>
                </c:pt>
                <c:pt idx="41">
                  <c:v>41426</c:v>
                </c:pt>
                <c:pt idx="42">
                  <c:v>41456</c:v>
                </c:pt>
                <c:pt idx="43">
                  <c:v>41487</c:v>
                </c:pt>
              </c:numCache>
            </c:numRef>
          </c:cat>
          <c:val>
            <c:numRef>
              <c:f>'Mnth BoM data'!$FZ$16:$HR$16</c:f>
              <c:numCache>
                <c:formatCode>_(* #,##0.00_);_(* \(#,##0.00\);_(* "-"??_);_(@_)</c:formatCode>
                <c:ptCount val="45"/>
                <c:pt idx="0">
                  <c:v>8.4005421990430147</c:v>
                </c:pt>
                <c:pt idx="1">
                  <c:v>2.2862880638811873</c:v>
                </c:pt>
                <c:pt idx="2">
                  <c:v>15.362218520159844</c:v>
                </c:pt>
                <c:pt idx="3">
                  <c:v>39.155764746399768</c:v>
                </c:pt>
                <c:pt idx="4">
                  <c:v>28.118599489456244</c:v>
                </c:pt>
                <c:pt idx="5">
                  <c:v>11.868984804039737</c:v>
                </c:pt>
                <c:pt idx="6">
                  <c:v>17.229280972836229</c:v>
                </c:pt>
                <c:pt idx="7">
                  <c:v>6.2760142577846096</c:v>
                </c:pt>
                <c:pt idx="8">
                  <c:v>18.122052886696636</c:v>
                </c:pt>
                <c:pt idx="9">
                  <c:v>10.541697410766517</c:v>
                </c:pt>
                <c:pt idx="10">
                  <c:v>28.486862759652155</c:v>
                </c:pt>
                <c:pt idx="11">
                  <c:v>28.976628225183731</c:v>
                </c:pt>
                <c:pt idx="12">
                  <c:v>42.583204869748577</c:v>
                </c:pt>
                <c:pt idx="13">
                  <c:v>27.918064723466067</c:v>
                </c:pt>
                <c:pt idx="14">
                  <c:v>49.945706811795446</c:v>
                </c:pt>
                <c:pt idx="15">
                  <c:v>56.013881711796699</c:v>
                </c:pt>
                <c:pt idx="16">
                  <c:v>78.461003666320508</c:v>
                </c:pt>
                <c:pt idx="17">
                  <c:v>52.138367338096486</c:v>
                </c:pt>
                <c:pt idx="18">
                  <c:v>73.807220231353526</c:v>
                </c:pt>
                <c:pt idx="19">
                  <c:v>74.614558457416379</c:v>
                </c:pt>
                <c:pt idx="20">
                  <c:v>79.727218020424658</c:v>
                </c:pt>
                <c:pt idx="21">
                  <c:v>83.842356950792038</c:v>
                </c:pt>
                <c:pt idx="22">
                  <c:v>96.260526983839597</c:v>
                </c:pt>
                <c:pt idx="23">
                  <c:v>75.546603426178507</c:v>
                </c:pt>
                <c:pt idx="24">
                  <c:v>73.782278375524214</c:v>
                </c:pt>
                <c:pt idx="25">
                  <c:v>78.627009876982925</c:v>
                </c:pt>
                <c:pt idx="26">
                  <c:v>78.042184811893989</c:v>
                </c:pt>
                <c:pt idx="27">
                  <c:v>46.407282930950259</c:v>
                </c:pt>
                <c:pt idx="28">
                  <c:v>43.452536717863325</c:v>
                </c:pt>
                <c:pt idx="29">
                  <c:v>81.07505328360098</c:v>
                </c:pt>
                <c:pt idx="30">
                  <c:v>46.569903355811959</c:v>
                </c:pt>
                <c:pt idx="31">
                  <c:v>50.652638687226485</c:v>
                </c:pt>
                <c:pt idx="32">
                  <c:v>71.869245848689815</c:v>
                </c:pt>
                <c:pt idx="33">
                  <c:v>44.726013227737212</c:v>
                </c:pt>
                <c:pt idx="34">
                  <c:v>46.688115200161093</c:v>
                </c:pt>
                <c:pt idx="35">
                  <c:v>30.514823915395141</c:v>
                </c:pt>
                <c:pt idx="36">
                  <c:v>39.417066197788387</c:v>
                </c:pt>
                <c:pt idx="37">
                  <c:v>49.714010774223354</c:v>
                </c:pt>
                <c:pt idx="38">
                  <c:v>35.984503952452975</c:v>
                </c:pt>
                <c:pt idx="39">
                  <c:v>46.561035548474287</c:v>
                </c:pt>
                <c:pt idx="40">
                  <c:v>53.445407293508126</c:v>
                </c:pt>
                <c:pt idx="41">
                  <c:v>53.824817592148044</c:v>
                </c:pt>
                <c:pt idx="42">
                  <c:v>59.33887146013479</c:v>
                </c:pt>
                <c:pt idx="43">
                  <c:v>33.896010330053279</c:v>
                </c:pt>
                <c:pt idx="44">
                  <c:v>22.414871474117938</c:v>
                </c:pt>
              </c:numCache>
            </c:numRef>
          </c:val>
          <c:smooth val="0"/>
        </c:ser>
        <c:dLbls>
          <c:showLegendKey val="0"/>
          <c:showVal val="0"/>
          <c:showCatName val="0"/>
          <c:showSerName val="0"/>
          <c:showPercent val="0"/>
          <c:showBubbleSize val="0"/>
        </c:dLbls>
        <c:marker val="1"/>
        <c:smooth val="0"/>
        <c:axId val="280700800"/>
        <c:axId val="280702336"/>
      </c:lineChart>
      <c:dateAx>
        <c:axId val="280700800"/>
        <c:scaling>
          <c:orientation val="minMax"/>
          <c:max val="41518"/>
          <c:min val="40238"/>
        </c:scaling>
        <c:delete val="0"/>
        <c:axPos val="b"/>
        <c:numFmt formatCode="mmm\-yy" sourceLinked="1"/>
        <c:majorTickMark val="out"/>
        <c:minorTickMark val="none"/>
        <c:tickLblPos val="nextTo"/>
        <c:txPr>
          <a:bodyPr/>
          <a:lstStyle/>
          <a:p>
            <a:pPr>
              <a:defRPr sz="600"/>
            </a:pPr>
            <a:endParaRPr lang="en-US"/>
          </a:p>
        </c:txPr>
        <c:crossAx val="280702336"/>
        <c:crosses val="autoZero"/>
        <c:auto val="1"/>
        <c:lblOffset val="100"/>
        <c:baseTimeUnit val="months"/>
      </c:dateAx>
      <c:valAx>
        <c:axId val="280702336"/>
        <c:scaling>
          <c:orientation val="minMax"/>
        </c:scaling>
        <c:delete val="0"/>
        <c:axPos val="l"/>
        <c:majorGridlines>
          <c:spPr>
            <a:ln>
              <a:noFill/>
            </a:ln>
          </c:spPr>
        </c:majorGridlines>
        <c:numFmt formatCode="General" sourceLinked="0"/>
        <c:majorTickMark val="out"/>
        <c:minorTickMark val="none"/>
        <c:tickLblPos val="nextTo"/>
        <c:crossAx val="280700800"/>
        <c:crosses val="autoZero"/>
        <c:crossBetween val="between"/>
      </c:valAx>
      <c:valAx>
        <c:axId val="280712320"/>
        <c:scaling>
          <c:orientation val="minMax"/>
        </c:scaling>
        <c:delete val="0"/>
        <c:axPos val="r"/>
        <c:numFmt formatCode="General" sourceLinked="0"/>
        <c:majorTickMark val="out"/>
        <c:minorTickMark val="none"/>
        <c:tickLblPos val="nextTo"/>
        <c:crossAx val="280714240"/>
        <c:crosses val="max"/>
        <c:crossBetween val="between"/>
        <c:dispUnits>
          <c:builtInUnit val="thousands"/>
        </c:dispUnits>
      </c:valAx>
      <c:dateAx>
        <c:axId val="280714240"/>
        <c:scaling>
          <c:orientation val="minMax"/>
        </c:scaling>
        <c:delete val="1"/>
        <c:axPos val="b"/>
        <c:numFmt formatCode="mmm\-yy" sourceLinked="1"/>
        <c:majorTickMark val="out"/>
        <c:minorTickMark val="none"/>
        <c:tickLblPos val="nextTo"/>
        <c:crossAx val="280712320"/>
        <c:crosses val="autoZero"/>
        <c:auto val="1"/>
        <c:lblOffset val="100"/>
        <c:baseTimeUnit val="months"/>
      </c:dateAx>
    </c:plotArea>
    <c:legend>
      <c:legendPos val="r"/>
      <c:layout>
        <c:manualLayout>
          <c:xMode val="edge"/>
          <c:yMode val="edge"/>
          <c:x val="9.8224574229979433E-2"/>
          <c:y val="4.3397598227357316E-2"/>
          <c:w val="0.82937965312330009"/>
          <c:h val="0.20841437006949295"/>
        </c:manualLayout>
      </c:layout>
      <c:overlay val="0"/>
    </c:legend>
    <c:plotVisOnly val="1"/>
    <c:dispBlanksAs val="gap"/>
    <c:showDLblsOverMax val="0"/>
  </c:chart>
  <c:spPr>
    <a:ln>
      <a:noFill/>
    </a:ln>
  </c:spPr>
  <c:txPr>
    <a:bodyPr/>
    <a:lstStyle/>
    <a:p>
      <a:pPr>
        <a:defRPr sz="700"/>
      </a:pPr>
      <a:endParaRPr lang="en-US"/>
    </a:p>
  </c:txPr>
  <c:externalData r:id="rId1">
    <c:autoUpdate val="0"/>
  </c:externalData>
  <c:userShapes r:id="rId2"/>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158573928258985"/>
          <c:y val="5.1400554097404488E-2"/>
          <c:w val="0.86102449693788385"/>
          <c:h val="0.81884368620589221"/>
        </c:manualLayout>
      </c:layout>
      <c:lineChart>
        <c:grouping val="standard"/>
        <c:varyColors val="0"/>
        <c:ser>
          <c:idx val="1"/>
          <c:order val="0"/>
          <c:tx>
            <c:strRef>
              <c:f>'Domesic Credit Internation'!$A$39</c:f>
              <c:strCache>
                <c:ptCount val="1"/>
                <c:pt idx="0">
                  <c:v>Indonesia</c:v>
                </c:pt>
              </c:strCache>
            </c:strRef>
          </c:tx>
          <c:spPr>
            <a:ln w="22225"/>
          </c:spPr>
          <c:marker>
            <c:symbol val="none"/>
          </c:marker>
          <c:cat>
            <c:strRef>
              <c:f>'Domesic Credit Internation'!$D$1:$BF$1</c:f>
              <c:strCache>
                <c:ptCount val="19"/>
                <c:pt idx="0">
                  <c:v>Q1-2009</c:v>
                </c:pt>
                <c:pt idx="1">
                  <c:v>Q2-2009</c:v>
                </c:pt>
                <c:pt idx="2">
                  <c:v>Q3-2009</c:v>
                </c:pt>
                <c:pt idx="3">
                  <c:v>Q4-2009</c:v>
                </c:pt>
                <c:pt idx="4">
                  <c:v>Q1-2010</c:v>
                </c:pt>
                <c:pt idx="5">
                  <c:v>Q2-2010</c:v>
                </c:pt>
                <c:pt idx="6">
                  <c:v>Q3-2010</c:v>
                </c:pt>
                <c:pt idx="7">
                  <c:v>Q4-2010</c:v>
                </c:pt>
                <c:pt idx="8">
                  <c:v>Q1-2011</c:v>
                </c:pt>
                <c:pt idx="9">
                  <c:v>Q2-2011</c:v>
                </c:pt>
                <c:pt idx="10">
                  <c:v>Q3-2011</c:v>
                </c:pt>
                <c:pt idx="11">
                  <c:v>Q4-2011</c:v>
                </c:pt>
                <c:pt idx="12">
                  <c:v>Q1-2012</c:v>
                </c:pt>
                <c:pt idx="13">
                  <c:v>Q2-2012</c:v>
                </c:pt>
                <c:pt idx="14">
                  <c:v>Q3-2012</c:v>
                </c:pt>
                <c:pt idx="15">
                  <c:v>Q4-2012</c:v>
                </c:pt>
                <c:pt idx="16">
                  <c:v>Q1-2013</c:v>
                </c:pt>
                <c:pt idx="17">
                  <c:v>Q2-2013</c:v>
                </c:pt>
                <c:pt idx="18">
                  <c:v>Q3-2013</c:v>
                </c:pt>
              </c:strCache>
            </c:strRef>
          </c:cat>
          <c:val>
            <c:numRef>
              <c:f>'Domesic Credit Internation'!$B$39:$BF$39</c:f>
              <c:numCache>
                <c:formatCode>0.0</c:formatCode>
                <c:ptCount val="19"/>
                <c:pt idx="0">
                  <c:v>25.905851506191087</c:v>
                </c:pt>
                <c:pt idx="1">
                  <c:v>15.85877163281808</c:v>
                </c:pt>
                <c:pt idx="2">
                  <c:v>9.5620694896677563</c:v>
                </c:pt>
                <c:pt idx="3">
                  <c:v>10.117796773356336</c:v>
                </c:pt>
                <c:pt idx="4">
                  <c:v>12.44882653658</c:v>
                </c:pt>
                <c:pt idx="5">
                  <c:v>20.556520929072491</c:v>
                </c:pt>
                <c:pt idx="6">
                  <c:v>22.494309938057345</c:v>
                </c:pt>
                <c:pt idx="7">
                  <c:v>23.278347921769818</c:v>
                </c:pt>
                <c:pt idx="8">
                  <c:v>24.741652661521464</c:v>
                </c:pt>
                <c:pt idx="9">
                  <c:v>22.965793968656129</c:v>
                </c:pt>
                <c:pt idx="10">
                  <c:v>25.230648725433685</c:v>
                </c:pt>
                <c:pt idx="11">
                  <c:v>24.673904085050449</c:v>
                </c:pt>
                <c:pt idx="12">
                  <c:v>24.892550182307716</c:v>
                </c:pt>
                <c:pt idx="13">
                  <c:v>25.68226172720885</c:v>
                </c:pt>
                <c:pt idx="14">
                  <c:v>23.013526224195626</c:v>
                </c:pt>
                <c:pt idx="15">
                  <c:v>23.131378769924737</c:v>
                </c:pt>
                <c:pt idx="16">
                  <c:v>22.233946501502686</c:v>
                </c:pt>
                <c:pt idx="17">
                  <c:v>20.758063716190431</c:v>
                </c:pt>
              </c:numCache>
            </c:numRef>
          </c:val>
          <c:smooth val="1"/>
        </c:ser>
        <c:ser>
          <c:idx val="3"/>
          <c:order val="1"/>
          <c:tx>
            <c:strRef>
              <c:f>'Domesic Credit Internation'!$A$41</c:f>
              <c:strCache>
                <c:ptCount val="1"/>
                <c:pt idx="0">
                  <c:v>Philippines</c:v>
                </c:pt>
              </c:strCache>
            </c:strRef>
          </c:tx>
          <c:spPr>
            <a:ln w="22225"/>
          </c:spPr>
          <c:marker>
            <c:symbol val="none"/>
          </c:marker>
          <c:cat>
            <c:strRef>
              <c:f>'Domesic Credit Internation'!$D$1:$BF$1</c:f>
              <c:strCache>
                <c:ptCount val="19"/>
                <c:pt idx="0">
                  <c:v>Q1-2009</c:v>
                </c:pt>
                <c:pt idx="1">
                  <c:v>Q2-2009</c:v>
                </c:pt>
                <c:pt idx="2">
                  <c:v>Q3-2009</c:v>
                </c:pt>
                <c:pt idx="3">
                  <c:v>Q4-2009</c:v>
                </c:pt>
                <c:pt idx="4">
                  <c:v>Q1-2010</c:v>
                </c:pt>
                <c:pt idx="5">
                  <c:v>Q2-2010</c:v>
                </c:pt>
                <c:pt idx="6">
                  <c:v>Q3-2010</c:v>
                </c:pt>
                <c:pt idx="7">
                  <c:v>Q4-2010</c:v>
                </c:pt>
                <c:pt idx="8">
                  <c:v>Q1-2011</c:v>
                </c:pt>
                <c:pt idx="9">
                  <c:v>Q2-2011</c:v>
                </c:pt>
                <c:pt idx="10">
                  <c:v>Q3-2011</c:v>
                </c:pt>
                <c:pt idx="11">
                  <c:v>Q4-2011</c:v>
                </c:pt>
                <c:pt idx="12">
                  <c:v>Q1-2012</c:v>
                </c:pt>
                <c:pt idx="13">
                  <c:v>Q2-2012</c:v>
                </c:pt>
                <c:pt idx="14">
                  <c:v>Q3-2012</c:v>
                </c:pt>
                <c:pt idx="15">
                  <c:v>Q4-2012</c:v>
                </c:pt>
                <c:pt idx="16">
                  <c:v>Q1-2013</c:v>
                </c:pt>
                <c:pt idx="17">
                  <c:v>Q2-2013</c:v>
                </c:pt>
                <c:pt idx="18">
                  <c:v>Q3-2013</c:v>
                </c:pt>
              </c:strCache>
            </c:strRef>
          </c:cat>
          <c:val>
            <c:numRef>
              <c:f>'Domesic Credit Internation'!$B$41:$BF$41</c:f>
              <c:numCache>
                <c:formatCode>0.0</c:formatCode>
                <c:ptCount val="19"/>
                <c:pt idx="0">
                  <c:v>20.786905889467089</c:v>
                </c:pt>
                <c:pt idx="1">
                  <c:v>11.08221734684761</c:v>
                </c:pt>
                <c:pt idx="2">
                  <c:v>6.1083185695865465</c:v>
                </c:pt>
                <c:pt idx="3">
                  <c:v>9.0676932965998667</c:v>
                </c:pt>
                <c:pt idx="4">
                  <c:v>-0.92303786043269609</c:v>
                </c:pt>
                <c:pt idx="5">
                  <c:v>5.4764918815565728</c:v>
                </c:pt>
                <c:pt idx="6">
                  <c:v>10.161108320945921</c:v>
                </c:pt>
                <c:pt idx="7">
                  <c:v>8.9143105997997463</c:v>
                </c:pt>
                <c:pt idx="8">
                  <c:v>16.768066431674587</c:v>
                </c:pt>
                <c:pt idx="9">
                  <c:v>20.577346473548488</c:v>
                </c:pt>
                <c:pt idx="10">
                  <c:v>18.92838211319771</c:v>
                </c:pt>
                <c:pt idx="11">
                  <c:v>16.363805483381434</c:v>
                </c:pt>
                <c:pt idx="12">
                  <c:v>17.74373168323817</c:v>
                </c:pt>
                <c:pt idx="13">
                  <c:v>12.204524254141024</c:v>
                </c:pt>
                <c:pt idx="14">
                  <c:v>14.227772182965083</c:v>
                </c:pt>
                <c:pt idx="15">
                  <c:v>15.439238325204352</c:v>
                </c:pt>
                <c:pt idx="16">
                  <c:v>14.703547055032429</c:v>
                </c:pt>
                <c:pt idx="17">
                  <c:v>12.952665690124777</c:v>
                </c:pt>
              </c:numCache>
            </c:numRef>
          </c:val>
          <c:smooth val="1"/>
        </c:ser>
        <c:ser>
          <c:idx val="9"/>
          <c:order val="2"/>
          <c:tx>
            <c:strRef>
              <c:f>'Domesic Credit Internation'!$A$47</c:f>
              <c:strCache>
                <c:ptCount val="1"/>
                <c:pt idx="0">
                  <c:v>Vietnam</c:v>
                </c:pt>
              </c:strCache>
            </c:strRef>
          </c:tx>
          <c:spPr>
            <a:ln w="22225"/>
          </c:spPr>
          <c:marker>
            <c:symbol val="none"/>
          </c:marker>
          <c:cat>
            <c:strRef>
              <c:f>'Domesic Credit Internation'!$D$1:$BF$1</c:f>
              <c:strCache>
                <c:ptCount val="19"/>
                <c:pt idx="0">
                  <c:v>Q1-2009</c:v>
                </c:pt>
                <c:pt idx="1">
                  <c:v>Q2-2009</c:v>
                </c:pt>
                <c:pt idx="2">
                  <c:v>Q3-2009</c:v>
                </c:pt>
                <c:pt idx="3">
                  <c:v>Q4-2009</c:v>
                </c:pt>
                <c:pt idx="4">
                  <c:v>Q1-2010</c:v>
                </c:pt>
                <c:pt idx="5">
                  <c:v>Q2-2010</c:v>
                </c:pt>
                <c:pt idx="6">
                  <c:v>Q3-2010</c:v>
                </c:pt>
                <c:pt idx="7">
                  <c:v>Q4-2010</c:v>
                </c:pt>
                <c:pt idx="8">
                  <c:v>Q1-2011</c:v>
                </c:pt>
                <c:pt idx="9">
                  <c:v>Q2-2011</c:v>
                </c:pt>
                <c:pt idx="10">
                  <c:v>Q3-2011</c:v>
                </c:pt>
                <c:pt idx="11">
                  <c:v>Q4-2011</c:v>
                </c:pt>
                <c:pt idx="12">
                  <c:v>Q1-2012</c:v>
                </c:pt>
                <c:pt idx="13">
                  <c:v>Q2-2012</c:v>
                </c:pt>
                <c:pt idx="14">
                  <c:v>Q3-2012</c:v>
                </c:pt>
                <c:pt idx="15">
                  <c:v>Q4-2012</c:v>
                </c:pt>
                <c:pt idx="16">
                  <c:v>Q1-2013</c:v>
                </c:pt>
                <c:pt idx="17">
                  <c:v>Q2-2013</c:v>
                </c:pt>
                <c:pt idx="18">
                  <c:v>Q3-2013</c:v>
                </c:pt>
              </c:strCache>
            </c:strRef>
          </c:cat>
          <c:val>
            <c:numRef>
              <c:f>'Domesic Credit Internation'!$B$47:$BF$47</c:f>
              <c:numCache>
                <c:formatCode>0.0</c:formatCode>
                <c:ptCount val="19"/>
                <c:pt idx="0">
                  <c:v>17.826703956049418</c:v>
                </c:pt>
                <c:pt idx="1">
                  <c:v>28.25177816148399</c:v>
                </c:pt>
                <c:pt idx="2">
                  <c:v>39.693529541794305</c:v>
                </c:pt>
                <c:pt idx="3">
                  <c:v>39.574093155921929</c:v>
                </c:pt>
                <c:pt idx="4">
                  <c:v>36.342442597548946</c:v>
                </c:pt>
                <c:pt idx="5">
                  <c:v>28.911890219425285</c:v>
                </c:pt>
                <c:pt idx="6">
                  <c:v>27.241490389777702</c:v>
                </c:pt>
                <c:pt idx="7">
                  <c:v>32.434225308410831</c:v>
                </c:pt>
                <c:pt idx="8">
                  <c:v>33.529980008162056</c:v>
                </c:pt>
                <c:pt idx="9">
                  <c:v>27.29114967087925</c:v>
                </c:pt>
                <c:pt idx="10">
                  <c:v>19.416833222296237</c:v>
                </c:pt>
                <c:pt idx="11">
                  <c:v>14.31404865201127</c:v>
                </c:pt>
                <c:pt idx="12">
                  <c:v>8.2700803912010734</c:v>
                </c:pt>
                <c:pt idx="13">
                  <c:v>7.9836660958582</c:v>
                </c:pt>
                <c:pt idx="14">
                  <c:v>8.213726489305115</c:v>
                </c:pt>
                <c:pt idx="15">
                  <c:v>8.7568774758029377</c:v>
                </c:pt>
                <c:pt idx="16">
                  <c:v>11.059339748376896</c:v>
                </c:pt>
              </c:numCache>
            </c:numRef>
          </c:val>
          <c:smooth val="1"/>
        </c:ser>
        <c:ser>
          <c:idx val="10"/>
          <c:order val="3"/>
          <c:tx>
            <c:strRef>
              <c:f>'Domesic Credit Internation'!$A$48</c:f>
              <c:strCache>
                <c:ptCount val="1"/>
                <c:pt idx="0">
                  <c:v>Mongolia</c:v>
                </c:pt>
              </c:strCache>
            </c:strRef>
          </c:tx>
          <c:spPr>
            <a:ln w="22225"/>
          </c:spPr>
          <c:marker>
            <c:symbol val="none"/>
          </c:marker>
          <c:cat>
            <c:strRef>
              <c:f>'Domesic Credit Internation'!$D$1:$BF$1</c:f>
              <c:strCache>
                <c:ptCount val="19"/>
                <c:pt idx="0">
                  <c:v>Q1-2009</c:v>
                </c:pt>
                <c:pt idx="1">
                  <c:v>Q2-2009</c:v>
                </c:pt>
                <c:pt idx="2">
                  <c:v>Q3-2009</c:v>
                </c:pt>
                <c:pt idx="3">
                  <c:v>Q4-2009</c:v>
                </c:pt>
                <c:pt idx="4">
                  <c:v>Q1-2010</c:v>
                </c:pt>
                <c:pt idx="5">
                  <c:v>Q2-2010</c:v>
                </c:pt>
                <c:pt idx="6">
                  <c:v>Q3-2010</c:v>
                </c:pt>
                <c:pt idx="7">
                  <c:v>Q4-2010</c:v>
                </c:pt>
                <c:pt idx="8">
                  <c:v>Q1-2011</c:v>
                </c:pt>
                <c:pt idx="9">
                  <c:v>Q2-2011</c:v>
                </c:pt>
                <c:pt idx="10">
                  <c:v>Q3-2011</c:v>
                </c:pt>
                <c:pt idx="11">
                  <c:v>Q4-2011</c:v>
                </c:pt>
                <c:pt idx="12">
                  <c:v>Q1-2012</c:v>
                </c:pt>
                <c:pt idx="13">
                  <c:v>Q2-2012</c:v>
                </c:pt>
                <c:pt idx="14">
                  <c:v>Q3-2012</c:v>
                </c:pt>
                <c:pt idx="15">
                  <c:v>Q4-2012</c:v>
                </c:pt>
                <c:pt idx="16">
                  <c:v>Q1-2013</c:v>
                </c:pt>
                <c:pt idx="17">
                  <c:v>Q2-2013</c:v>
                </c:pt>
                <c:pt idx="18">
                  <c:v>Q3-2013</c:v>
                </c:pt>
              </c:strCache>
            </c:strRef>
          </c:cat>
          <c:val>
            <c:numRef>
              <c:f>'Domesic Credit Internation'!$B$48:$BF$48</c:f>
              <c:numCache>
                <c:formatCode>_(* #,##0.00_);_(* \(#,##0.00\);_(* "-"??_);_(@_)</c:formatCode>
                <c:ptCount val="19"/>
                <c:pt idx="0">
                  <c:v>13.918428162489668</c:v>
                </c:pt>
                <c:pt idx="1">
                  <c:v>-0.13378249239336412</c:v>
                </c:pt>
                <c:pt idx="2">
                  <c:v>-3.2733423904424352</c:v>
                </c:pt>
                <c:pt idx="3">
                  <c:v>0.99053600444876033</c:v>
                </c:pt>
                <c:pt idx="4">
                  <c:v>4.7027323556941898</c:v>
                </c:pt>
                <c:pt idx="5">
                  <c:v>16.781176524191089</c:v>
                </c:pt>
                <c:pt idx="6">
                  <c:v>21.609689421137503</c:v>
                </c:pt>
                <c:pt idx="7">
                  <c:v>25.509346216885078</c:v>
                </c:pt>
                <c:pt idx="8">
                  <c:v>35.201264297492557</c:v>
                </c:pt>
                <c:pt idx="9">
                  <c:v>55.035084889814954</c:v>
                </c:pt>
                <c:pt idx="10">
                  <c:v>64.689246590259089</c:v>
                </c:pt>
                <c:pt idx="11">
                  <c:v>76.939383273513329</c:v>
                </c:pt>
                <c:pt idx="12">
                  <c:v>59.400604383817658</c:v>
                </c:pt>
                <c:pt idx="13">
                  <c:v>44.456945160149004</c:v>
                </c:pt>
                <c:pt idx="14">
                  <c:v>35.062991198974665</c:v>
                </c:pt>
                <c:pt idx="15">
                  <c:v>29.433194130829087</c:v>
                </c:pt>
                <c:pt idx="16">
                  <c:v>36.890298385739648</c:v>
                </c:pt>
                <c:pt idx="17">
                  <c:v>47.789951805056965</c:v>
                </c:pt>
                <c:pt idx="18">
                  <c:v>61.609792925461818</c:v>
                </c:pt>
              </c:numCache>
            </c:numRef>
          </c:val>
          <c:smooth val="1"/>
        </c:ser>
        <c:ser>
          <c:idx val="0"/>
          <c:order val="4"/>
          <c:tx>
            <c:v>Malaysia</c:v>
          </c:tx>
          <c:spPr>
            <a:ln w="22225"/>
          </c:spPr>
          <c:marker>
            <c:symbol val="none"/>
          </c:marker>
          <c:val>
            <c:numRef>
              <c:f>'Domesic Credit Internation'!$D$40:$BF$40</c:f>
              <c:numCache>
                <c:formatCode>0.0</c:formatCode>
                <c:ptCount val="19"/>
                <c:pt idx="0">
                  <c:v>10.925590259114855</c:v>
                </c:pt>
                <c:pt idx="1">
                  <c:v>8.2936377182214027</c:v>
                </c:pt>
                <c:pt idx="2">
                  <c:v>7.1590866042302359</c:v>
                </c:pt>
                <c:pt idx="3">
                  <c:v>7.8400574113920234</c:v>
                </c:pt>
                <c:pt idx="4">
                  <c:v>9.7860053537837324</c:v>
                </c:pt>
                <c:pt idx="5">
                  <c:v>12.408213622800767</c:v>
                </c:pt>
                <c:pt idx="6">
                  <c:v>11.836981649483036</c:v>
                </c:pt>
                <c:pt idx="7">
                  <c:v>12.734763288102098</c:v>
                </c:pt>
                <c:pt idx="8">
                  <c:v>13.203136092970702</c:v>
                </c:pt>
                <c:pt idx="9">
                  <c:v>13.50129441136472</c:v>
                </c:pt>
                <c:pt idx="10">
                  <c:v>13.827697448178299</c:v>
                </c:pt>
                <c:pt idx="11">
                  <c:v>13.610463937408227</c:v>
                </c:pt>
                <c:pt idx="12">
                  <c:v>12.186706061441999</c:v>
                </c:pt>
                <c:pt idx="13">
                  <c:v>12.622361587341313</c:v>
                </c:pt>
                <c:pt idx="14">
                  <c:v>11.921674803685089</c:v>
                </c:pt>
                <c:pt idx="15">
                  <c:v>10.410040096489872</c:v>
                </c:pt>
                <c:pt idx="16">
                  <c:v>10.565718321721773</c:v>
                </c:pt>
                <c:pt idx="17">
                  <c:v>9.0853478000150005</c:v>
                </c:pt>
              </c:numCache>
            </c:numRef>
          </c:val>
          <c:smooth val="1"/>
        </c:ser>
        <c:dLbls>
          <c:showLegendKey val="0"/>
          <c:showVal val="0"/>
          <c:showCatName val="0"/>
          <c:showSerName val="0"/>
          <c:showPercent val="0"/>
          <c:showBubbleSize val="0"/>
        </c:dLbls>
        <c:marker val="1"/>
        <c:smooth val="0"/>
        <c:axId val="280747008"/>
        <c:axId val="280892160"/>
      </c:lineChart>
      <c:catAx>
        <c:axId val="280747008"/>
        <c:scaling>
          <c:orientation val="minMax"/>
        </c:scaling>
        <c:delete val="0"/>
        <c:axPos val="b"/>
        <c:majorTickMark val="out"/>
        <c:minorTickMark val="none"/>
        <c:tickLblPos val="nextTo"/>
        <c:txPr>
          <a:bodyPr/>
          <a:lstStyle/>
          <a:p>
            <a:pPr>
              <a:defRPr sz="500"/>
            </a:pPr>
            <a:endParaRPr lang="en-US"/>
          </a:p>
        </c:txPr>
        <c:crossAx val="280892160"/>
        <c:crosses val="autoZero"/>
        <c:auto val="1"/>
        <c:lblAlgn val="ctr"/>
        <c:lblOffset val="100"/>
        <c:noMultiLvlLbl val="0"/>
      </c:catAx>
      <c:valAx>
        <c:axId val="280892160"/>
        <c:scaling>
          <c:orientation val="minMax"/>
        </c:scaling>
        <c:delete val="0"/>
        <c:axPos val="l"/>
        <c:majorGridlines>
          <c:spPr>
            <a:ln>
              <a:noFill/>
            </a:ln>
          </c:spPr>
        </c:majorGridlines>
        <c:numFmt formatCode="0" sourceLinked="0"/>
        <c:majorTickMark val="out"/>
        <c:minorTickMark val="none"/>
        <c:tickLblPos val="nextTo"/>
        <c:crossAx val="280747008"/>
        <c:crosses val="autoZero"/>
        <c:crossBetween val="between"/>
      </c:valAx>
    </c:plotArea>
    <c:legend>
      <c:legendPos val="r"/>
      <c:layout>
        <c:manualLayout>
          <c:xMode val="edge"/>
          <c:yMode val="edge"/>
          <c:x val="0.1104155730533683"/>
          <c:y val="2.7103382910469596E-3"/>
          <c:w val="0.49236221474775027"/>
          <c:h val="0.23069043452901733"/>
        </c:manualLayout>
      </c:layout>
      <c:overlay val="0"/>
    </c:legend>
    <c:plotVisOnly val="1"/>
    <c:dispBlanksAs val="gap"/>
    <c:showDLblsOverMax val="0"/>
  </c:chart>
  <c:spPr>
    <a:ln>
      <a:noFill/>
    </a:ln>
  </c:spPr>
  <c:txPr>
    <a:bodyPr/>
    <a:lstStyle/>
    <a:p>
      <a:pPr>
        <a:defRPr sz="600"/>
      </a:pPr>
      <a:endParaRPr lang="en-US"/>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2651423020972818E-2"/>
          <c:y val="5.1400554097404488E-2"/>
          <c:w val="0.86683990155028945"/>
          <c:h val="0.77738754946294275"/>
        </c:manualLayout>
      </c:layout>
      <c:areaChart>
        <c:grouping val="standard"/>
        <c:varyColors val="0"/>
        <c:ser>
          <c:idx val="0"/>
          <c:order val="0"/>
          <c:spPr>
            <a:effectLst>
              <a:softEdge rad="0"/>
            </a:effectLst>
          </c:spPr>
          <c:cat>
            <c:strRef>
              <c:f>'Domesic Credit Internation'!$P$1:$BF$1</c:f>
              <c:strCache>
                <c:ptCount val="15"/>
                <c:pt idx="0">
                  <c:v>Q1-2010</c:v>
                </c:pt>
                <c:pt idx="1">
                  <c:v>Q2-2010</c:v>
                </c:pt>
                <c:pt idx="2">
                  <c:v>Q3-2010</c:v>
                </c:pt>
                <c:pt idx="3">
                  <c:v>Q4-2010</c:v>
                </c:pt>
                <c:pt idx="4">
                  <c:v>Q1-2011</c:v>
                </c:pt>
                <c:pt idx="5">
                  <c:v>Q2-2011</c:v>
                </c:pt>
                <c:pt idx="6">
                  <c:v>Q3-2011</c:v>
                </c:pt>
                <c:pt idx="7">
                  <c:v>Q4-2011</c:v>
                </c:pt>
                <c:pt idx="8">
                  <c:v>Q1-2012</c:v>
                </c:pt>
                <c:pt idx="9">
                  <c:v>Q2-2012</c:v>
                </c:pt>
                <c:pt idx="10">
                  <c:v>Q3-2012</c:v>
                </c:pt>
                <c:pt idx="11">
                  <c:v>Q4-2012</c:v>
                </c:pt>
                <c:pt idx="12">
                  <c:v>Q1-2013</c:v>
                </c:pt>
                <c:pt idx="13">
                  <c:v>Q2-2013</c:v>
                </c:pt>
                <c:pt idx="14">
                  <c:v>Q3-2013</c:v>
                </c:pt>
              </c:strCache>
            </c:strRef>
          </c:cat>
          <c:val>
            <c:numRef>
              <c:f>'Domesic Credit Internation'!$P$8:$BF$8</c:f>
              <c:numCache>
                <c:formatCode>0.0</c:formatCode>
                <c:ptCount val="15"/>
                <c:pt idx="0">
                  <c:v>33.280749710044596</c:v>
                </c:pt>
                <c:pt idx="1">
                  <c:v>35.558386027320104</c:v>
                </c:pt>
                <c:pt idx="2">
                  <c:v>38.083121062508773</c:v>
                </c:pt>
                <c:pt idx="3">
                  <c:v>39.736219658588482</c:v>
                </c:pt>
                <c:pt idx="4">
                  <c:v>34.148745731531079</c:v>
                </c:pt>
                <c:pt idx="5">
                  <c:v>41.838194525418096</c:v>
                </c:pt>
                <c:pt idx="6">
                  <c:v>47.599093198675618</c:v>
                </c:pt>
                <c:pt idx="7">
                  <c:v>53.359525625087294</c:v>
                </c:pt>
                <c:pt idx="8">
                  <c:v>43.284316477669094</c:v>
                </c:pt>
                <c:pt idx="9">
                  <c:v>48.059273850894648</c:v>
                </c:pt>
                <c:pt idx="10">
                  <c:v>51.121181901318714</c:v>
                </c:pt>
                <c:pt idx="11">
                  <c:v>54.919107635110535</c:v>
                </c:pt>
                <c:pt idx="12">
                  <c:v>48.600606238130581</c:v>
                </c:pt>
                <c:pt idx="13">
                  <c:v>58.258669865899314</c:v>
                </c:pt>
                <c:pt idx="14">
                  <c:v>67.765244949230578</c:v>
                </c:pt>
              </c:numCache>
            </c:numRef>
          </c:val>
        </c:ser>
        <c:dLbls>
          <c:showLegendKey val="0"/>
          <c:showVal val="0"/>
          <c:showCatName val="0"/>
          <c:showSerName val="0"/>
          <c:showPercent val="0"/>
          <c:showBubbleSize val="0"/>
        </c:dLbls>
        <c:axId val="280912256"/>
        <c:axId val="280913792"/>
      </c:areaChart>
      <c:catAx>
        <c:axId val="280912256"/>
        <c:scaling>
          <c:orientation val="minMax"/>
        </c:scaling>
        <c:delete val="0"/>
        <c:axPos val="b"/>
        <c:majorTickMark val="out"/>
        <c:minorTickMark val="none"/>
        <c:tickLblPos val="nextTo"/>
        <c:txPr>
          <a:bodyPr/>
          <a:lstStyle/>
          <a:p>
            <a:pPr>
              <a:defRPr sz="500"/>
            </a:pPr>
            <a:endParaRPr lang="en-US"/>
          </a:p>
        </c:txPr>
        <c:crossAx val="280913792"/>
        <c:crosses val="autoZero"/>
        <c:auto val="1"/>
        <c:lblAlgn val="ctr"/>
        <c:lblOffset val="100"/>
        <c:noMultiLvlLbl val="0"/>
      </c:catAx>
      <c:valAx>
        <c:axId val="280913792"/>
        <c:scaling>
          <c:orientation val="minMax"/>
        </c:scaling>
        <c:delete val="0"/>
        <c:axPos val="l"/>
        <c:majorGridlines>
          <c:spPr>
            <a:ln>
              <a:noFill/>
            </a:ln>
          </c:spPr>
        </c:majorGridlines>
        <c:numFmt formatCode="0" sourceLinked="0"/>
        <c:majorTickMark val="out"/>
        <c:minorTickMark val="none"/>
        <c:tickLblPos val="nextTo"/>
        <c:crossAx val="280912256"/>
        <c:crosses val="autoZero"/>
        <c:crossBetween val="midCat"/>
      </c:valAx>
    </c:plotArea>
    <c:plotVisOnly val="1"/>
    <c:dispBlanksAs val="zero"/>
    <c:showDLblsOverMax val="0"/>
  </c:chart>
  <c:spPr>
    <a:ln>
      <a:noFill/>
    </a:ln>
  </c:spPr>
  <c:txPr>
    <a:bodyPr/>
    <a:lstStyle/>
    <a:p>
      <a:pPr>
        <a:defRPr sz="700"/>
      </a:pPr>
      <a:endParaRPr lang="en-US"/>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619685039370078"/>
          <c:y val="8.4445531614666711E-2"/>
          <c:w val="0.86062970253718463"/>
          <c:h val="0.88174659985683557"/>
        </c:manualLayout>
      </c:layout>
      <c:lineChart>
        <c:grouping val="standard"/>
        <c:varyColors val="0"/>
        <c:ser>
          <c:idx val="0"/>
          <c:order val="0"/>
          <c:tx>
            <c:v>Total Bank Loans (qoq change, %, Left Axis) </c:v>
          </c:tx>
          <c:spPr>
            <a:ln w="22225"/>
          </c:spPr>
          <c:marker>
            <c:symbol val="none"/>
          </c:marker>
          <c:cat>
            <c:numRef>
              <c:f>'Mnth BoM data'!$FZ$1:$HR$1</c:f>
              <c:numCache>
                <c:formatCode>mmm\-yy</c:formatCode>
                <c:ptCount val="45"/>
                <c:pt idx="0">
                  <c:v>40179</c:v>
                </c:pt>
                <c:pt idx="1">
                  <c:v>40210</c:v>
                </c:pt>
                <c:pt idx="2">
                  <c:v>40238</c:v>
                </c:pt>
                <c:pt idx="3">
                  <c:v>40269</c:v>
                </c:pt>
                <c:pt idx="4">
                  <c:v>40299</c:v>
                </c:pt>
                <c:pt idx="5">
                  <c:v>40330</c:v>
                </c:pt>
                <c:pt idx="6">
                  <c:v>40360</c:v>
                </c:pt>
                <c:pt idx="7">
                  <c:v>40391</c:v>
                </c:pt>
                <c:pt idx="8">
                  <c:v>40422</c:v>
                </c:pt>
                <c:pt idx="9">
                  <c:v>40452</c:v>
                </c:pt>
                <c:pt idx="10">
                  <c:v>40483</c:v>
                </c:pt>
                <c:pt idx="11">
                  <c:v>40513</c:v>
                </c:pt>
                <c:pt idx="12">
                  <c:v>40544</c:v>
                </c:pt>
                <c:pt idx="13">
                  <c:v>40575</c:v>
                </c:pt>
                <c:pt idx="14">
                  <c:v>40603</c:v>
                </c:pt>
                <c:pt idx="15">
                  <c:v>40634</c:v>
                </c:pt>
                <c:pt idx="16">
                  <c:v>40664</c:v>
                </c:pt>
                <c:pt idx="17">
                  <c:v>40695</c:v>
                </c:pt>
                <c:pt idx="18">
                  <c:v>40725</c:v>
                </c:pt>
                <c:pt idx="19">
                  <c:v>40756</c:v>
                </c:pt>
                <c:pt idx="20">
                  <c:v>40787</c:v>
                </c:pt>
                <c:pt idx="21">
                  <c:v>40817</c:v>
                </c:pt>
                <c:pt idx="22">
                  <c:v>40848</c:v>
                </c:pt>
                <c:pt idx="23">
                  <c:v>40878</c:v>
                </c:pt>
                <c:pt idx="24">
                  <c:v>40909</c:v>
                </c:pt>
                <c:pt idx="25">
                  <c:v>40940</c:v>
                </c:pt>
                <c:pt idx="26">
                  <c:v>40969</c:v>
                </c:pt>
                <c:pt idx="27">
                  <c:v>41000</c:v>
                </c:pt>
                <c:pt idx="28">
                  <c:v>41030</c:v>
                </c:pt>
                <c:pt idx="29">
                  <c:v>41061</c:v>
                </c:pt>
                <c:pt idx="30">
                  <c:v>41091</c:v>
                </c:pt>
                <c:pt idx="31">
                  <c:v>41122</c:v>
                </c:pt>
                <c:pt idx="32">
                  <c:v>41153</c:v>
                </c:pt>
                <c:pt idx="33">
                  <c:v>41183</c:v>
                </c:pt>
                <c:pt idx="34">
                  <c:v>41214</c:v>
                </c:pt>
                <c:pt idx="35">
                  <c:v>41244</c:v>
                </c:pt>
                <c:pt idx="36">
                  <c:v>41275</c:v>
                </c:pt>
                <c:pt idx="37">
                  <c:v>41306</c:v>
                </c:pt>
                <c:pt idx="38">
                  <c:v>41334</c:v>
                </c:pt>
                <c:pt idx="39">
                  <c:v>41365</c:v>
                </c:pt>
                <c:pt idx="40">
                  <c:v>41395</c:v>
                </c:pt>
                <c:pt idx="41">
                  <c:v>41426</c:v>
                </c:pt>
                <c:pt idx="42">
                  <c:v>41456</c:v>
                </c:pt>
                <c:pt idx="43">
                  <c:v>41487</c:v>
                </c:pt>
                <c:pt idx="44">
                  <c:v>41518</c:v>
                </c:pt>
              </c:numCache>
            </c:numRef>
          </c:cat>
          <c:val>
            <c:numRef>
              <c:f>'Mnth BoM data'!$FZ$55:$HR$55</c:f>
              <c:numCache>
                <c:formatCode>_(* #,##0.00_);_(* \(#,##0.00\);_(* "-"??_);_(@_)</c:formatCode>
                <c:ptCount val="45"/>
                <c:pt idx="0">
                  <c:v>0.71420754321904756</c:v>
                </c:pt>
                <c:pt idx="1">
                  <c:v>1.0515629940926141</c:v>
                </c:pt>
                <c:pt idx="2">
                  <c:v>0.82973452282544269</c:v>
                </c:pt>
                <c:pt idx="3">
                  <c:v>1.1147346170276906</c:v>
                </c:pt>
                <c:pt idx="4">
                  <c:v>1.6698377510326434</c:v>
                </c:pt>
                <c:pt idx="5">
                  <c:v>1.9291108113441702</c:v>
                </c:pt>
                <c:pt idx="6">
                  <c:v>2.4366681265882928</c:v>
                </c:pt>
                <c:pt idx="7">
                  <c:v>1.9446493619085015</c:v>
                </c:pt>
                <c:pt idx="8">
                  <c:v>2.283770874085489</c:v>
                </c:pt>
                <c:pt idx="9">
                  <c:v>1.3029189985621414</c:v>
                </c:pt>
                <c:pt idx="10">
                  <c:v>0.98339507621891808</c:v>
                </c:pt>
                <c:pt idx="11">
                  <c:v>1.9317752356515117</c:v>
                </c:pt>
                <c:pt idx="12">
                  <c:v>3.6965659656789107</c:v>
                </c:pt>
                <c:pt idx="13">
                  <c:v>4.2149954458077676</c:v>
                </c:pt>
                <c:pt idx="14">
                  <c:v>4.5551534953482298</c:v>
                </c:pt>
                <c:pt idx="15">
                  <c:v>4.988258816257285</c:v>
                </c:pt>
                <c:pt idx="16">
                  <c:v>6.4154129527379977</c:v>
                </c:pt>
                <c:pt idx="17">
                  <c:v>6.8774443244691508</c:v>
                </c:pt>
                <c:pt idx="18">
                  <c:v>5.5389729790318754</c:v>
                </c:pt>
                <c:pt idx="19">
                  <c:v>4.6286131652273133</c:v>
                </c:pt>
                <c:pt idx="20">
                  <c:v>3.5894101074238627</c:v>
                </c:pt>
                <c:pt idx="21">
                  <c:v>3.6992592708372518</c:v>
                </c:pt>
                <c:pt idx="22">
                  <c:v>3.748311212811628</c:v>
                </c:pt>
                <c:pt idx="23">
                  <c:v>3.7033495090264434</c:v>
                </c:pt>
                <c:pt idx="24">
                  <c:v>2.6114773123352419</c:v>
                </c:pt>
                <c:pt idx="25">
                  <c:v>1.5991258745829962</c:v>
                </c:pt>
                <c:pt idx="26">
                  <c:v>0.82536913241493259</c:v>
                </c:pt>
                <c:pt idx="27">
                  <c:v>1.6828026525563367</c:v>
                </c:pt>
                <c:pt idx="28">
                  <c:v>2.3816136684107425</c:v>
                </c:pt>
                <c:pt idx="29">
                  <c:v>3.0085127332710737</c:v>
                </c:pt>
                <c:pt idx="30">
                  <c:v>2.6804190929148319</c:v>
                </c:pt>
                <c:pt idx="31">
                  <c:v>2.935518955018579</c:v>
                </c:pt>
                <c:pt idx="32">
                  <c:v>2.8274900981766882</c:v>
                </c:pt>
                <c:pt idx="33">
                  <c:v>2.1375898479816913</c:v>
                </c:pt>
                <c:pt idx="34">
                  <c:v>0.9447617706353606</c:v>
                </c:pt>
                <c:pt idx="35">
                  <c:v>0.5983930645019786</c:v>
                </c:pt>
                <c:pt idx="36">
                  <c:v>1.3730418005053258</c:v>
                </c:pt>
                <c:pt idx="37">
                  <c:v>1.43194497737682</c:v>
                </c:pt>
                <c:pt idx="38">
                  <c:v>1.845424517771499</c:v>
                </c:pt>
                <c:pt idx="39">
                  <c:v>2.8776060874144749</c:v>
                </c:pt>
                <c:pt idx="40">
                  <c:v>4.7407712012187408</c:v>
                </c:pt>
                <c:pt idx="41">
                  <c:v>5.2371416582020824</c:v>
                </c:pt>
                <c:pt idx="42">
                  <c:v>5.5030752775867331</c:v>
                </c:pt>
                <c:pt idx="43">
                  <c:v>5.9983487624855059</c:v>
                </c:pt>
                <c:pt idx="44">
                  <c:v>5.6188582540819931</c:v>
                </c:pt>
              </c:numCache>
            </c:numRef>
          </c:val>
          <c:smooth val="0"/>
        </c:ser>
        <c:ser>
          <c:idx val="1"/>
          <c:order val="1"/>
          <c:tx>
            <c:v>Total Bank Deposits (qoq change, %, Left Axis)</c:v>
          </c:tx>
          <c:spPr>
            <a:ln w="22225">
              <a:prstDash val="sysDash"/>
            </a:ln>
          </c:spPr>
          <c:marker>
            <c:symbol val="none"/>
          </c:marker>
          <c:cat>
            <c:numRef>
              <c:f>'Mnth BoM data'!$FZ$1:$HR$1</c:f>
              <c:numCache>
                <c:formatCode>mmm\-yy</c:formatCode>
                <c:ptCount val="45"/>
                <c:pt idx="0">
                  <c:v>40179</c:v>
                </c:pt>
                <c:pt idx="1">
                  <c:v>40210</c:v>
                </c:pt>
                <c:pt idx="2">
                  <c:v>40238</c:v>
                </c:pt>
                <c:pt idx="3">
                  <c:v>40269</c:v>
                </c:pt>
                <c:pt idx="4">
                  <c:v>40299</c:v>
                </c:pt>
                <c:pt idx="5">
                  <c:v>40330</c:v>
                </c:pt>
                <c:pt idx="6">
                  <c:v>40360</c:v>
                </c:pt>
                <c:pt idx="7">
                  <c:v>40391</c:v>
                </c:pt>
                <c:pt idx="8">
                  <c:v>40422</c:v>
                </c:pt>
                <c:pt idx="9">
                  <c:v>40452</c:v>
                </c:pt>
                <c:pt idx="10">
                  <c:v>40483</c:v>
                </c:pt>
                <c:pt idx="11">
                  <c:v>40513</c:v>
                </c:pt>
                <c:pt idx="12">
                  <c:v>40544</c:v>
                </c:pt>
                <c:pt idx="13">
                  <c:v>40575</c:v>
                </c:pt>
                <c:pt idx="14">
                  <c:v>40603</c:v>
                </c:pt>
                <c:pt idx="15">
                  <c:v>40634</c:v>
                </c:pt>
                <c:pt idx="16">
                  <c:v>40664</c:v>
                </c:pt>
                <c:pt idx="17">
                  <c:v>40695</c:v>
                </c:pt>
                <c:pt idx="18">
                  <c:v>40725</c:v>
                </c:pt>
                <c:pt idx="19">
                  <c:v>40756</c:v>
                </c:pt>
                <c:pt idx="20">
                  <c:v>40787</c:v>
                </c:pt>
                <c:pt idx="21">
                  <c:v>40817</c:v>
                </c:pt>
                <c:pt idx="22">
                  <c:v>40848</c:v>
                </c:pt>
                <c:pt idx="23">
                  <c:v>40878</c:v>
                </c:pt>
                <c:pt idx="24">
                  <c:v>40909</c:v>
                </c:pt>
                <c:pt idx="25">
                  <c:v>40940</c:v>
                </c:pt>
                <c:pt idx="26">
                  <c:v>40969</c:v>
                </c:pt>
                <c:pt idx="27">
                  <c:v>41000</c:v>
                </c:pt>
                <c:pt idx="28">
                  <c:v>41030</c:v>
                </c:pt>
                <c:pt idx="29">
                  <c:v>41061</c:v>
                </c:pt>
                <c:pt idx="30">
                  <c:v>41091</c:v>
                </c:pt>
                <c:pt idx="31">
                  <c:v>41122</c:v>
                </c:pt>
                <c:pt idx="32">
                  <c:v>41153</c:v>
                </c:pt>
                <c:pt idx="33">
                  <c:v>41183</c:v>
                </c:pt>
                <c:pt idx="34">
                  <c:v>41214</c:v>
                </c:pt>
                <c:pt idx="35">
                  <c:v>41244</c:v>
                </c:pt>
                <c:pt idx="36">
                  <c:v>41275</c:v>
                </c:pt>
                <c:pt idx="37">
                  <c:v>41306</c:v>
                </c:pt>
                <c:pt idx="38">
                  <c:v>41334</c:v>
                </c:pt>
                <c:pt idx="39">
                  <c:v>41365</c:v>
                </c:pt>
                <c:pt idx="40">
                  <c:v>41395</c:v>
                </c:pt>
                <c:pt idx="41">
                  <c:v>41426</c:v>
                </c:pt>
                <c:pt idx="42">
                  <c:v>41456</c:v>
                </c:pt>
                <c:pt idx="43">
                  <c:v>41487</c:v>
                </c:pt>
                <c:pt idx="44">
                  <c:v>41518</c:v>
                </c:pt>
              </c:numCache>
            </c:numRef>
          </c:cat>
          <c:val>
            <c:numRef>
              <c:f>'Mnth BoM data'!$FZ$251:$HR$251</c:f>
              <c:numCache>
                <c:formatCode>_(* #,##0.00_);_(* \(#,##0.00\);_(* "-"??_);_(@_)</c:formatCode>
                <c:ptCount val="45"/>
                <c:pt idx="0">
                  <c:v>2.8816292493366591</c:v>
                </c:pt>
                <c:pt idx="1">
                  <c:v>3.7555843194799099</c:v>
                </c:pt>
                <c:pt idx="2">
                  <c:v>1.0735180050236215</c:v>
                </c:pt>
                <c:pt idx="3">
                  <c:v>2.6552253339197973</c:v>
                </c:pt>
                <c:pt idx="4">
                  <c:v>2.858758052910626</c:v>
                </c:pt>
                <c:pt idx="5">
                  <c:v>5.8440896106830564</c:v>
                </c:pt>
                <c:pt idx="6">
                  <c:v>4.1905926072641986</c:v>
                </c:pt>
                <c:pt idx="7">
                  <c:v>3.6859530474060209</c:v>
                </c:pt>
                <c:pt idx="8">
                  <c:v>3.443877991652311</c:v>
                </c:pt>
                <c:pt idx="9">
                  <c:v>3.2137013947943549</c:v>
                </c:pt>
                <c:pt idx="10">
                  <c:v>2.8655806241138837</c:v>
                </c:pt>
                <c:pt idx="11">
                  <c:v>7.3758200795461804</c:v>
                </c:pt>
                <c:pt idx="12">
                  <c:v>7.8026526930399909</c:v>
                </c:pt>
                <c:pt idx="13">
                  <c:v>7.5771276000501375</c:v>
                </c:pt>
                <c:pt idx="14">
                  <c:v>2.0896162651797834</c:v>
                </c:pt>
                <c:pt idx="15">
                  <c:v>3.4419581483162487</c:v>
                </c:pt>
                <c:pt idx="16">
                  <c:v>2.9981216360498442</c:v>
                </c:pt>
                <c:pt idx="17">
                  <c:v>5.0337051936354626</c:v>
                </c:pt>
                <c:pt idx="18">
                  <c:v>3.6217770661850057</c:v>
                </c:pt>
                <c:pt idx="19">
                  <c:v>2.7157571055511198</c:v>
                </c:pt>
                <c:pt idx="20">
                  <c:v>1.4658195372425187</c:v>
                </c:pt>
                <c:pt idx="21">
                  <c:v>0.90323349246947959</c:v>
                </c:pt>
                <c:pt idx="22">
                  <c:v>1.5162669922206273</c:v>
                </c:pt>
                <c:pt idx="23">
                  <c:v>2.1885874818140749</c:v>
                </c:pt>
                <c:pt idx="24">
                  <c:v>0.68635569851851486</c:v>
                </c:pt>
                <c:pt idx="25">
                  <c:v>0.89457320628241188</c:v>
                </c:pt>
                <c:pt idx="26">
                  <c:v>-1.3709832563169266</c:v>
                </c:pt>
                <c:pt idx="27">
                  <c:v>1.0281020143140696</c:v>
                </c:pt>
                <c:pt idx="28">
                  <c:v>2.0507736877906968</c:v>
                </c:pt>
                <c:pt idx="29">
                  <c:v>4.1435294037080128</c:v>
                </c:pt>
                <c:pt idx="30">
                  <c:v>2.707083011069078</c:v>
                </c:pt>
                <c:pt idx="31">
                  <c:v>1.440016217669049</c:v>
                </c:pt>
                <c:pt idx="32">
                  <c:v>0.89883542770941016</c:v>
                </c:pt>
                <c:pt idx="33">
                  <c:v>1.3945564044387293</c:v>
                </c:pt>
                <c:pt idx="34">
                  <c:v>0.64396162125976986</c:v>
                </c:pt>
                <c:pt idx="35">
                  <c:v>2.2969658092168777</c:v>
                </c:pt>
                <c:pt idx="36">
                  <c:v>0.96331815618886374</c:v>
                </c:pt>
                <c:pt idx="37">
                  <c:v>1.1949474030447549</c:v>
                </c:pt>
                <c:pt idx="38">
                  <c:v>-0.95920239209820179</c:v>
                </c:pt>
                <c:pt idx="39">
                  <c:v>-0.86025828580933439</c:v>
                </c:pt>
                <c:pt idx="40">
                  <c:v>2.7099931941042099</c:v>
                </c:pt>
                <c:pt idx="41">
                  <c:v>2.8833551186995043</c:v>
                </c:pt>
                <c:pt idx="42">
                  <c:v>4.0316403154555092</c:v>
                </c:pt>
                <c:pt idx="43">
                  <c:v>2.0991607763994447</c:v>
                </c:pt>
                <c:pt idx="44">
                  <c:v>2.1177657522607918</c:v>
                </c:pt>
              </c:numCache>
            </c:numRef>
          </c:val>
          <c:smooth val="0"/>
        </c:ser>
        <c:dLbls>
          <c:showLegendKey val="0"/>
          <c:showVal val="0"/>
          <c:showCatName val="0"/>
          <c:showSerName val="0"/>
          <c:showPercent val="0"/>
          <c:showBubbleSize val="0"/>
        </c:dLbls>
        <c:marker val="1"/>
        <c:smooth val="0"/>
        <c:axId val="281229184"/>
        <c:axId val="281230720"/>
      </c:lineChart>
      <c:lineChart>
        <c:grouping val="standard"/>
        <c:varyColors val="0"/>
        <c:ser>
          <c:idx val="2"/>
          <c:order val="2"/>
          <c:tx>
            <c:v>Loan to Deposit Ratio (%, Right Axis)</c:v>
          </c:tx>
          <c:marker>
            <c:symbol val="none"/>
          </c:marker>
          <c:val>
            <c:numRef>
              <c:f>'Mnth BoM data'!$FZ$259:$HR$259</c:f>
              <c:numCache>
                <c:formatCode>_(* #,##0.00_);_(* \(#,##0.00\);_(* "-"??_);_(@_)</c:formatCode>
                <c:ptCount val="45"/>
                <c:pt idx="0">
                  <c:v>102.4492615839598</c:v>
                </c:pt>
                <c:pt idx="1">
                  <c:v>99.708946774475891</c:v>
                </c:pt>
                <c:pt idx="2">
                  <c:v>101.55210878373086</c:v>
                </c:pt>
                <c:pt idx="3">
                  <c:v>97.930298703319167</c:v>
                </c:pt>
                <c:pt idx="4">
                  <c:v>96.412318155824778</c:v>
                </c:pt>
                <c:pt idx="5">
                  <c:v>90.800011357686742</c:v>
                </c:pt>
                <c:pt idx="6">
                  <c:v>92.913946571723685</c:v>
                </c:pt>
                <c:pt idx="7">
                  <c:v>91.497984651234304</c:v>
                </c:pt>
                <c:pt idx="8">
                  <c:v>87.953431354221308</c:v>
                </c:pt>
                <c:pt idx="9">
                  <c:v>87.784233857855824</c:v>
                </c:pt>
                <c:pt idx="10">
                  <c:v>86.484592889566898</c:v>
                </c:pt>
                <c:pt idx="11">
                  <c:v>76.070510655735248</c:v>
                </c:pt>
                <c:pt idx="12">
                  <c:v>77.998411647543435</c:v>
                </c:pt>
                <c:pt idx="13">
                  <c:v>77.826318058159544</c:v>
                </c:pt>
                <c:pt idx="14">
                  <c:v>81.667702773980253</c:v>
                </c:pt>
                <c:pt idx="15">
                  <c:v>81.503864116089204</c:v>
                </c:pt>
                <c:pt idx="16">
                  <c:v>85.794708616908437</c:v>
                </c:pt>
                <c:pt idx="17">
                  <c:v>86.017641591212652</c:v>
                </c:pt>
                <c:pt idx="18">
                  <c:v>86.320862376567817</c:v>
                </c:pt>
                <c:pt idx="19">
                  <c:v>90.612326103097885</c:v>
                </c:pt>
                <c:pt idx="20">
                  <c:v>91.50522480668495</c:v>
                </c:pt>
                <c:pt idx="21">
                  <c:v>93.738343080822006</c:v>
                </c:pt>
                <c:pt idx="22">
                  <c:v>96.684670802474159</c:v>
                </c:pt>
                <c:pt idx="23">
                  <c:v>95.699041122346159</c:v>
                </c:pt>
                <c:pt idx="24">
                  <c:v>99.289681367642274</c:v>
                </c:pt>
                <c:pt idx="25">
                  <c:v>98.737915148677615</c:v>
                </c:pt>
                <c:pt idx="26">
                  <c:v>102.20569869135659</c:v>
                </c:pt>
                <c:pt idx="27">
                  <c:v>101.22610348703012</c:v>
                </c:pt>
                <c:pt idx="28">
                  <c:v>99.79204367481681</c:v>
                </c:pt>
                <c:pt idx="29">
                  <c:v>98.902972971688044</c:v>
                </c:pt>
                <c:pt idx="30">
                  <c:v>101.04850655608561</c:v>
                </c:pt>
                <c:pt idx="31">
                  <c:v>104.2020983871919</c:v>
                </c:pt>
                <c:pt idx="32">
                  <c:v>104.67783874015879</c:v>
                </c:pt>
                <c:pt idx="33">
                  <c:v>103.37877324576392</c:v>
                </c:pt>
                <c:pt idx="34">
                  <c:v>105.13910423452937</c:v>
                </c:pt>
                <c:pt idx="35">
                  <c:v>99.672749764216462</c:v>
                </c:pt>
                <c:pt idx="36">
                  <c:v>104.60168963290283</c:v>
                </c:pt>
                <c:pt idx="37">
                  <c:v>105.79950480264333</c:v>
                </c:pt>
                <c:pt idx="38">
                  <c:v>108.33126807104307</c:v>
                </c:pt>
                <c:pt idx="39">
                  <c:v>116.75083093164935</c:v>
                </c:pt>
                <c:pt idx="40">
                  <c:v>112.32051956799675</c:v>
                </c:pt>
                <c:pt idx="41">
                  <c:v>116.08214795294158</c:v>
                </c:pt>
                <c:pt idx="42">
                  <c:v>121.36805156886072</c:v>
                </c:pt>
                <c:pt idx="43">
                  <c:v>125.56674442369649</c:v>
                </c:pt>
                <c:pt idx="44">
                  <c:v>106.58618794634116</c:v>
                </c:pt>
              </c:numCache>
            </c:numRef>
          </c:val>
          <c:smooth val="0"/>
        </c:ser>
        <c:dLbls>
          <c:showLegendKey val="0"/>
          <c:showVal val="0"/>
          <c:showCatName val="0"/>
          <c:showSerName val="0"/>
          <c:showPercent val="0"/>
          <c:showBubbleSize val="0"/>
        </c:dLbls>
        <c:marker val="1"/>
        <c:smooth val="0"/>
        <c:axId val="281234048"/>
        <c:axId val="281232512"/>
      </c:lineChart>
      <c:dateAx>
        <c:axId val="281229184"/>
        <c:scaling>
          <c:orientation val="minMax"/>
          <c:max val="41518"/>
          <c:min val="40238"/>
        </c:scaling>
        <c:delete val="0"/>
        <c:axPos val="b"/>
        <c:numFmt formatCode="mmm\-yy" sourceLinked="1"/>
        <c:majorTickMark val="out"/>
        <c:minorTickMark val="none"/>
        <c:tickLblPos val="nextTo"/>
        <c:crossAx val="281230720"/>
        <c:crossesAt val="0"/>
        <c:auto val="1"/>
        <c:lblOffset val="100"/>
        <c:baseTimeUnit val="months"/>
      </c:dateAx>
      <c:valAx>
        <c:axId val="281230720"/>
        <c:scaling>
          <c:orientation val="minMax"/>
          <c:max val="15"/>
        </c:scaling>
        <c:delete val="0"/>
        <c:axPos val="l"/>
        <c:majorGridlines>
          <c:spPr>
            <a:ln>
              <a:noFill/>
            </a:ln>
          </c:spPr>
        </c:majorGridlines>
        <c:numFmt formatCode="General" sourceLinked="0"/>
        <c:majorTickMark val="out"/>
        <c:minorTickMark val="none"/>
        <c:tickLblPos val="nextTo"/>
        <c:crossAx val="281229184"/>
        <c:crosses val="autoZero"/>
        <c:crossBetween val="between"/>
      </c:valAx>
      <c:valAx>
        <c:axId val="281232512"/>
        <c:scaling>
          <c:orientation val="minMax"/>
          <c:min val="50"/>
        </c:scaling>
        <c:delete val="0"/>
        <c:axPos val="r"/>
        <c:numFmt formatCode="_(* #,##0_);_(* \(#,##0\);_(* &quot;-&quot;_);_(@_)" sourceLinked="0"/>
        <c:majorTickMark val="out"/>
        <c:minorTickMark val="none"/>
        <c:tickLblPos val="nextTo"/>
        <c:crossAx val="281234048"/>
        <c:crosses val="max"/>
        <c:crossBetween val="between"/>
      </c:valAx>
      <c:catAx>
        <c:axId val="281234048"/>
        <c:scaling>
          <c:orientation val="minMax"/>
        </c:scaling>
        <c:delete val="1"/>
        <c:axPos val="b"/>
        <c:majorTickMark val="out"/>
        <c:minorTickMark val="none"/>
        <c:tickLblPos val="nextTo"/>
        <c:crossAx val="281232512"/>
        <c:crosses val="autoZero"/>
        <c:auto val="1"/>
        <c:lblAlgn val="ctr"/>
        <c:lblOffset val="100"/>
        <c:noMultiLvlLbl val="0"/>
      </c:catAx>
    </c:plotArea>
    <c:legend>
      <c:legendPos val="r"/>
      <c:layout>
        <c:manualLayout>
          <c:xMode val="edge"/>
          <c:yMode val="edge"/>
          <c:x val="8.2624015748031618E-2"/>
          <c:y val="2.4133804848342398E-2"/>
          <c:w val="0.79159005462155063"/>
          <c:h val="0.22901199192669291"/>
        </c:manualLayout>
      </c:layout>
      <c:overlay val="0"/>
    </c:legend>
    <c:plotVisOnly val="1"/>
    <c:dispBlanksAs val="gap"/>
    <c:showDLblsOverMax val="0"/>
  </c:chart>
  <c:spPr>
    <a:ln>
      <a:noFill/>
    </a:ln>
  </c:spPr>
  <c:txPr>
    <a:bodyPr/>
    <a:lstStyle/>
    <a:p>
      <a:pPr>
        <a:defRPr sz="700"/>
      </a:pPr>
      <a:endParaRPr lang="en-US"/>
    </a:p>
  </c:txPr>
  <c:externalData r:id="rId1">
    <c:autoUpdate val="0"/>
  </c:externalData>
  <c:userShapes r:id="rId2"/>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817767087702567E-2"/>
          <c:y val="3.3275580565111672E-2"/>
          <c:w val="0.86422075143727461"/>
          <c:h val="0.89217591459913526"/>
        </c:manualLayout>
      </c:layout>
      <c:lineChart>
        <c:grouping val="standard"/>
        <c:varyColors val="0"/>
        <c:ser>
          <c:idx val="0"/>
          <c:order val="0"/>
          <c:tx>
            <c:v>MNT Deposit</c:v>
          </c:tx>
          <c:spPr>
            <a:ln w="22225">
              <a:prstDash val="sysDash"/>
            </a:ln>
          </c:spPr>
          <c:marker>
            <c:symbol val="none"/>
          </c:marker>
          <c:cat>
            <c:numRef>
              <c:f>'Mnth BoM data'!$FZ$1:$HR$1</c:f>
              <c:numCache>
                <c:formatCode>mmm\-yy</c:formatCode>
                <c:ptCount val="45"/>
                <c:pt idx="0">
                  <c:v>40179</c:v>
                </c:pt>
                <c:pt idx="1">
                  <c:v>40210</c:v>
                </c:pt>
                <c:pt idx="2">
                  <c:v>40238</c:v>
                </c:pt>
                <c:pt idx="3">
                  <c:v>40269</c:v>
                </c:pt>
                <c:pt idx="4">
                  <c:v>40299</c:v>
                </c:pt>
                <c:pt idx="5">
                  <c:v>40330</c:v>
                </c:pt>
                <c:pt idx="6">
                  <c:v>40360</c:v>
                </c:pt>
                <c:pt idx="7">
                  <c:v>40391</c:v>
                </c:pt>
                <c:pt idx="8">
                  <c:v>40422</c:v>
                </c:pt>
                <c:pt idx="9">
                  <c:v>40452</c:v>
                </c:pt>
                <c:pt idx="10">
                  <c:v>40483</c:v>
                </c:pt>
                <c:pt idx="11">
                  <c:v>40513</c:v>
                </c:pt>
                <c:pt idx="12">
                  <c:v>40544</c:v>
                </c:pt>
                <c:pt idx="13">
                  <c:v>40575</c:v>
                </c:pt>
                <c:pt idx="14">
                  <c:v>40603</c:v>
                </c:pt>
                <c:pt idx="15">
                  <c:v>40634</c:v>
                </c:pt>
                <c:pt idx="16">
                  <c:v>40664</c:v>
                </c:pt>
                <c:pt idx="17">
                  <c:v>40695</c:v>
                </c:pt>
                <c:pt idx="18">
                  <c:v>40725</c:v>
                </c:pt>
                <c:pt idx="19">
                  <c:v>40756</c:v>
                </c:pt>
                <c:pt idx="20">
                  <c:v>40787</c:v>
                </c:pt>
                <c:pt idx="21">
                  <c:v>40817</c:v>
                </c:pt>
                <c:pt idx="22">
                  <c:v>40848</c:v>
                </c:pt>
                <c:pt idx="23">
                  <c:v>40878</c:v>
                </c:pt>
                <c:pt idx="24">
                  <c:v>40909</c:v>
                </c:pt>
                <c:pt idx="25">
                  <c:v>40940</c:v>
                </c:pt>
                <c:pt idx="26">
                  <c:v>40969</c:v>
                </c:pt>
                <c:pt idx="27">
                  <c:v>41000</c:v>
                </c:pt>
                <c:pt idx="28">
                  <c:v>41030</c:v>
                </c:pt>
                <c:pt idx="29">
                  <c:v>41061</c:v>
                </c:pt>
                <c:pt idx="30">
                  <c:v>41091</c:v>
                </c:pt>
                <c:pt idx="31">
                  <c:v>41122</c:v>
                </c:pt>
                <c:pt idx="32">
                  <c:v>41153</c:v>
                </c:pt>
                <c:pt idx="33">
                  <c:v>41183</c:v>
                </c:pt>
                <c:pt idx="34">
                  <c:v>41214</c:v>
                </c:pt>
                <c:pt idx="35">
                  <c:v>41244</c:v>
                </c:pt>
                <c:pt idx="36">
                  <c:v>41275</c:v>
                </c:pt>
                <c:pt idx="37">
                  <c:v>41306</c:v>
                </c:pt>
                <c:pt idx="38">
                  <c:v>41334</c:v>
                </c:pt>
                <c:pt idx="39">
                  <c:v>41365</c:v>
                </c:pt>
                <c:pt idx="40">
                  <c:v>41395</c:v>
                </c:pt>
                <c:pt idx="41">
                  <c:v>41426</c:v>
                </c:pt>
                <c:pt idx="42">
                  <c:v>41456</c:v>
                </c:pt>
                <c:pt idx="43">
                  <c:v>41487</c:v>
                </c:pt>
                <c:pt idx="44">
                  <c:v>41518</c:v>
                </c:pt>
              </c:numCache>
            </c:numRef>
          </c:cat>
          <c:val>
            <c:numRef>
              <c:f>'Mnth BoM data'!$FZ$25:$HR$25</c:f>
              <c:numCache>
                <c:formatCode>_(* #,##0.00_);_(* \(#,##0.00\);_(* "-"??_);_(@_)</c:formatCode>
                <c:ptCount val="45"/>
                <c:pt idx="0">
                  <c:v>3.0463033232239747</c:v>
                </c:pt>
                <c:pt idx="1">
                  <c:v>6.0395170153199507</c:v>
                </c:pt>
                <c:pt idx="2">
                  <c:v>3.6471726666745399</c:v>
                </c:pt>
                <c:pt idx="3">
                  <c:v>3.0846296253290038</c:v>
                </c:pt>
                <c:pt idx="4">
                  <c:v>1.0930352248475383</c:v>
                </c:pt>
                <c:pt idx="5">
                  <c:v>2.2339348419245191</c:v>
                </c:pt>
                <c:pt idx="6">
                  <c:v>3.8767953702547349</c:v>
                </c:pt>
                <c:pt idx="7">
                  <c:v>3.2386816359717407</c:v>
                </c:pt>
                <c:pt idx="8">
                  <c:v>3.1432826004206049</c:v>
                </c:pt>
                <c:pt idx="9">
                  <c:v>2.7328231142734967</c:v>
                </c:pt>
                <c:pt idx="10">
                  <c:v>4.2592462530292714</c:v>
                </c:pt>
                <c:pt idx="11">
                  <c:v>7.7908303500652245</c:v>
                </c:pt>
                <c:pt idx="12">
                  <c:v>10.712884267435484</c:v>
                </c:pt>
                <c:pt idx="13">
                  <c:v>9.2118171099301112</c:v>
                </c:pt>
                <c:pt idx="14">
                  <c:v>5.1461319333635736</c:v>
                </c:pt>
                <c:pt idx="15">
                  <c:v>1.8405274797540061</c:v>
                </c:pt>
                <c:pt idx="16">
                  <c:v>1.751627758918882</c:v>
                </c:pt>
                <c:pt idx="17">
                  <c:v>3.0381676698941087</c:v>
                </c:pt>
                <c:pt idx="18">
                  <c:v>3.776558120156289</c:v>
                </c:pt>
                <c:pt idx="19">
                  <c:v>3.2196772003969785</c:v>
                </c:pt>
                <c:pt idx="20">
                  <c:v>2.8337174590653782</c:v>
                </c:pt>
                <c:pt idx="21">
                  <c:v>2.5015252258793419</c:v>
                </c:pt>
                <c:pt idx="22">
                  <c:v>1.558772523862674</c:v>
                </c:pt>
                <c:pt idx="23">
                  <c:v>1.5862589018218494</c:v>
                </c:pt>
                <c:pt idx="24">
                  <c:v>0.18038008924297091</c:v>
                </c:pt>
                <c:pt idx="25">
                  <c:v>2.1670603936863486</c:v>
                </c:pt>
                <c:pt idx="26">
                  <c:v>0.77859600426026798</c:v>
                </c:pt>
                <c:pt idx="27">
                  <c:v>1.3844561354229081</c:v>
                </c:pt>
                <c:pt idx="28">
                  <c:v>0.31740870517278441</c:v>
                </c:pt>
                <c:pt idx="29">
                  <c:v>1.1020766411713241</c:v>
                </c:pt>
                <c:pt idx="30">
                  <c:v>1.6433657702189739</c:v>
                </c:pt>
                <c:pt idx="31">
                  <c:v>0.61772071376751203</c:v>
                </c:pt>
                <c:pt idx="32">
                  <c:v>2.7549344134936152E-2</c:v>
                </c:pt>
                <c:pt idx="33">
                  <c:v>0.4758881485633859</c:v>
                </c:pt>
                <c:pt idx="34">
                  <c:v>0.89576049802500002</c:v>
                </c:pt>
                <c:pt idx="35">
                  <c:v>4.3062957112987714</c:v>
                </c:pt>
                <c:pt idx="36">
                  <c:v>4.3667838010529945</c:v>
                </c:pt>
                <c:pt idx="37">
                  <c:v>5.1845423739179655</c:v>
                </c:pt>
                <c:pt idx="38">
                  <c:v>1.8955814761220324</c:v>
                </c:pt>
                <c:pt idx="39">
                  <c:v>0.53951607630877763</c:v>
                </c:pt>
                <c:pt idx="40">
                  <c:v>2.2852232377154307</c:v>
                </c:pt>
                <c:pt idx="41">
                  <c:v>2.191706612975719</c:v>
                </c:pt>
                <c:pt idx="42">
                  <c:v>3.0322378777365655</c:v>
                </c:pt>
                <c:pt idx="43">
                  <c:v>0.18031642869080783</c:v>
                </c:pt>
                <c:pt idx="44">
                  <c:v>1.2091765392856724</c:v>
                </c:pt>
              </c:numCache>
            </c:numRef>
          </c:val>
          <c:smooth val="0"/>
        </c:ser>
        <c:ser>
          <c:idx val="1"/>
          <c:order val="1"/>
          <c:tx>
            <c:v>Foreign Currency Deposit</c:v>
          </c:tx>
          <c:spPr>
            <a:ln w="22225"/>
          </c:spPr>
          <c:marker>
            <c:symbol val="none"/>
          </c:marker>
          <c:cat>
            <c:numRef>
              <c:f>'Mnth BoM data'!$FZ$1:$HR$1</c:f>
              <c:numCache>
                <c:formatCode>mmm\-yy</c:formatCode>
                <c:ptCount val="45"/>
                <c:pt idx="0">
                  <c:v>40179</c:v>
                </c:pt>
                <c:pt idx="1">
                  <c:v>40210</c:v>
                </c:pt>
                <c:pt idx="2">
                  <c:v>40238</c:v>
                </c:pt>
                <c:pt idx="3">
                  <c:v>40269</c:v>
                </c:pt>
                <c:pt idx="4">
                  <c:v>40299</c:v>
                </c:pt>
                <c:pt idx="5">
                  <c:v>40330</c:v>
                </c:pt>
                <c:pt idx="6">
                  <c:v>40360</c:v>
                </c:pt>
                <c:pt idx="7">
                  <c:v>40391</c:v>
                </c:pt>
                <c:pt idx="8">
                  <c:v>40422</c:v>
                </c:pt>
                <c:pt idx="9">
                  <c:v>40452</c:v>
                </c:pt>
                <c:pt idx="10">
                  <c:v>40483</c:v>
                </c:pt>
                <c:pt idx="11">
                  <c:v>40513</c:v>
                </c:pt>
                <c:pt idx="12">
                  <c:v>40544</c:v>
                </c:pt>
                <c:pt idx="13">
                  <c:v>40575</c:v>
                </c:pt>
                <c:pt idx="14">
                  <c:v>40603</c:v>
                </c:pt>
                <c:pt idx="15">
                  <c:v>40634</c:v>
                </c:pt>
                <c:pt idx="16">
                  <c:v>40664</c:v>
                </c:pt>
                <c:pt idx="17">
                  <c:v>40695</c:v>
                </c:pt>
                <c:pt idx="18">
                  <c:v>40725</c:v>
                </c:pt>
                <c:pt idx="19">
                  <c:v>40756</c:v>
                </c:pt>
                <c:pt idx="20">
                  <c:v>40787</c:v>
                </c:pt>
                <c:pt idx="21">
                  <c:v>40817</c:v>
                </c:pt>
                <c:pt idx="22">
                  <c:v>40848</c:v>
                </c:pt>
                <c:pt idx="23">
                  <c:v>40878</c:v>
                </c:pt>
                <c:pt idx="24">
                  <c:v>40909</c:v>
                </c:pt>
                <c:pt idx="25">
                  <c:v>40940</c:v>
                </c:pt>
                <c:pt idx="26">
                  <c:v>40969</c:v>
                </c:pt>
                <c:pt idx="27">
                  <c:v>41000</c:v>
                </c:pt>
                <c:pt idx="28">
                  <c:v>41030</c:v>
                </c:pt>
                <c:pt idx="29">
                  <c:v>41061</c:v>
                </c:pt>
                <c:pt idx="30">
                  <c:v>41091</c:v>
                </c:pt>
                <c:pt idx="31">
                  <c:v>41122</c:v>
                </c:pt>
                <c:pt idx="32">
                  <c:v>41153</c:v>
                </c:pt>
                <c:pt idx="33">
                  <c:v>41183</c:v>
                </c:pt>
                <c:pt idx="34">
                  <c:v>41214</c:v>
                </c:pt>
                <c:pt idx="35">
                  <c:v>41244</c:v>
                </c:pt>
                <c:pt idx="36">
                  <c:v>41275</c:v>
                </c:pt>
                <c:pt idx="37">
                  <c:v>41306</c:v>
                </c:pt>
                <c:pt idx="38">
                  <c:v>41334</c:v>
                </c:pt>
                <c:pt idx="39">
                  <c:v>41365</c:v>
                </c:pt>
                <c:pt idx="40">
                  <c:v>41395</c:v>
                </c:pt>
                <c:pt idx="41">
                  <c:v>41426</c:v>
                </c:pt>
                <c:pt idx="42">
                  <c:v>41456</c:v>
                </c:pt>
                <c:pt idx="43">
                  <c:v>41487</c:v>
                </c:pt>
                <c:pt idx="44">
                  <c:v>41518</c:v>
                </c:pt>
              </c:numCache>
            </c:numRef>
          </c:cat>
          <c:val>
            <c:numRef>
              <c:f>'Mnth BoM data'!$FZ$29:$HR$29</c:f>
              <c:numCache>
                <c:formatCode>_(* #,##0.00_);_(* \(#,##0.00\);_(* "-"??_);_(@_)</c:formatCode>
                <c:ptCount val="45"/>
                <c:pt idx="0">
                  <c:v>2.5659375350441942</c:v>
                </c:pt>
                <c:pt idx="1">
                  <c:v>0.80097629293287564</c:v>
                </c:pt>
                <c:pt idx="2">
                  <c:v>-3.9297499745370224</c:v>
                </c:pt>
                <c:pt idx="3">
                  <c:v>0.16070135996582041</c:v>
                </c:pt>
                <c:pt idx="4">
                  <c:v>0.52638559930555651</c:v>
                </c:pt>
                <c:pt idx="5">
                  <c:v>2.9723532752318627</c:v>
                </c:pt>
                <c:pt idx="6">
                  <c:v>0.88715600920772286</c:v>
                </c:pt>
                <c:pt idx="7">
                  <c:v>0.49613824987289096</c:v>
                </c:pt>
                <c:pt idx="8">
                  <c:v>3.3462805252552048</c:v>
                </c:pt>
                <c:pt idx="9">
                  <c:v>1.1440937027173748</c:v>
                </c:pt>
                <c:pt idx="10">
                  <c:v>1.0766299503140329</c:v>
                </c:pt>
                <c:pt idx="11">
                  <c:v>4.6373428722294054</c:v>
                </c:pt>
                <c:pt idx="12">
                  <c:v>8.9236236693183137</c:v>
                </c:pt>
                <c:pt idx="13">
                  <c:v>9.5074563328143888</c:v>
                </c:pt>
                <c:pt idx="14">
                  <c:v>1.5810058883117386</c:v>
                </c:pt>
                <c:pt idx="15">
                  <c:v>1.2256743143967519</c:v>
                </c:pt>
                <c:pt idx="16">
                  <c:v>0.28681172995337384</c:v>
                </c:pt>
                <c:pt idx="17">
                  <c:v>2.2994939392208389</c:v>
                </c:pt>
                <c:pt idx="18">
                  <c:v>0.2875459613277403</c:v>
                </c:pt>
                <c:pt idx="19">
                  <c:v>0.62916073852326004</c:v>
                </c:pt>
                <c:pt idx="20">
                  <c:v>1.6585483359682147</c:v>
                </c:pt>
                <c:pt idx="21">
                  <c:v>1.3084364992747233</c:v>
                </c:pt>
                <c:pt idx="22">
                  <c:v>5.2465736417544315</c:v>
                </c:pt>
                <c:pt idx="23">
                  <c:v>3.020851864020635</c:v>
                </c:pt>
                <c:pt idx="24">
                  <c:v>4.3565579921179785</c:v>
                </c:pt>
                <c:pt idx="25">
                  <c:v>-0.17356779184434254</c:v>
                </c:pt>
                <c:pt idx="26">
                  <c:v>-7.0649585667091248</c:v>
                </c:pt>
                <c:pt idx="27">
                  <c:v>-0.97577461835858481</c:v>
                </c:pt>
                <c:pt idx="28">
                  <c:v>7.2778984737728765</c:v>
                </c:pt>
                <c:pt idx="29">
                  <c:v>17.606568643878155</c:v>
                </c:pt>
                <c:pt idx="30">
                  <c:v>8.2397745615769189</c:v>
                </c:pt>
                <c:pt idx="31">
                  <c:v>3.538613326198222</c:v>
                </c:pt>
                <c:pt idx="32">
                  <c:v>5.3293756440942364</c:v>
                </c:pt>
                <c:pt idx="33">
                  <c:v>4.8644810591527472</c:v>
                </c:pt>
                <c:pt idx="34">
                  <c:v>2.2659708467383224</c:v>
                </c:pt>
                <c:pt idx="35">
                  <c:v>-1.3926314293008621</c:v>
                </c:pt>
                <c:pt idx="36">
                  <c:v>-3.5611341380074419</c:v>
                </c:pt>
                <c:pt idx="37">
                  <c:v>-4.1693000500451767</c:v>
                </c:pt>
                <c:pt idx="38">
                  <c:v>-6.1405426256640139</c:v>
                </c:pt>
                <c:pt idx="39">
                  <c:v>-8.0164512807464057</c:v>
                </c:pt>
                <c:pt idx="40">
                  <c:v>-1.9367326069463799</c:v>
                </c:pt>
                <c:pt idx="41">
                  <c:v>-2.5507922830081604</c:v>
                </c:pt>
                <c:pt idx="42">
                  <c:v>5.9680004097538504</c:v>
                </c:pt>
                <c:pt idx="43">
                  <c:v>5.913193582884654</c:v>
                </c:pt>
                <c:pt idx="44">
                  <c:v>3.7139240885343763</c:v>
                </c:pt>
              </c:numCache>
            </c:numRef>
          </c:val>
          <c:smooth val="0"/>
        </c:ser>
        <c:ser>
          <c:idx val="2"/>
          <c:order val="2"/>
          <c:tx>
            <c:v>Share of Foreign Currency Deposit (%)</c:v>
          </c:tx>
          <c:marker>
            <c:symbol val="none"/>
          </c:marker>
          <c:cat>
            <c:numRef>
              <c:f>'Mnth BoM data'!$FZ$1:$HR$1</c:f>
              <c:numCache>
                <c:formatCode>mmm\-yy</c:formatCode>
                <c:ptCount val="45"/>
                <c:pt idx="0">
                  <c:v>40179</c:v>
                </c:pt>
                <c:pt idx="1">
                  <c:v>40210</c:v>
                </c:pt>
                <c:pt idx="2">
                  <c:v>40238</c:v>
                </c:pt>
                <c:pt idx="3">
                  <c:v>40269</c:v>
                </c:pt>
                <c:pt idx="4">
                  <c:v>40299</c:v>
                </c:pt>
                <c:pt idx="5">
                  <c:v>40330</c:v>
                </c:pt>
                <c:pt idx="6">
                  <c:v>40360</c:v>
                </c:pt>
                <c:pt idx="7">
                  <c:v>40391</c:v>
                </c:pt>
                <c:pt idx="8">
                  <c:v>40422</c:v>
                </c:pt>
                <c:pt idx="9">
                  <c:v>40452</c:v>
                </c:pt>
                <c:pt idx="10">
                  <c:v>40483</c:v>
                </c:pt>
                <c:pt idx="11">
                  <c:v>40513</c:v>
                </c:pt>
                <c:pt idx="12">
                  <c:v>40544</c:v>
                </c:pt>
                <c:pt idx="13">
                  <c:v>40575</c:v>
                </c:pt>
                <c:pt idx="14">
                  <c:v>40603</c:v>
                </c:pt>
                <c:pt idx="15">
                  <c:v>40634</c:v>
                </c:pt>
                <c:pt idx="16">
                  <c:v>40664</c:v>
                </c:pt>
                <c:pt idx="17">
                  <c:v>40695</c:v>
                </c:pt>
                <c:pt idx="18">
                  <c:v>40725</c:v>
                </c:pt>
                <c:pt idx="19">
                  <c:v>40756</c:v>
                </c:pt>
                <c:pt idx="20">
                  <c:v>40787</c:v>
                </c:pt>
                <c:pt idx="21">
                  <c:v>40817</c:v>
                </c:pt>
                <c:pt idx="22">
                  <c:v>40848</c:v>
                </c:pt>
                <c:pt idx="23">
                  <c:v>40878</c:v>
                </c:pt>
                <c:pt idx="24">
                  <c:v>40909</c:v>
                </c:pt>
                <c:pt idx="25">
                  <c:v>40940</c:v>
                </c:pt>
                <c:pt idx="26">
                  <c:v>40969</c:v>
                </c:pt>
                <c:pt idx="27">
                  <c:v>41000</c:v>
                </c:pt>
                <c:pt idx="28">
                  <c:v>41030</c:v>
                </c:pt>
                <c:pt idx="29">
                  <c:v>41061</c:v>
                </c:pt>
                <c:pt idx="30">
                  <c:v>41091</c:v>
                </c:pt>
                <c:pt idx="31">
                  <c:v>41122</c:v>
                </c:pt>
                <c:pt idx="32">
                  <c:v>41153</c:v>
                </c:pt>
                <c:pt idx="33">
                  <c:v>41183</c:v>
                </c:pt>
                <c:pt idx="34">
                  <c:v>41214</c:v>
                </c:pt>
                <c:pt idx="35">
                  <c:v>41244</c:v>
                </c:pt>
                <c:pt idx="36">
                  <c:v>41275</c:v>
                </c:pt>
                <c:pt idx="37">
                  <c:v>41306</c:v>
                </c:pt>
                <c:pt idx="38">
                  <c:v>41334</c:v>
                </c:pt>
                <c:pt idx="39">
                  <c:v>41365</c:v>
                </c:pt>
                <c:pt idx="40">
                  <c:v>41395</c:v>
                </c:pt>
                <c:pt idx="41">
                  <c:v>41426</c:v>
                </c:pt>
                <c:pt idx="42">
                  <c:v>41456</c:v>
                </c:pt>
                <c:pt idx="43">
                  <c:v>41487</c:v>
                </c:pt>
                <c:pt idx="44">
                  <c:v>41518</c:v>
                </c:pt>
              </c:numCache>
            </c:numRef>
          </c:cat>
          <c:val>
            <c:numRef>
              <c:f>'Mnth BoM data'!$FZ$30:$HR$30</c:f>
              <c:numCache>
                <c:formatCode>_(* #,##0.00_);_(* \(#,##0.00\);_(* "-"??_);_(@_)</c:formatCode>
                <c:ptCount val="45"/>
                <c:pt idx="0">
                  <c:v>32.854373890973605</c:v>
                </c:pt>
                <c:pt idx="1">
                  <c:v>30.245581223309756</c:v>
                </c:pt>
                <c:pt idx="2">
                  <c:v>28.600739363429724</c:v>
                </c:pt>
                <c:pt idx="3">
                  <c:v>30.905522755933983</c:v>
                </c:pt>
                <c:pt idx="4">
                  <c:v>29.891234842775702</c:v>
                </c:pt>
                <c:pt idx="5">
                  <c:v>29.126669767566664</c:v>
                </c:pt>
                <c:pt idx="6">
                  <c:v>29.06246989963217</c:v>
                </c:pt>
                <c:pt idx="7">
                  <c:v>28.214755849514511</c:v>
                </c:pt>
                <c:pt idx="8">
                  <c:v>29.213845310154955</c:v>
                </c:pt>
                <c:pt idx="9">
                  <c:v>28.114813252223197</c:v>
                </c:pt>
                <c:pt idx="10">
                  <c:v>26.413368678731306</c:v>
                </c:pt>
                <c:pt idx="11">
                  <c:v>27.378844869283057</c:v>
                </c:pt>
                <c:pt idx="12">
                  <c:v>27.048555613133967</c:v>
                </c:pt>
                <c:pt idx="13">
                  <c:v>26.700800678130346</c:v>
                </c:pt>
                <c:pt idx="14">
                  <c:v>25.321442716870187</c:v>
                </c:pt>
                <c:pt idx="15">
                  <c:v>26.668428248906732</c:v>
                </c:pt>
                <c:pt idx="16">
                  <c:v>25.861549216614772</c:v>
                </c:pt>
                <c:pt idx="17">
                  <c:v>24.970817131947552</c:v>
                </c:pt>
                <c:pt idx="18">
                  <c:v>24.711057116841946</c:v>
                </c:pt>
                <c:pt idx="19">
                  <c:v>24.407084574368877</c:v>
                </c:pt>
                <c:pt idx="20">
                  <c:v>24.328206888136283</c:v>
                </c:pt>
                <c:pt idx="21">
                  <c:v>24.064691604124231</c:v>
                </c:pt>
                <c:pt idx="22">
                  <c:v>26.344559528916236</c:v>
                </c:pt>
                <c:pt idx="23">
                  <c:v>25.136716385310386</c:v>
                </c:pt>
                <c:pt idx="24">
                  <c:v>26.424202199139213</c:v>
                </c:pt>
                <c:pt idx="25">
                  <c:v>25.022046199588985</c:v>
                </c:pt>
                <c:pt idx="26">
                  <c:v>20.43707479977413</c:v>
                </c:pt>
                <c:pt idx="27">
                  <c:v>25.108753101636232</c:v>
                </c:pt>
                <c:pt idx="28">
                  <c:v>28.424783727538525</c:v>
                </c:pt>
                <c:pt idx="29">
                  <c:v>29.48705045682409</c:v>
                </c:pt>
                <c:pt idx="30">
                  <c:v>29.132859071998691</c:v>
                </c:pt>
                <c:pt idx="31">
                  <c:v>30.223389536499557</c:v>
                </c:pt>
                <c:pt idx="32">
                  <c:v>32.679302917308533</c:v>
                </c:pt>
                <c:pt idx="33">
                  <c:v>31.901181775222327</c:v>
                </c:pt>
                <c:pt idx="34">
                  <c:v>31.158610436561304</c:v>
                </c:pt>
                <c:pt idx="35">
                  <c:v>29.144846795493045</c:v>
                </c:pt>
                <c:pt idx="36">
                  <c:v>26.988607378568076</c:v>
                </c:pt>
                <c:pt idx="37">
                  <c:v>25.380699048180514</c:v>
                </c:pt>
                <c:pt idx="38">
                  <c:v>24.335658767329139</c:v>
                </c:pt>
                <c:pt idx="39">
                  <c:v>21.936690249938085</c:v>
                </c:pt>
                <c:pt idx="40">
                  <c:v>23.156237644793787</c:v>
                </c:pt>
                <c:pt idx="41">
                  <c:v>21.835066199554795</c:v>
                </c:pt>
                <c:pt idx="42">
                  <c:v>23.42171214532085</c:v>
                </c:pt>
                <c:pt idx="43">
                  <c:v>26.041572078502746</c:v>
                </c:pt>
                <c:pt idx="44">
                  <c:v>23.275680455918774</c:v>
                </c:pt>
              </c:numCache>
            </c:numRef>
          </c:val>
          <c:smooth val="0"/>
        </c:ser>
        <c:dLbls>
          <c:showLegendKey val="0"/>
          <c:showVal val="0"/>
          <c:showCatName val="0"/>
          <c:showSerName val="0"/>
          <c:showPercent val="0"/>
          <c:showBubbleSize val="0"/>
        </c:dLbls>
        <c:marker val="1"/>
        <c:smooth val="0"/>
        <c:axId val="281271680"/>
        <c:axId val="281273472"/>
      </c:lineChart>
      <c:dateAx>
        <c:axId val="281271680"/>
        <c:scaling>
          <c:orientation val="minMax"/>
          <c:max val="41518"/>
          <c:min val="40238"/>
        </c:scaling>
        <c:delete val="0"/>
        <c:axPos val="b"/>
        <c:numFmt formatCode="mmm\-yy" sourceLinked="1"/>
        <c:majorTickMark val="out"/>
        <c:minorTickMark val="none"/>
        <c:tickLblPos val="low"/>
        <c:crossAx val="281273472"/>
        <c:crosses val="autoZero"/>
        <c:auto val="1"/>
        <c:lblOffset val="100"/>
        <c:baseTimeUnit val="months"/>
      </c:dateAx>
      <c:valAx>
        <c:axId val="281273472"/>
        <c:scaling>
          <c:orientation val="minMax"/>
        </c:scaling>
        <c:delete val="0"/>
        <c:axPos val="l"/>
        <c:majorGridlines>
          <c:spPr>
            <a:ln>
              <a:noFill/>
            </a:ln>
          </c:spPr>
        </c:majorGridlines>
        <c:numFmt formatCode="General" sourceLinked="0"/>
        <c:majorTickMark val="out"/>
        <c:minorTickMark val="none"/>
        <c:tickLblPos val="nextTo"/>
        <c:crossAx val="281271680"/>
        <c:crosses val="autoZero"/>
        <c:crossBetween val="between"/>
      </c:valAx>
    </c:plotArea>
    <c:legend>
      <c:legendPos val="r"/>
      <c:layout>
        <c:manualLayout>
          <c:xMode val="edge"/>
          <c:yMode val="edge"/>
          <c:x val="6.5077978105967507E-2"/>
          <c:y val="0.62106810998656858"/>
          <c:w val="0.58155048198567727"/>
          <c:h val="0.20937187339613331"/>
        </c:manualLayout>
      </c:layout>
      <c:overlay val="0"/>
    </c:legend>
    <c:plotVisOnly val="1"/>
    <c:dispBlanksAs val="gap"/>
    <c:showDLblsOverMax val="0"/>
  </c:chart>
  <c:spPr>
    <a:ln>
      <a:noFill/>
    </a:ln>
  </c:spPr>
  <c:txPr>
    <a:bodyPr/>
    <a:lstStyle/>
    <a:p>
      <a:pPr>
        <a:defRPr sz="700"/>
      </a:pPr>
      <a:endParaRPr lang="en-US"/>
    </a:p>
  </c:txPr>
  <c:externalData r:id="rId1">
    <c:autoUpdate val="0"/>
  </c:externalData>
  <c:userShapes r:id="rId2"/>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6589909957584301E-2"/>
          <c:y val="8.3292577581639979E-2"/>
          <c:w val="0.8379893762252606"/>
          <c:h val="0.72189091212786416"/>
        </c:manualLayout>
      </c:layout>
      <c:barChart>
        <c:barDir val="col"/>
        <c:grouping val="clustered"/>
        <c:varyColors val="0"/>
        <c:ser>
          <c:idx val="2"/>
          <c:order val="1"/>
          <c:tx>
            <c:v>Net Issuance of CB Bills (billion MNT, Right Axis)</c:v>
          </c:tx>
          <c:invertIfNegative val="0"/>
          <c:cat>
            <c:numRef>
              <c:f>'Mnth BoM data'!$FZ$1:$HQ$1</c:f>
              <c:numCache>
                <c:formatCode>mmm\-yy</c:formatCode>
                <c:ptCount val="44"/>
                <c:pt idx="0">
                  <c:v>40179</c:v>
                </c:pt>
                <c:pt idx="1">
                  <c:v>40210</c:v>
                </c:pt>
                <c:pt idx="2">
                  <c:v>40238</c:v>
                </c:pt>
                <c:pt idx="3">
                  <c:v>40269</c:v>
                </c:pt>
                <c:pt idx="4">
                  <c:v>40299</c:v>
                </c:pt>
                <c:pt idx="5">
                  <c:v>40330</c:v>
                </c:pt>
                <c:pt idx="6">
                  <c:v>40360</c:v>
                </c:pt>
                <c:pt idx="7">
                  <c:v>40391</c:v>
                </c:pt>
                <c:pt idx="8">
                  <c:v>40422</c:v>
                </c:pt>
                <c:pt idx="9">
                  <c:v>40452</c:v>
                </c:pt>
                <c:pt idx="10">
                  <c:v>40483</c:v>
                </c:pt>
                <c:pt idx="11">
                  <c:v>40513</c:v>
                </c:pt>
                <c:pt idx="12">
                  <c:v>40544</c:v>
                </c:pt>
                <c:pt idx="13">
                  <c:v>40575</c:v>
                </c:pt>
                <c:pt idx="14">
                  <c:v>40603</c:v>
                </c:pt>
                <c:pt idx="15">
                  <c:v>40634</c:v>
                </c:pt>
                <c:pt idx="16">
                  <c:v>40664</c:v>
                </c:pt>
                <c:pt idx="17">
                  <c:v>40695</c:v>
                </c:pt>
                <c:pt idx="18">
                  <c:v>40725</c:v>
                </c:pt>
                <c:pt idx="19">
                  <c:v>40756</c:v>
                </c:pt>
                <c:pt idx="20">
                  <c:v>40787</c:v>
                </c:pt>
                <c:pt idx="21">
                  <c:v>40817</c:v>
                </c:pt>
                <c:pt idx="22">
                  <c:v>40848</c:v>
                </c:pt>
                <c:pt idx="23">
                  <c:v>40878</c:v>
                </c:pt>
                <c:pt idx="24">
                  <c:v>40909</c:v>
                </c:pt>
                <c:pt idx="25">
                  <c:v>40940</c:v>
                </c:pt>
                <c:pt idx="26">
                  <c:v>40969</c:v>
                </c:pt>
                <c:pt idx="27">
                  <c:v>41000</c:v>
                </c:pt>
                <c:pt idx="28">
                  <c:v>41030</c:v>
                </c:pt>
                <c:pt idx="29">
                  <c:v>41061</c:v>
                </c:pt>
                <c:pt idx="30">
                  <c:v>41091</c:v>
                </c:pt>
                <c:pt idx="31">
                  <c:v>41122</c:v>
                </c:pt>
                <c:pt idx="32">
                  <c:v>41153</c:v>
                </c:pt>
                <c:pt idx="33">
                  <c:v>41183</c:v>
                </c:pt>
                <c:pt idx="34">
                  <c:v>41214</c:v>
                </c:pt>
                <c:pt idx="35">
                  <c:v>41244</c:v>
                </c:pt>
                <c:pt idx="36">
                  <c:v>41275</c:v>
                </c:pt>
                <c:pt idx="37">
                  <c:v>41306</c:v>
                </c:pt>
                <c:pt idx="38">
                  <c:v>41334</c:v>
                </c:pt>
                <c:pt idx="39">
                  <c:v>41365</c:v>
                </c:pt>
                <c:pt idx="40">
                  <c:v>41395</c:v>
                </c:pt>
                <c:pt idx="41">
                  <c:v>41426</c:v>
                </c:pt>
                <c:pt idx="42">
                  <c:v>41456</c:v>
                </c:pt>
                <c:pt idx="43">
                  <c:v>41487</c:v>
                </c:pt>
              </c:numCache>
            </c:numRef>
          </c:cat>
          <c:val>
            <c:numRef>
              <c:f>'Mnth BoM data'!$FZ$200:$HR$200</c:f>
              <c:numCache>
                <c:formatCode>_(* #,##0.00_);_(* \(#,##0.00\);_(* "-"??_);_(@_)</c:formatCode>
                <c:ptCount val="45"/>
                <c:pt idx="0">
                  <c:v>120721.08664698986</c:v>
                </c:pt>
                <c:pt idx="1">
                  <c:v>19653.551798750123</c:v>
                </c:pt>
                <c:pt idx="2">
                  <c:v>-40455.293251559975</c:v>
                </c:pt>
                <c:pt idx="3">
                  <c:v>-49558.087269260002</c:v>
                </c:pt>
                <c:pt idx="4">
                  <c:v>60302.615451379992</c:v>
                </c:pt>
                <c:pt idx="5">
                  <c:v>52467.154634779945</c:v>
                </c:pt>
                <c:pt idx="6">
                  <c:v>-29285.030179149915</c:v>
                </c:pt>
                <c:pt idx="7">
                  <c:v>124602.61353803007</c:v>
                </c:pt>
                <c:pt idx="8">
                  <c:v>9571.1174176998902</c:v>
                </c:pt>
                <c:pt idx="9">
                  <c:v>213124.9276186002</c:v>
                </c:pt>
                <c:pt idx="10">
                  <c:v>87589.741437369696</c:v>
                </c:pt>
                <c:pt idx="11">
                  <c:v>141878.13739644003</c:v>
                </c:pt>
                <c:pt idx="12">
                  <c:v>149978.81877580011</c:v>
                </c:pt>
                <c:pt idx="13">
                  <c:v>77678.550519159908</c:v>
                </c:pt>
                <c:pt idx="14">
                  <c:v>-155878.68298904016</c:v>
                </c:pt>
                <c:pt idx="15">
                  <c:v>-161682.10374340997</c:v>
                </c:pt>
                <c:pt idx="16">
                  <c:v>29633.858276610012</c:v>
                </c:pt>
                <c:pt idx="17">
                  <c:v>105992.97987294989</c:v>
                </c:pt>
                <c:pt idx="18">
                  <c:v>-31419.497901779854</c:v>
                </c:pt>
                <c:pt idx="19">
                  <c:v>-115209.50455370339</c:v>
                </c:pt>
                <c:pt idx="20">
                  <c:v>-120622.37413681659</c:v>
                </c:pt>
                <c:pt idx="21">
                  <c:v>-181953.26843817972</c:v>
                </c:pt>
                <c:pt idx="22">
                  <c:v>-148765.8034253298</c:v>
                </c:pt>
                <c:pt idx="23">
                  <c:v>329213.26693304977</c:v>
                </c:pt>
                <c:pt idx="24">
                  <c:v>-306153.76078877016</c:v>
                </c:pt>
                <c:pt idx="25">
                  <c:v>168005.00365292974</c:v>
                </c:pt>
                <c:pt idx="26">
                  <c:v>-834.13883867999641</c:v>
                </c:pt>
                <c:pt idx="27">
                  <c:v>-212753.02738449001</c:v>
                </c:pt>
                <c:pt idx="28">
                  <c:v>38776.873801269801</c:v>
                </c:pt>
                <c:pt idx="29">
                  <c:v>-9606.1788148698288</c:v>
                </c:pt>
                <c:pt idx="30">
                  <c:v>-17568.296704509903</c:v>
                </c:pt>
                <c:pt idx="31">
                  <c:v>-75606.148290020108</c:v>
                </c:pt>
                <c:pt idx="32">
                  <c:v>-96545.962130429805</c:v>
                </c:pt>
                <c:pt idx="33">
                  <c:v>55857.309590220088</c:v>
                </c:pt>
                <c:pt idx="34">
                  <c:v>49406.052939270106</c:v>
                </c:pt>
                <c:pt idx="35">
                  <c:v>274343.06689729984</c:v>
                </c:pt>
                <c:pt idx="36">
                  <c:v>653.56703831010941</c:v>
                </c:pt>
                <c:pt idx="37">
                  <c:v>152656.2548918199</c:v>
                </c:pt>
                <c:pt idx="38">
                  <c:v>-166389.08943063987</c:v>
                </c:pt>
                <c:pt idx="39">
                  <c:v>-343144.04181067995</c:v>
                </c:pt>
                <c:pt idx="40">
                  <c:v>352557.5213855537</c:v>
                </c:pt>
                <c:pt idx="41">
                  <c:v>-75011.088192733427</c:v>
                </c:pt>
                <c:pt idx="42">
                  <c:v>103402.64014596771</c:v>
                </c:pt>
                <c:pt idx="43">
                  <c:v>584407.78678642272</c:v>
                </c:pt>
                <c:pt idx="44">
                  <c:v>187232.93352392968</c:v>
                </c:pt>
              </c:numCache>
            </c:numRef>
          </c:val>
        </c:ser>
        <c:dLbls>
          <c:showLegendKey val="0"/>
          <c:showVal val="0"/>
          <c:showCatName val="0"/>
          <c:showSerName val="0"/>
          <c:showPercent val="0"/>
          <c:showBubbleSize val="0"/>
        </c:dLbls>
        <c:gapWidth val="150"/>
        <c:axId val="280980480"/>
        <c:axId val="280978560"/>
      </c:barChart>
      <c:lineChart>
        <c:grouping val="standard"/>
        <c:varyColors val="0"/>
        <c:ser>
          <c:idx val="1"/>
          <c:order val="0"/>
          <c:tx>
            <c:v>Reserve Money Growth (3 mma, yoy %, Left Axis)</c:v>
          </c:tx>
          <c:spPr>
            <a:ln w="22225"/>
          </c:spPr>
          <c:marker>
            <c:symbol val="none"/>
          </c:marker>
          <c:cat>
            <c:numRef>
              <c:f>'Mnth BoM data'!$FZ$1:$HR$1</c:f>
              <c:numCache>
                <c:formatCode>mmm\-yy</c:formatCode>
                <c:ptCount val="45"/>
                <c:pt idx="0">
                  <c:v>40179</c:v>
                </c:pt>
                <c:pt idx="1">
                  <c:v>40210</c:v>
                </c:pt>
                <c:pt idx="2">
                  <c:v>40238</c:v>
                </c:pt>
                <c:pt idx="3">
                  <c:v>40269</c:v>
                </c:pt>
                <c:pt idx="4">
                  <c:v>40299</c:v>
                </c:pt>
                <c:pt idx="5">
                  <c:v>40330</c:v>
                </c:pt>
                <c:pt idx="6">
                  <c:v>40360</c:v>
                </c:pt>
                <c:pt idx="7">
                  <c:v>40391</c:v>
                </c:pt>
                <c:pt idx="8">
                  <c:v>40422</c:v>
                </c:pt>
                <c:pt idx="9">
                  <c:v>40452</c:v>
                </c:pt>
                <c:pt idx="10">
                  <c:v>40483</c:v>
                </c:pt>
                <c:pt idx="11">
                  <c:v>40513</c:v>
                </c:pt>
                <c:pt idx="12">
                  <c:v>40544</c:v>
                </c:pt>
                <c:pt idx="13">
                  <c:v>40575</c:v>
                </c:pt>
                <c:pt idx="14">
                  <c:v>40603</c:v>
                </c:pt>
                <c:pt idx="15">
                  <c:v>40634</c:v>
                </c:pt>
                <c:pt idx="16">
                  <c:v>40664</c:v>
                </c:pt>
                <c:pt idx="17">
                  <c:v>40695</c:v>
                </c:pt>
                <c:pt idx="18">
                  <c:v>40725</c:v>
                </c:pt>
                <c:pt idx="19">
                  <c:v>40756</c:v>
                </c:pt>
                <c:pt idx="20">
                  <c:v>40787</c:v>
                </c:pt>
                <c:pt idx="21">
                  <c:v>40817</c:v>
                </c:pt>
                <c:pt idx="22">
                  <c:v>40848</c:v>
                </c:pt>
                <c:pt idx="23">
                  <c:v>40878</c:v>
                </c:pt>
                <c:pt idx="24">
                  <c:v>40909</c:v>
                </c:pt>
                <c:pt idx="25">
                  <c:v>40940</c:v>
                </c:pt>
                <c:pt idx="26">
                  <c:v>40969</c:v>
                </c:pt>
                <c:pt idx="27">
                  <c:v>41000</c:v>
                </c:pt>
                <c:pt idx="28">
                  <c:v>41030</c:v>
                </c:pt>
                <c:pt idx="29">
                  <c:v>41061</c:v>
                </c:pt>
                <c:pt idx="30">
                  <c:v>41091</c:v>
                </c:pt>
                <c:pt idx="31">
                  <c:v>41122</c:v>
                </c:pt>
                <c:pt idx="32">
                  <c:v>41153</c:v>
                </c:pt>
                <c:pt idx="33">
                  <c:v>41183</c:v>
                </c:pt>
                <c:pt idx="34">
                  <c:v>41214</c:v>
                </c:pt>
                <c:pt idx="35">
                  <c:v>41244</c:v>
                </c:pt>
                <c:pt idx="36">
                  <c:v>41275</c:v>
                </c:pt>
                <c:pt idx="37">
                  <c:v>41306</c:v>
                </c:pt>
                <c:pt idx="38">
                  <c:v>41334</c:v>
                </c:pt>
                <c:pt idx="39">
                  <c:v>41365</c:v>
                </c:pt>
                <c:pt idx="40">
                  <c:v>41395</c:v>
                </c:pt>
                <c:pt idx="41">
                  <c:v>41426</c:v>
                </c:pt>
                <c:pt idx="42">
                  <c:v>41456</c:v>
                </c:pt>
                <c:pt idx="43">
                  <c:v>41487</c:v>
                </c:pt>
                <c:pt idx="44">
                  <c:v>41518</c:v>
                </c:pt>
              </c:numCache>
            </c:numRef>
          </c:cat>
          <c:val>
            <c:numRef>
              <c:f>'Mnth BoM data'!$FZ$17:$HR$17</c:f>
              <c:numCache>
                <c:formatCode>_(* #,##0.00_);_(* \(#,##0.00\);_(* "-"??_);_(@_)</c:formatCode>
                <c:ptCount val="45"/>
                <c:pt idx="0">
                  <c:v>15.519591687207273</c:v>
                </c:pt>
                <c:pt idx="1">
                  <c:v>8.7898720980948184</c:v>
                </c:pt>
                <c:pt idx="2">
                  <c:v>8.6830162610280208</c:v>
                </c:pt>
                <c:pt idx="3">
                  <c:v>18.934757110146933</c:v>
                </c:pt>
                <c:pt idx="4">
                  <c:v>27.545527585338579</c:v>
                </c:pt>
                <c:pt idx="5">
                  <c:v>26.381116346631888</c:v>
                </c:pt>
                <c:pt idx="6">
                  <c:v>19.072288422110741</c:v>
                </c:pt>
                <c:pt idx="7">
                  <c:v>11.791426678220196</c:v>
                </c:pt>
                <c:pt idx="8">
                  <c:v>13.875782705772504</c:v>
                </c:pt>
                <c:pt idx="9">
                  <c:v>11.646588185082576</c:v>
                </c:pt>
                <c:pt idx="10">
                  <c:v>19.050204352371747</c:v>
                </c:pt>
                <c:pt idx="11">
                  <c:v>22.668396131867457</c:v>
                </c:pt>
                <c:pt idx="12">
                  <c:v>33.348898618194859</c:v>
                </c:pt>
                <c:pt idx="13">
                  <c:v>33.159299272799494</c:v>
                </c:pt>
                <c:pt idx="14">
                  <c:v>40.148992135003411</c:v>
                </c:pt>
                <c:pt idx="15">
                  <c:v>44.625884415686023</c:v>
                </c:pt>
                <c:pt idx="16">
                  <c:v>61.473530729970918</c:v>
                </c:pt>
                <c:pt idx="17">
                  <c:v>62.204417572071208</c:v>
                </c:pt>
                <c:pt idx="18">
                  <c:v>68.135530411923355</c:v>
                </c:pt>
                <c:pt idx="19">
                  <c:v>66.853382008955307</c:v>
                </c:pt>
                <c:pt idx="20">
                  <c:v>76.04966556973163</c:v>
                </c:pt>
                <c:pt idx="21">
                  <c:v>79.394711142877711</c:v>
                </c:pt>
                <c:pt idx="22">
                  <c:v>86.610033985018887</c:v>
                </c:pt>
                <c:pt idx="23">
                  <c:v>85.216495786936662</c:v>
                </c:pt>
                <c:pt idx="24">
                  <c:v>81.863136261847544</c:v>
                </c:pt>
                <c:pt idx="25">
                  <c:v>75.98529722622861</c:v>
                </c:pt>
                <c:pt idx="26">
                  <c:v>76.817157688133946</c:v>
                </c:pt>
                <c:pt idx="27">
                  <c:v>67.692159206609048</c:v>
                </c:pt>
                <c:pt idx="28">
                  <c:v>55.967334820235862</c:v>
                </c:pt>
                <c:pt idx="29">
                  <c:v>56.978290977471531</c:v>
                </c:pt>
                <c:pt idx="30">
                  <c:v>57.032497785758757</c:v>
                </c:pt>
                <c:pt idx="31">
                  <c:v>59.432531775546494</c:v>
                </c:pt>
                <c:pt idx="32">
                  <c:v>56.363929297242748</c:v>
                </c:pt>
                <c:pt idx="33">
                  <c:v>55.749299254551211</c:v>
                </c:pt>
                <c:pt idx="34">
                  <c:v>54.427791425529364</c:v>
                </c:pt>
                <c:pt idx="35">
                  <c:v>40.642984114431108</c:v>
                </c:pt>
                <c:pt idx="36">
                  <c:v>38.873335104448209</c:v>
                </c:pt>
                <c:pt idx="37">
                  <c:v>39.881966962468994</c:v>
                </c:pt>
                <c:pt idx="38">
                  <c:v>41.705193641488314</c:v>
                </c:pt>
                <c:pt idx="39">
                  <c:v>44.086516758383524</c:v>
                </c:pt>
                <c:pt idx="40">
                  <c:v>45.330315598145113</c:v>
                </c:pt>
                <c:pt idx="41">
                  <c:v>51.277086811376805</c:v>
                </c:pt>
                <c:pt idx="42">
                  <c:v>55.536365448597003</c:v>
                </c:pt>
                <c:pt idx="43">
                  <c:v>49.019899794111993</c:v>
                </c:pt>
                <c:pt idx="44">
                  <c:v>38.549917754768607</c:v>
                </c:pt>
              </c:numCache>
            </c:numRef>
          </c:val>
          <c:smooth val="0"/>
        </c:ser>
        <c:dLbls>
          <c:showLegendKey val="0"/>
          <c:showVal val="0"/>
          <c:showCatName val="0"/>
          <c:showSerName val="0"/>
          <c:showPercent val="0"/>
          <c:showBubbleSize val="0"/>
        </c:dLbls>
        <c:marker val="1"/>
        <c:smooth val="0"/>
        <c:axId val="280975232"/>
        <c:axId val="280976768"/>
      </c:lineChart>
      <c:dateAx>
        <c:axId val="280975232"/>
        <c:scaling>
          <c:orientation val="minMax"/>
          <c:max val="41518"/>
          <c:min val="40238"/>
        </c:scaling>
        <c:delete val="0"/>
        <c:axPos val="b"/>
        <c:numFmt formatCode="mmm\-yy" sourceLinked="1"/>
        <c:majorTickMark val="out"/>
        <c:minorTickMark val="none"/>
        <c:tickLblPos val="nextTo"/>
        <c:crossAx val="280976768"/>
        <c:crosses val="autoZero"/>
        <c:auto val="1"/>
        <c:lblOffset val="100"/>
        <c:baseTimeUnit val="months"/>
      </c:dateAx>
      <c:valAx>
        <c:axId val="280976768"/>
        <c:scaling>
          <c:orientation val="minMax"/>
        </c:scaling>
        <c:delete val="0"/>
        <c:axPos val="l"/>
        <c:majorGridlines>
          <c:spPr>
            <a:ln>
              <a:noFill/>
            </a:ln>
          </c:spPr>
        </c:majorGridlines>
        <c:numFmt formatCode="General" sourceLinked="0"/>
        <c:majorTickMark val="out"/>
        <c:minorTickMark val="none"/>
        <c:tickLblPos val="nextTo"/>
        <c:crossAx val="280975232"/>
        <c:crosses val="autoZero"/>
        <c:crossBetween val="between"/>
      </c:valAx>
      <c:valAx>
        <c:axId val="280978560"/>
        <c:scaling>
          <c:orientation val="minMax"/>
        </c:scaling>
        <c:delete val="0"/>
        <c:axPos val="r"/>
        <c:numFmt formatCode="General" sourceLinked="0"/>
        <c:majorTickMark val="out"/>
        <c:minorTickMark val="none"/>
        <c:tickLblPos val="nextTo"/>
        <c:crossAx val="280980480"/>
        <c:crosses val="max"/>
        <c:crossBetween val="between"/>
        <c:dispUnits>
          <c:builtInUnit val="thousands"/>
        </c:dispUnits>
      </c:valAx>
      <c:dateAx>
        <c:axId val="280980480"/>
        <c:scaling>
          <c:orientation val="minMax"/>
        </c:scaling>
        <c:delete val="1"/>
        <c:axPos val="b"/>
        <c:numFmt formatCode="mmm\-yy" sourceLinked="1"/>
        <c:majorTickMark val="out"/>
        <c:minorTickMark val="none"/>
        <c:tickLblPos val="nextTo"/>
        <c:crossAx val="280978560"/>
        <c:crosses val="autoZero"/>
        <c:auto val="1"/>
        <c:lblOffset val="100"/>
        <c:baseTimeUnit val="months"/>
      </c:dateAx>
    </c:plotArea>
    <c:legend>
      <c:legendPos val="r"/>
      <c:layout>
        <c:manualLayout>
          <c:xMode val="edge"/>
          <c:yMode val="edge"/>
          <c:x val="6.1797296689711373E-2"/>
          <c:y val="4.9732356541279277E-2"/>
          <c:w val="0.78544435577962157"/>
          <c:h val="0.13301372472773684"/>
        </c:manualLayout>
      </c:layout>
      <c:overlay val="0"/>
    </c:legend>
    <c:plotVisOnly val="1"/>
    <c:dispBlanksAs val="gap"/>
    <c:showDLblsOverMax val="0"/>
  </c:chart>
  <c:spPr>
    <a:ln>
      <a:noFill/>
    </a:ln>
  </c:spPr>
  <c:txPr>
    <a:bodyPr/>
    <a:lstStyle/>
    <a:p>
      <a:pPr>
        <a:defRPr sz="700"/>
      </a:pPr>
      <a:endParaRPr lang="en-US"/>
    </a:p>
  </c:txPr>
  <c:externalData r:id="rId1">
    <c:autoUpdate val="0"/>
  </c:externalData>
  <c:userShapes r:id="rId2"/>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9519925502499703E-2"/>
          <c:y val="2.7239526203630036E-2"/>
          <c:w val="0.92557253037166587"/>
          <c:h val="0.94100766744854236"/>
        </c:manualLayout>
      </c:layout>
      <c:lineChart>
        <c:grouping val="standard"/>
        <c:varyColors val="0"/>
        <c:ser>
          <c:idx val="0"/>
          <c:order val="0"/>
          <c:tx>
            <c:strRef>
              <c:f>'Loan report'!$BC$5</c:f>
              <c:strCache>
                <c:ptCount val="1"/>
                <c:pt idx="0">
                  <c:v>Agriculture</c:v>
                </c:pt>
              </c:strCache>
            </c:strRef>
          </c:tx>
          <c:spPr>
            <a:ln w="22225"/>
          </c:spPr>
          <c:marker>
            <c:symbol val="none"/>
          </c:marker>
          <c:cat>
            <c:strRef>
              <c:f>'Loan report'!$BD$4:$CD$4</c:f>
              <c:strCache>
                <c:ptCount val="6"/>
                <c:pt idx="0">
                  <c:v>2012 Q1</c:v>
                </c:pt>
                <c:pt idx="1">
                  <c:v>2012 Q2</c:v>
                </c:pt>
                <c:pt idx="2">
                  <c:v>2012 Q3</c:v>
                </c:pt>
                <c:pt idx="3">
                  <c:v>2012 Q4</c:v>
                </c:pt>
                <c:pt idx="4">
                  <c:v>2013 Q1</c:v>
                </c:pt>
                <c:pt idx="5">
                  <c:v>2013 Q2</c:v>
                </c:pt>
              </c:strCache>
            </c:strRef>
          </c:cat>
          <c:val>
            <c:numRef>
              <c:f>'Loan report'!$BD$5:$CD$5</c:f>
              <c:numCache>
                <c:formatCode>0.0</c:formatCode>
                <c:ptCount val="6"/>
                <c:pt idx="0">
                  <c:v>-6.1421571934536408</c:v>
                </c:pt>
                <c:pt idx="1">
                  <c:v>7.2031472073542684</c:v>
                </c:pt>
                <c:pt idx="2">
                  <c:v>6.5185105149311475</c:v>
                </c:pt>
                <c:pt idx="3">
                  <c:v>2.2464432504904179</c:v>
                </c:pt>
                <c:pt idx="4">
                  <c:v>-1.4967546187683478</c:v>
                </c:pt>
                <c:pt idx="5">
                  <c:v>16.76164268638863</c:v>
                </c:pt>
              </c:numCache>
            </c:numRef>
          </c:val>
          <c:smooth val="0"/>
        </c:ser>
        <c:ser>
          <c:idx val="1"/>
          <c:order val="1"/>
          <c:tx>
            <c:strRef>
              <c:f>'Loan report'!$BC$6</c:f>
              <c:strCache>
                <c:ptCount val="1"/>
                <c:pt idx="0">
                  <c:v>Construction</c:v>
                </c:pt>
              </c:strCache>
            </c:strRef>
          </c:tx>
          <c:spPr>
            <a:ln w="22225">
              <a:prstDash val="sysDash"/>
            </a:ln>
          </c:spPr>
          <c:marker>
            <c:symbol val="none"/>
          </c:marker>
          <c:cat>
            <c:strRef>
              <c:f>'Loan report'!$BD$4:$CD$4</c:f>
              <c:strCache>
                <c:ptCount val="6"/>
                <c:pt idx="0">
                  <c:v>2012 Q1</c:v>
                </c:pt>
                <c:pt idx="1">
                  <c:v>2012 Q2</c:v>
                </c:pt>
                <c:pt idx="2">
                  <c:v>2012 Q3</c:v>
                </c:pt>
                <c:pt idx="3">
                  <c:v>2012 Q4</c:v>
                </c:pt>
                <c:pt idx="4">
                  <c:v>2013 Q1</c:v>
                </c:pt>
                <c:pt idx="5">
                  <c:v>2013 Q2</c:v>
                </c:pt>
              </c:strCache>
            </c:strRef>
          </c:cat>
          <c:val>
            <c:numRef>
              <c:f>'Loan report'!$BD$6:$CD$6</c:f>
              <c:numCache>
                <c:formatCode>0.0</c:formatCode>
                <c:ptCount val="6"/>
                <c:pt idx="0">
                  <c:v>1.2632439142511001</c:v>
                </c:pt>
                <c:pt idx="1">
                  <c:v>10.271222539410481</c:v>
                </c:pt>
                <c:pt idx="2">
                  <c:v>12.614090345130403</c:v>
                </c:pt>
                <c:pt idx="3">
                  <c:v>8.2137656458524422</c:v>
                </c:pt>
                <c:pt idx="4">
                  <c:v>-20.808841029340808</c:v>
                </c:pt>
                <c:pt idx="5">
                  <c:v>67.737664107168229</c:v>
                </c:pt>
              </c:numCache>
            </c:numRef>
          </c:val>
          <c:smooth val="0"/>
        </c:ser>
        <c:ser>
          <c:idx val="2"/>
          <c:order val="2"/>
          <c:tx>
            <c:strRef>
              <c:f>'Loan report'!$BC$7</c:f>
              <c:strCache>
                <c:ptCount val="1"/>
                <c:pt idx="0">
                  <c:v>Mining</c:v>
                </c:pt>
              </c:strCache>
            </c:strRef>
          </c:tx>
          <c:spPr>
            <a:ln w="22225"/>
          </c:spPr>
          <c:marker>
            <c:symbol val="none"/>
          </c:marker>
          <c:cat>
            <c:strRef>
              <c:f>'Loan report'!$BD$4:$CD$4</c:f>
              <c:strCache>
                <c:ptCount val="6"/>
                <c:pt idx="0">
                  <c:v>2012 Q1</c:v>
                </c:pt>
                <c:pt idx="1">
                  <c:v>2012 Q2</c:v>
                </c:pt>
                <c:pt idx="2">
                  <c:v>2012 Q3</c:v>
                </c:pt>
                <c:pt idx="3">
                  <c:v>2012 Q4</c:v>
                </c:pt>
                <c:pt idx="4">
                  <c:v>2013 Q1</c:v>
                </c:pt>
                <c:pt idx="5">
                  <c:v>2013 Q2</c:v>
                </c:pt>
              </c:strCache>
            </c:strRef>
          </c:cat>
          <c:val>
            <c:numRef>
              <c:f>'Loan report'!$BD$7:$CD$7</c:f>
              <c:numCache>
                <c:formatCode>0.0</c:formatCode>
                <c:ptCount val="6"/>
                <c:pt idx="0">
                  <c:v>5.1887368778251233</c:v>
                </c:pt>
                <c:pt idx="1">
                  <c:v>14.34274341598568</c:v>
                </c:pt>
                <c:pt idx="2">
                  <c:v>7.4910030178233118</c:v>
                </c:pt>
                <c:pt idx="3">
                  <c:v>-7.9198680889704338</c:v>
                </c:pt>
                <c:pt idx="4">
                  <c:v>5.1683840448948084</c:v>
                </c:pt>
                <c:pt idx="5">
                  <c:v>10.207660867898483</c:v>
                </c:pt>
              </c:numCache>
            </c:numRef>
          </c:val>
          <c:smooth val="0"/>
        </c:ser>
        <c:ser>
          <c:idx val="3"/>
          <c:order val="3"/>
          <c:tx>
            <c:strRef>
              <c:f>'Loan report'!$BC$8</c:f>
              <c:strCache>
                <c:ptCount val="1"/>
                <c:pt idx="0">
                  <c:v>Manufacturing</c:v>
                </c:pt>
              </c:strCache>
            </c:strRef>
          </c:tx>
          <c:spPr>
            <a:ln w="22225">
              <a:solidFill>
                <a:srgbClr val="FFC000"/>
              </a:solidFill>
            </a:ln>
          </c:spPr>
          <c:marker>
            <c:symbol val="none"/>
          </c:marker>
          <c:cat>
            <c:strRef>
              <c:f>'Loan report'!$BD$4:$CD$4</c:f>
              <c:strCache>
                <c:ptCount val="6"/>
                <c:pt idx="0">
                  <c:v>2012 Q1</c:v>
                </c:pt>
                <c:pt idx="1">
                  <c:v>2012 Q2</c:v>
                </c:pt>
                <c:pt idx="2">
                  <c:v>2012 Q3</c:v>
                </c:pt>
                <c:pt idx="3">
                  <c:v>2012 Q4</c:v>
                </c:pt>
                <c:pt idx="4">
                  <c:v>2013 Q1</c:v>
                </c:pt>
                <c:pt idx="5">
                  <c:v>2013 Q2</c:v>
                </c:pt>
              </c:strCache>
            </c:strRef>
          </c:cat>
          <c:val>
            <c:numRef>
              <c:f>'Loan report'!$BD$8:$CD$8</c:f>
              <c:numCache>
                <c:formatCode>0.0</c:formatCode>
                <c:ptCount val="6"/>
                <c:pt idx="0">
                  <c:v>1.0551119450403319</c:v>
                </c:pt>
                <c:pt idx="1">
                  <c:v>6.0534647561418975</c:v>
                </c:pt>
                <c:pt idx="2">
                  <c:v>11.441362605608083</c:v>
                </c:pt>
                <c:pt idx="3">
                  <c:v>5.9356368667580375</c:v>
                </c:pt>
                <c:pt idx="4">
                  <c:v>2.9415496513671258</c:v>
                </c:pt>
                <c:pt idx="5">
                  <c:v>12.037693782855467</c:v>
                </c:pt>
              </c:numCache>
            </c:numRef>
          </c:val>
          <c:smooth val="0"/>
        </c:ser>
        <c:ser>
          <c:idx val="4"/>
          <c:order val="4"/>
          <c:tx>
            <c:strRef>
              <c:f>'Loan report'!$BC$9</c:f>
              <c:strCache>
                <c:ptCount val="1"/>
                <c:pt idx="0">
                  <c:v>Wholesale</c:v>
                </c:pt>
              </c:strCache>
            </c:strRef>
          </c:tx>
          <c:spPr>
            <a:ln w="22225"/>
          </c:spPr>
          <c:marker>
            <c:symbol val="none"/>
          </c:marker>
          <c:cat>
            <c:strRef>
              <c:f>'Loan report'!$BD$4:$CD$4</c:f>
              <c:strCache>
                <c:ptCount val="6"/>
                <c:pt idx="0">
                  <c:v>2012 Q1</c:v>
                </c:pt>
                <c:pt idx="1">
                  <c:v>2012 Q2</c:v>
                </c:pt>
                <c:pt idx="2">
                  <c:v>2012 Q3</c:v>
                </c:pt>
                <c:pt idx="3">
                  <c:v>2012 Q4</c:v>
                </c:pt>
                <c:pt idx="4">
                  <c:v>2013 Q1</c:v>
                </c:pt>
                <c:pt idx="5">
                  <c:v>2013 Q2</c:v>
                </c:pt>
              </c:strCache>
            </c:strRef>
          </c:cat>
          <c:val>
            <c:numRef>
              <c:f>'Loan report'!$BD$9:$CD$9</c:f>
              <c:numCache>
                <c:formatCode>0.0</c:formatCode>
                <c:ptCount val="6"/>
                <c:pt idx="0">
                  <c:v>2.0696409990398963</c:v>
                </c:pt>
                <c:pt idx="1">
                  <c:v>8.4655560593813579</c:v>
                </c:pt>
                <c:pt idx="2">
                  <c:v>4.70418445829372</c:v>
                </c:pt>
                <c:pt idx="3">
                  <c:v>3.4253452031975273</c:v>
                </c:pt>
                <c:pt idx="4">
                  <c:v>7.9459102522886518</c:v>
                </c:pt>
                <c:pt idx="5">
                  <c:v>22.757310537456377</c:v>
                </c:pt>
              </c:numCache>
            </c:numRef>
          </c:val>
          <c:smooth val="0"/>
        </c:ser>
        <c:dLbls>
          <c:showLegendKey val="0"/>
          <c:showVal val="0"/>
          <c:showCatName val="0"/>
          <c:showSerName val="0"/>
          <c:showPercent val="0"/>
          <c:showBubbleSize val="0"/>
        </c:dLbls>
        <c:marker val="1"/>
        <c:smooth val="0"/>
        <c:axId val="281029248"/>
        <c:axId val="281047424"/>
      </c:lineChart>
      <c:catAx>
        <c:axId val="281029248"/>
        <c:scaling>
          <c:orientation val="minMax"/>
        </c:scaling>
        <c:delete val="0"/>
        <c:axPos val="b"/>
        <c:numFmt formatCode="General" sourceLinked="0"/>
        <c:majorTickMark val="out"/>
        <c:minorTickMark val="none"/>
        <c:tickLblPos val="low"/>
        <c:crossAx val="281047424"/>
        <c:crosses val="autoZero"/>
        <c:auto val="1"/>
        <c:lblAlgn val="ctr"/>
        <c:lblOffset val="100"/>
        <c:noMultiLvlLbl val="0"/>
      </c:catAx>
      <c:valAx>
        <c:axId val="281047424"/>
        <c:scaling>
          <c:orientation val="minMax"/>
        </c:scaling>
        <c:delete val="0"/>
        <c:axPos val="l"/>
        <c:majorGridlines>
          <c:spPr>
            <a:ln>
              <a:noFill/>
            </a:ln>
          </c:spPr>
        </c:majorGridlines>
        <c:numFmt formatCode="0" sourceLinked="0"/>
        <c:majorTickMark val="out"/>
        <c:minorTickMark val="none"/>
        <c:tickLblPos val="nextTo"/>
        <c:crossAx val="281029248"/>
        <c:crosses val="autoZero"/>
        <c:crossBetween val="between"/>
      </c:valAx>
    </c:plotArea>
    <c:legend>
      <c:legendPos val="r"/>
      <c:layout>
        <c:manualLayout>
          <c:xMode val="edge"/>
          <c:yMode val="edge"/>
          <c:x val="9.4374913662108012E-2"/>
          <c:y val="6.5016729459662401E-2"/>
          <c:w val="0.45431136897361557"/>
          <c:h val="0.36266951006124232"/>
        </c:manualLayout>
      </c:layout>
      <c:overlay val="0"/>
    </c:legend>
    <c:plotVisOnly val="1"/>
    <c:dispBlanksAs val="gap"/>
    <c:showDLblsOverMax val="0"/>
  </c:chart>
  <c:spPr>
    <a:ln>
      <a:noFill/>
    </a:ln>
  </c:spPr>
  <c:txPr>
    <a:bodyPr/>
    <a:lstStyle/>
    <a:p>
      <a:pPr>
        <a:defRPr sz="700"/>
      </a:pPr>
      <a:endParaRPr lang="en-US"/>
    </a:p>
  </c:txPr>
  <c:externalData r:id="rId1">
    <c:autoUpdate val="0"/>
  </c:externalData>
  <c:userShapes r:id="rId2"/>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593285214348212"/>
          <c:y val="3.6370042785747722E-2"/>
          <c:w val="0.64251181102362265"/>
          <c:h val="0.8476501396229581"/>
        </c:manualLayout>
      </c:layout>
      <c:barChart>
        <c:barDir val="col"/>
        <c:grouping val="percentStacked"/>
        <c:varyColors val="0"/>
        <c:ser>
          <c:idx val="0"/>
          <c:order val="0"/>
          <c:tx>
            <c:strRef>
              <c:f>'Loan report'!$A$47</c:f>
              <c:strCache>
                <c:ptCount val="1"/>
                <c:pt idx="0">
                  <c:v>Agriculture</c:v>
                </c:pt>
              </c:strCache>
            </c:strRef>
          </c:tx>
          <c:invertIfNegative val="0"/>
          <c:cat>
            <c:strRef>
              <c:f>'Loan report'!$K$32:$O$32</c:f>
              <c:strCache>
                <c:ptCount val="5"/>
                <c:pt idx="0">
                  <c:v>2010</c:v>
                </c:pt>
                <c:pt idx="1">
                  <c:v>2011</c:v>
                </c:pt>
                <c:pt idx="2">
                  <c:v>2012</c:v>
                </c:pt>
                <c:pt idx="3">
                  <c:v>2013 IQ</c:v>
                </c:pt>
                <c:pt idx="4">
                  <c:v>2013 IIQ</c:v>
                </c:pt>
              </c:strCache>
            </c:strRef>
          </c:cat>
          <c:val>
            <c:numRef>
              <c:f>'Loan report'!$B$47:$O$47</c:f>
              <c:numCache>
                <c:formatCode>General</c:formatCode>
                <c:ptCount val="5"/>
                <c:pt idx="0">
                  <c:v>4.4000000000000004</c:v>
                </c:pt>
                <c:pt idx="1">
                  <c:v>3</c:v>
                </c:pt>
                <c:pt idx="2">
                  <c:v>3.3</c:v>
                </c:pt>
                <c:pt idx="3">
                  <c:v>3.2</c:v>
                </c:pt>
                <c:pt idx="4">
                  <c:v>3.4</c:v>
                </c:pt>
              </c:numCache>
            </c:numRef>
          </c:val>
        </c:ser>
        <c:ser>
          <c:idx val="1"/>
          <c:order val="1"/>
          <c:tx>
            <c:strRef>
              <c:f>'Loan report'!$A$48</c:f>
              <c:strCache>
                <c:ptCount val="1"/>
                <c:pt idx="0">
                  <c:v>Construction</c:v>
                </c:pt>
              </c:strCache>
            </c:strRef>
          </c:tx>
          <c:invertIfNegative val="0"/>
          <c:cat>
            <c:strRef>
              <c:f>'Loan report'!$K$32:$O$32</c:f>
              <c:strCache>
                <c:ptCount val="5"/>
                <c:pt idx="0">
                  <c:v>2010</c:v>
                </c:pt>
                <c:pt idx="1">
                  <c:v>2011</c:v>
                </c:pt>
                <c:pt idx="2">
                  <c:v>2012</c:v>
                </c:pt>
                <c:pt idx="3">
                  <c:v>2013 IQ</c:v>
                </c:pt>
                <c:pt idx="4">
                  <c:v>2013 IIQ</c:v>
                </c:pt>
              </c:strCache>
            </c:strRef>
          </c:cat>
          <c:val>
            <c:numRef>
              <c:f>'Loan report'!$B$48:$O$48</c:f>
            </c:numRef>
          </c:val>
        </c:ser>
        <c:ser>
          <c:idx val="2"/>
          <c:order val="2"/>
          <c:tx>
            <c:strRef>
              <c:f>'Loan report'!$A$49</c:f>
              <c:strCache>
                <c:ptCount val="1"/>
                <c:pt idx="0">
                  <c:v>Mining</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'Loan report'!$K$32:$O$32</c:f>
              <c:strCache>
                <c:ptCount val="5"/>
                <c:pt idx="0">
                  <c:v>2010</c:v>
                </c:pt>
                <c:pt idx="1">
                  <c:v>2011</c:v>
                </c:pt>
                <c:pt idx="2">
                  <c:v>2012</c:v>
                </c:pt>
                <c:pt idx="3">
                  <c:v>2013 IQ</c:v>
                </c:pt>
                <c:pt idx="4">
                  <c:v>2013 IIQ</c:v>
                </c:pt>
              </c:strCache>
            </c:strRef>
          </c:cat>
          <c:val>
            <c:numRef>
              <c:f>'Loan report'!$B$49:$O$49</c:f>
              <c:numCache>
                <c:formatCode>General</c:formatCode>
                <c:ptCount val="5"/>
                <c:pt idx="0">
                  <c:v>12</c:v>
                </c:pt>
                <c:pt idx="1">
                  <c:v>12</c:v>
                </c:pt>
                <c:pt idx="2">
                  <c:v>14.3</c:v>
                </c:pt>
                <c:pt idx="3">
                  <c:v>14.6</c:v>
                </c:pt>
                <c:pt idx="4">
                  <c:v>14.8</c:v>
                </c:pt>
              </c:numCache>
            </c:numRef>
          </c:val>
        </c:ser>
        <c:ser>
          <c:idx val="3"/>
          <c:order val="3"/>
          <c:tx>
            <c:strRef>
              <c:f>'Loan report'!$A$50</c:f>
              <c:strCache>
                <c:ptCount val="1"/>
                <c:pt idx="0">
                  <c:v>Manufacturing</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'Loan report'!$K$32:$O$32</c:f>
              <c:strCache>
                <c:ptCount val="5"/>
                <c:pt idx="0">
                  <c:v>2010</c:v>
                </c:pt>
                <c:pt idx="1">
                  <c:v>2011</c:v>
                </c:pt>
                <c:pt idx="2">
                  <c:v>2012</c:v>
                </c:pt>
                <c:pt idx="3">
                  <c:v>2013 IQ</c:v>
                </c:pt>
                <c:pt idx="4">
                  <c:v>2013 IIQ</c:v>
                </c:pt>
              </c:strCache>
            </c:strRef>
          </c:cat>
          <c:val>
            <c:numRef>
              <c:f>'Loan report'!$B$50:$O$50</c:f>
              <c:numCache>
                <c:formatCode>General</c:formatCode>
                <c:ptCount val="5"/>
                <c:pt idx="0">
                  <c:v>14.1</c:v>
                </c:pt>
                <c:pt idx="1">
                  <c:v>11.3</c:v>
                </c:pt>
                <c:pt idx="2">
                  <c:v>14.2</c:v>
                </c:pt>
                <c:pt idx="3">
                  <c:v>14.3</c:v>
                </c:pt>
                <c:pt idx="4">
                  <c:v>14.7</c:v>
                </c:pt>
              </c:numCache>
            </c:numRef>
          </c:val>
        </c:ser>
        <c:ser>
          <c:idx val="4"/>
          <c:order val="4"/>
          <c:tx>
            <c:strRef>
              <c:f>'Loan report'!$A$51</c:f>
              <c:strCache>
                <c:ptCount val="1"/>
                <c:pt idx="0">
                  <c:v>Wholesale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'Loan report'!$K$32:$O$32</c:f>
              <c:strCache>
                <c:ptCount val="5"/>
                <c:pt idx="0">
                  <c:v>2010</c:v>
                </c:pt>
                <c:pt idx="1">
                  <c:v>2011</c:v>
                </c:pt>
                <c:pt idx="2">
                  <c:v>2012</c:v>
                </c:pt>
                <c:pt idx="3">
                  <c:v>2013 IQ</c:v>
                </c:pt>
                <c:pt idx="4">
                  <c:v>2013 IIQ</c:v>
                </c:pt>
              </c:strCache>
            </c:strRef>
          </c:cat>
          <c:val>
            <c:numRef>
              <c:f>'Loan report'!$B$51:$O$51</c:f>
              <c:numCache>
                <c:formatCode>General</c:formatCode>
                <c:ptCount val="5"/>
                <c:pt idx="0">
                  <c:v>18.600000000000001</c:v>
                </c:pt>
                <c:pt idx="1">
                  <c:v>17</c:v>
                </c:pt>
                <c:pt idx="2">
                  <c:v>20.399999999999999</c:v>
                </c:pt>
                <c:pt idx="3">
                  <c:v>21.4</c:v>
                </c:pt>
                <c:pt idx="4">
                  <c:v>24.1</c:v>
                </c:pt>
              </c:numCache>
            </c:numRef>
          </c:val>
        </c:ser>
        <c:ser>
          <c:idx val="5"/>
          <c:order val="5"/>
          <c:tx>
            <c:strRef>
              <c:f>'Loan report'!$A$52</c:f>
              <c:strCache>
                <c:ptCount val="1"/>
                <c:pt idx="0">
                  <c:v>Real Estate</c:v>
                </c:pt>
              </c:strCache>
            </c:strRef>
          </c:tx>
          <c:invertIfNegative val="0"/>
          <c:cat>
            <c:strRef>
              <c:f>'Loan report'!$K$32:$O$32</c:f>
              <c:strCache>
                <c:ptCount val="5"/>
                <c:pt idx="0">
                  <c:v>2010</c:v>
                </c:pt>
                <c:pt idx="1">
                  <c:v>2011</c:v>
                </c:pt>
                <c:pt idx="2">
                  <c:v>2012</c:v>
                </c:pt>
                <c:pt idx="3">
                  <c:v>2013 IQ</c:v>
                </c:pt>
                <c:pt idx="4">
                  <c:v>2013 IIQ</c:v>
                </c:pt>
              </c:strCache>
            </c:strRef>
          </c:cat>
          <c:val>
            <c:numRef>
              <c:f>'Loan report'!$B$52:$O$52</c:f>
            </c:numRef>
          </c:val>
        </c:ser>
        <c:ser>
          <c:idx val="6"/>
          <c:order val="6"/>
          <c:tx>
            <c:strRef>
              <c:f>'Loan report'!$A$53</c:f>
              <c:strCache>
                <c:ptCount val="1"/>
                <c:pt idx="0">
                  <c:v>Others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'Loan report'!$K$32:$O$32</c:f>
              <c:strCache>
                <c:ptCount val="5"/>
                <c:pt idx="0">
                  <c:v>2010</c:v>
                </c:pt>
                <c:pt idx="1">
                  <c:v>2011</c:v>
                </c:pt>
                <c:pt idx="2">
                  <c:v>2012</c:v>
                </c:pt>
                <c:pt idx="3">
                  <c:v>2013 IQ</c:v>
                </c:pt>
                <c:pt idx="4">
                  <c:v>2013 IIQ</c:v>
                </c:pt>
              </c:strCache>
            </c:strRef>
          </c:cat>
          <c:val>
            <c:numRef>
              <c:f>'Loan report'!$B$53:$O$53</c:f>
              <c:numCache>
                <c:formatCode>General</c:formatCode>
                <c:ptCount val="5"/>
                <c:pt idx="0">
                  <c:v>26.5</c:v>
                </c:pt>
                <c:pt idx="1">
                  <c:v>30.799999999999986</c:v>
                </c:pt>
                <c:pt idx="2">
                  <c:v>14.299999999999986</c:v>
                </c:pt>
                <c:pt idx="3">
                  <c:v>13.8</c:v>
                </c:pt>
                <c:pt idx="4">
                  <c:v>5.3000000000000105</c:v>
                </c:pt>
              </c:numCache>
            </c:numRef>
          </c:val>
        </c:ser>
        <c:ser>
          <c:idx val="7"/>
          <c:order val="7"/>
          <c:tx>
            <c:strRef>
              <c:f>'Loan report'!$A$54</c:f>
              <c:strCache>
                <c:ptCount val="1"/>
                <c:pt idx="0">
                  <c:v>Construction and Real Estate</c:v>
                </c:pt>
              </c:strCache>
            </c:strRef>
          </c:tx>
          <c:spPr>
            <a:solidFill>
              <a:schemeClr val="accent6">
                <a:lumMod val="40000"/>
                <a:lumOff val="60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'Loan report'!$K$32:$O$32</c:f>
              <c:strCache>
                <c:ptCount val="5"/>
                <c:pt idx="0">
                  <c:v>2010</c:v>
                </c:pt>
                <c:pt idx="1">
                  <c:v>2011</c:v>
                </c:pt>
                <c:pt idx="2">
                  <c:v>2012</c:v>
                </c:pt>
                <c:pt idx="3">
                  <c:v>2013 IQ</c:v>
                </c:pt>
                <c:pt idx="4">
                  <c:v>2013 IIQ</c:v>
                </c:pt>
              </c:strCache>
            </c:strRef>
          </c:cat>
          <c:val>
            <c:numRef>
              <c:f>'Loan report'!$B$54:$O$54</c:f>
              <c:numCache>
                <c:formatCode>General</c:formatCode>
                <c:ptCount val="5"/>
                <c:pt idx="0">
                  <c:v>24.4</c:v>
                </c:pt>
                <c:pt idx="1">
                  <c:v>25.9</c:v>
                </c:pt>
                <c:pt idx="2">
                  <c:v>33.5</c:v>
                </c:pt>
                <c:pt idx="3">
                  <c:v>32.700000000000003</c:v>
                </c:pt>
                <c:pt idx="4">
                  <c:v>37.700000000000003</c:v>
                </c:pt>
              </c:numCache>
            </c:numRef>
          </c:val>
        </c:ser>
        <c:dLbls>
          <c:showLegendKey val="0"/>
          <c:showVal val="0"/>
          <c:showCatName val="0"/>
          <c:showSerName val="0"/>
          <c:showPercent val="0"/>
          <c:showBubbleSize val="0"/>
        </c:dLbls>
        <c:gapWidth val="150"/>
        <c:overlap val="100"/>
        <c:axId val="281107456"/>
        <c:axId val="281125632"/>
      </c:barChart>
      <c:catAx>
        <c:axId val="281107456"/>
        <c:scaling>
          <c:orientation val="minMax"/>
        </c:scaling>
        <c:delete val="0"/>
        <c:axPos val="b"/>
        <c:numFmt formatCode="General" sourceLinked="0"/>
        <c:majorTickMark val="out"/>
        <c:minorTickMark val="none"/>
        <c:tickLblPos val="nextTo"/>
        <c:crossAx val="281125632"/>
        <c:crosses val="autoZero"/>
        <c:auto val="1"/>
        <c:lblAlgn val="ctr"/>
        <c:lblOffset val="100"/>
        <c:noMultiLvlLbl val="0"/>
      </c:catAx>
      <c:valAx>
        <c:axId val="281125632"/>
        <c:scaling>
          <c:orientation val="minMax"/>
        </c:scaling>
        <c:delete val="0"/>
        <c:axPos val="l"/>
        <c:majorGridlines>
          <c:spPr>
            <a:ln>
              <a:prstDash val="sysDot"/>
            </a:ln>
          </c:spPr>
        </c:majorGridlines>
        <c:numFmt formatCode="0%" sourceLinked="1"/>
        <c:majorTickMark val="out"/>
        <c:minorTickMark val="none"/>
        <c:tickLblPos val="nextTo"/>
        <c:crossAx val="281107456"/>
        <c:crosses val="autoZero"/>
        <c:crossBetween val="between"/>
      </c:valAx>
    </c:plotArea>
    <c:legend>
      <c:legendPos val="r"/>
      <c:layout>
        <c:manualLayout>
          <c:xMode val="edge"/>
          <c:yMode val="edge"/>
          <c:x val="0.75146128608923879"/>
          <c:y val="0.13487283578967318"/>
          <c:w val="0.24576093613298369"/>
          <c:h val="0.76030371670539965"/>
        </c:manualLayout>
      </c:layout>
      <c:overlay val="0"/>
    </c:legend>
    <c:plotVisOnly val="1"/>
    <c:dispBlanksAs val="gap"/>
    <c:showDLblsOverMax val="0"/>
  </c:chart>
  <c:spPr>
    <a:ln>
      <a:noFill/>
    </a:ln>
  </c:spPr>
  <c:txPr>
    <a:bodyPr/>
    <a:lstStyle/>
    <a:p>
      <a:pPr>
        <a:defRPr sz="700"/>
      </a:pPr>
      <a:endParaRPr lang="en-US"/>
    </a:p>
  </c:tx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6030183727034119E-2"/>
          <c:y val="3.7726443135005477E-2"/>
          <c:w val="0.86438538932633424"/>
          <c:h val="0.83434113782134844"/>
        </c:manualLayout>
      </c:layout>
      <c:lineChart>
        <c:grouping val="standard"/>
        <c:varyColors val="0"/>
        <c:ser>
          <c:idx val="1"/>
          <c:order val="0"/>
          <c:tx>
            <c:strRef>
              <c:f>'Appendix Table 9'!$AT$9</c:f>
              <c:strCache>
                <c:ptCount val="1"/>
                <c:pt idx="0">
                  <c:v>  S.E. Asia</c:v>
                </c:pt>
              </c:strCache>
            </c:strRef>
          </c:tx>
          <c:marker>
            <c:symbol val="none"/>
          </c:marker>
          <c:cat>
            <c:strRef>
              <c:f>'Appendix Table 9'!$AU$7:$AY$7</c:f>
              <c:strCache>
                <c:ptCount val="5"/>
                <c:pt idx="0">
                  <c:v>2009</c:v>
                </c:pt>
                <c:pt idx="1">
                  <c:v>2010</c:v>
                </c:pt>
                <c:pt idx="2">
                  <c:v>2011</c:v>
                </c:pt>
                <c:pt idx="3">
                  <c:v>2012</c:v>
                </c:pt>
                <c:pt idx="4">
                  <c:v>2013f</c:v>
                </c:pt>
              </c:strCache>
            </c:strRef>
          </c:cat>
          <c:val>
            <c:numRef>
              <c:f>'Appendix Table 9'!$AU$9:$AY$9</c:f>
            </c:numRef>
          </c:val>
          <c:smooth val="0"/>
        </c:ser>
        <c:ser>
          <c:idx val="2"/>
          <c:order val="1"/>
          <c:tx>
            <c:strRef>
              <c:f>'Appendix Table 9'!$AT$10</c:f>
              <c:strCache>
                <c:ptCount val="1"/>
                <c:pt idx="0">
                  <c:v>Indonesia</c:v>
                </c:pt>
              </c:strCache>
            </c:strRef>
          </c:tx>
          <c:spPr>
            <a:ln w="22225"/>
          </c:spPr>
          <c:marker>
            <c:symbol val="none"/>
          </c:marker>
          <c:cat>
            <c:strRef>
              <c:f>'Appendix Table 9'!$AU$7:$AY$7</c:f>
              <c:strCache>
                <c:ptCount val="5"/>
                <c:pt idx="0">
                  <c:v>2009</c:v>
                </c:pt>
                <c:pt idx="1">
                  <c:v>2010</c:v>
                </c:pt>
                <c:pt idx="2">
                  <c:v>2011</c:v>
                </c:pt>
                <c:pt idx="3">
                  <c:v>2012</c:v>
                </c:pt>
                <c:pt idx="4">
                  <c:v>2013f</c:v>
                </c:pt>
              </c:strCache>
            </c:strRef>
          </c:cat>
          <c:val>
            <c:numRef>
              <c:f>'Appendix Table 9'!$AU$10:$AY$10</c:f>
              <c:numCache>
                <c:formatCode>0.0</c:formatCode>
                <c:ptCount val="5"/>
                <c:pt idx="0">
                  <c:v>1.9697665468588346</c:v>
                </c:pt>
                <c:pt idx="1">
                  <c:v>0.72537312393494491</c:v>
                </c:pt>
                <c:pt idx="2">
                  <c:v>0.1991004513147365</c:v>
                </c:pt>
                <c:pt idx="3">
                  <c:v>-2.8</c:v>
                </c:pt>
                <c:pt idx="4">
                  <c:v>-3.4</c:v>
                </c:pt>
              </c:numCache>
            </c:numRef>
          </c:val>
          <c:smooth val="0"/>
        </c:ser>
        <c:ser>
          <c:idx val="3"/>
          <c:order val="2"/>
          <c:tx>
            <c:strRef>
              <c:f>'Appendix Table 9'!$AT$11</c:f>
              <c:strCache>
                <c:ptCount val="1"/>
                <c:pt idx="0">
                  <c:v>Malaysia</c:v>
                </c:pt>
              </c:strCache>
            </c:strRef>
          </c:tx>
          <c:spPr>
            <a:ln w="22225"/>
          </c:spPr>
          <c:marker>
            <c:symbol val="none"/>
          </c:marker>
          <c:cat>
            <c:strRef>
              <c:f>'Appendix Table 9'!$AU$7:$AY$7</c:f>
              <c:strCache>
                <c:ptCount val="5"/>
                <c:pt idx="0">
                  <c:v>2009</c:v>
                </c:pt>
                <c:pt idx="1">
                  <c:v>2010</c:v>
                </c:pt>
                <c:pt idx="2">
                  <c:v>2011</c:v>
                </c:pt>
                <c:pt idx="3">
                  <c:v>2012</c:v>
                </c:pt>
                <c:pt idx="4">
                  <c:v>2013f</c:v>
                </c:pt>
              </c:strCache>
            </c:strRef>
          </c:cat>
          <c:val>
            <c:numRef>
              <c:f>'Appendix Table 9'!$AU$11:$AY$11</c:f>
              <c:numCache>
                <c:formatCode>0.0</c:formatCode>
                <c:ptCount val="5"/>
                <c:pt idx="0">
                  <c:v>15.723016607818959</c:v>
                </c:pt>
                <c:pt idx="1">
                  <c:v>10.938312561302178</c:v>
                </c:pt>
                <c:pt idx="2">
                  <c:v>11.637189585508693</c:v>
                </c:pt>
                <c:pt idx="3">
                  <c:v>6.1404829909987173</c:v>
                </c:pt>
                <c:pt idx="4">
                  <c:v>3.7</c:v>
                </c:pt>
              </c:numCache>
            </c:numRef>
          </c:val>
          <c:smooth val="1"/>
        </c:ser>
        <c:ser>
          <c:idx val="5"/>
          <c:order val="3"/>
          <c:tx>
            <c:strRef>
              <c:f>'Appendix Table 9'!$AT$13</c:f>
              <c:strCache>
                <c:ptCount val="1"/>
                <c:pt idx="0">
                  <c:v>Thailand</c:v>
                </c:pt>
              </c:strCache>
            </c:strRef>
          </c:tx>
          <c:spPr>
            <a:ln w="22225"/>
          </c:spPr>
          <c:marker>
            <c:symbol val="none"/>
          </c:marker>
          <c:cat>
            <c:strRef>
              <c:f>'Appendix Table 9'!$AU$7:$AY$7</c:f>
              <c:strCache>
                <c:ptCount val="5"/>
                <c:pt idx="0">
                  <c:v>2009</c:v>
                </c:pt>
                <c:pt idx="1">
                  <c:v>2010</c:v>
                </c:pt>
                <c:pt idx="2">
                  <c:v>2011</c:v>
                </c:pt>
                <c:pt idx="3">
                  <c:v>2012</c:v>
                </c:pt>
                <c:pt idx="4">
                  <c:v>2013f</c:v>
                </c:pt>
              </c:strCache>
            </c:strRef>
          </c:cat>
          <c:val>
            <c:numRef>
              <c:f>'Appendix Table 9'!$AU$13:$AY$13</c:f>
              <c:numCache>
                <c:formatCode>0.0</c:formatCode>
                <c:ptCount val="5"/>
                <c:pt idx="0">
                  <c:v>8.3009662234560277</c:v>
                </c:pt>
                <c:pt idx="1">
                  <c:v>3.1187373319214626</c:v>
                </c:pt>
                <c:pt idx="2">
                  <c:v>1.7120762338653055</c:v>
                </c:pt>
                <c:pt idx="3">
                  <c:v>0.1</c:v>
                </c:pt>
                <c:pt idx="4">
                  <c:v>1.2</c:v>
                </c:pt>
              </c:numCache>
            </c:numRef>
          </c:val>
          <c:smooth val="1"/>
        </c:ser>
        <c:ser>
          <c:idx val="6"/>
          <c:order val="4"/>
          <c:tx>
            <c:strRef>
              <c:f>'Appendix Table 9'!$AT$14</c:f>
              <c:strCache>
                <c:ptCount val="1"/>
                <c:pt idx="0">
                  <c:v>Lao PDR</c:v>
                </c:pt>
              </c:strCache>
            </c:strRef>
          </c:tx>
          <c:spPr>
            <a:ln w="22225"/>
          </c:spPr>
          <c:marker>
            <c:symbol val="none"/>
          </c:marker>
          <c:cat>
            <c:strRef>
              <c:f>'Appendix Table 9'!$AU$7:$AY$7</c:f>
              <c:strCache>
                <c:ptCount val="5"/>
                <c:pt idx="0">
                  <c:v>2009</c:v>
                </c:pt>
                <c:pt idx="1">
                  <c:v>2010</c:v>
                </c:pt>
                <c:pt idx="2">
                  <c:v>2011</c:v>
                </c:pt>
                <c:pt idx="3">
                  <c:v>2012</c:v>
                </c:pt>
                <c:pt idx="4">
                  <c:v>2013f</c:v>
                </c:pt>
              </c:strCache>
            </c:strRef>
          </c:cat>
          <c:val>
            <c:numRef>
              <c:f>'Appendix Table 9'!$AU$14:$AY$14</c:f>
              <c:numCache>
                <c:formatCode>0.0</c:formatCode>
                <c:ptCount val="5"/>
                <c:pt idx="0">
                  <c:v>-20.9</c:v>
                </c:pt>
                <c:pt idx="1">
                  <c:v>-18.100000000000001</c:v>
                </c:pt>
                <c:pt idx="2">
                  <c:v>-19.3</c:v>
                </c:pt>
                <c:pt idx="3">
                  <c:v>-19.600000000000001</c:v>
                </c:pt>
                <c:pt idx="4">
                  <c:v>-20.8</c:v>
                </c:pt>
              </c:numCache>
            </c:numRef>
          </c:val>
          <c:smooth val="1"/>
        </c:ser>
        <c:ser>
          <c:idx val="7"/>
          <c:order val="5"/>
          <c:tx>
            <c:strRef>
              <c:f>'Appendix Table 9'!$AT$15</c:f>
              <c:strCache>
                <c:ptCount val="1"/>
                <c:pt idx="0">
                  <c:v>  NIEs</c:v>
                </c:pt>
              </c:strCache>
            </c:strRef>
          </c:tx>
          <c:marker>
            <c:symbol val="none"/>
          </c:marker>
          <c:cat>
            <c:strRef>
              <c:f>'Appendix Table 9'!$AU$7:$AY$7</c:f>
              <c:strCache>
                <c:ptCount val="5"/>
                <c:pt idx="0">
                  <c:v>2009</c:v>
                </c:pt>
                <c:pt idx="1">
                  <c:v>2010</c:v>
                </c:pt>
                <c:pt idx="2">
                  <c:v>2011</c:v>
                </c:pt>
                <c:pt idx="3">
                  <c:v>2012</c:v>
                </c:pt>
                <c:pt idx="4">
                  <c:v>2013f</c:v>
                </c:pt>
              </c:strCache>
            </c:strRef>
          </c:cat>
          <c:val>
            <c:numRef>
              <c:f>'Appendix Table 9'!$AU$15:$AY$15</c:f>
            </c:numRef>
          </c:val>
          <c:smooth val="0"/>
        </c:ser>
        <c:ser>
          <c:idx val="8"/>
          <c:order val="6"/>
          <c:tx>
            <c:strRef>
              <c:f>'Appendix Table 9'!$AT$16</c:f>
              <c:strCache>
                <c:ptCount val="1"/>
                <c:pt idx="0">
                  <c:v>    Hong Kong SAR, China</c:v>
                </c:pt>
              </c:strCache>
            </c:strRef>
          </c:tx>
          <c:marker>
            <c:symbol val="none"/>
          </c:marker>
          <c:cat>
            <c:strRef>
              <c:f>'Appendix Table 9'!$AU$7:$AY$7</c:f>
              <c:strCache>
                <c:ptCount val="5"/>
                <c:pt idx="0">
                  <c:v>2009</c:v>
                </c:pt>
                <c:pt idx="1">
                  <c:v>2010</c:v>
                </c:pt>
                <c:pt idx="2">
                  <c:v>2011</c:v>
                </c:pt>
                <c:pt idx="3">
                  <c:v>2012</c:v>
                </c:pt>
                <c:pt idx="4">
                  <c:v>2013f</c:v>
                </c:pt>
              </c:strCache>
            </c:strRef>
          </c:cat>
          <c:val>
            <c:numRef>
              <c:f>'Appendix Table 9'!$AU$16:$AY$16</c:f>
            </c:numRef>
          </c:val>
          <c:smooth val="0"/>
        </c:ser>
        <c:ser>
          <c:idx val="9"/>
          <c:order val="7"/>
          <c:tx>
            <c:strRef>
              <c:f>'Appendix Table 9'!$AT$17</c:f>
              <c:strCache>
                <c:ptCount val="1"/>
                <c:pt idx="0">
                  <c:v>    Korea, Rep.</c:v>
                </c:pt>
              </c:strCache>
            </c:strRef>
          </c:tx>
          <c:marker>
            <c:symbol val="none"/>
          </c:marker>
          <c:cat>
            <c:strRef>
              <c:f>'Appendix Table 9'!$AU$7:$AY$7</c:f>
              <c:strCache>
                <c:ptCount val="5"/>
                <c:pt idx="0">
                  <c:v>2009</c:v>
                </c:pt>
                <c:pt idx="1">
                  <c:v>2010</c:v>
                </c:pt>
                <c:pt idx="2">
                  <c:v>2011</c:v>
                </c:pt>
                <c:pt idx="3">
                  <c:v>2012</c:v>
                </c:pt>
                <c:pt idx="4">
                  <c:v>2013f</c:v>
                </c:pt>
              </c:strCache>
            </c:strRef>
          </c:cat>
          <c:val>
            <c:numRef>
              <c:f>'Appendix Table 9'!$AU$17:$AY$17</c:f>
            </c:numRef>
          </c:val>
          <c:smooth val="0"/>
        </c:ser>
        <c:ser>
          <c:idx val="10"/>
          <c:order val="8"/>
          <c:tx>
            <c:strRef>
              <c:f>'Appendix Table 9'!$AT$18</c:f>
              <c:strCache>
                <c:ptCount val="1"/>
                <c:pt idx="0">
                  <c:v>    Singapore</c:v>
                </c:pt>
              </c:strCache>
            </c:strRef>
          </c:tx>
          <c:marker>
            <c:symbol val="none"/>
          </c:marker>
          <c:cat>
            <c:strRef>
              <c:f>'Appendix Table 9'!$AU$7:$AY$7</c:f>
              <c:strCache>
                <c:ptCount val="5"/>
                <c:pt idx="0">
                  <c:v>2009</c:v>
                </c:pt>
                <c:pt idx="1">
                  <c:v>2010</c:v>
                </c:pt>
                <c:pt idx="2">
                  <c:v>2011</c:v>
                </c:pt>
                <c:pt idx="3">
                  <c:v>2012</c:v>
                </c:pt>
                <c:pt idx="4">
                  <c:v>2013f</c:v>
                </c:pt>
              </c:strCache>
            </c:strRef>
          </c:cat>
          <c:val>
            <c:numRef>
              <c:f>'Appendix Table 9'!$AU$18:$AY$18</c:f>
            </c:numRef>
          </c:val>
          <c:smooth val="0"/>
        </c:ser>
        <c:ser>
          <c:idx val="11"/>
          <c:order val="9"/>
          <c:tx>
            <c:strRef>
              <c:f>'Appendix Table 9'!$AT$19</c:f>
              <c:strCache>
                <c:ptCount val="1"/>
                <c:pt idx="0">
                  <c:v>    Taiwan, China</c:v>
                </c:pt>
              </c:strCache>
            </c:strRef>
          </c:tx>
          <c:marker>
            <c:symbol val="none"/>
          </c:marker>
          <c:cat>
            <c:strRef>
              <c:f>'Appendix Table 9'!$AU$7:$AY$7</c:f>
              <c:strCache>
                <c:ptCount val="5"/>
                <c:pt idx="0">
                  <c:v>2009</c:v>
                </c:pt>
                <c:pt idx="1">
                  <c:v>2010</c:v>
                </c:pt>
                <c:pt idx="2">
                  <c:v>2011</c:v>
                </c:pt>
                <c:pt idx="3">
                  <c:v>2012</c:v>
                </c:pt>
                <c:pt idx="4">
                  <c:v>2013f</c:v>
                </c:pt>
              </c:strCache>
            </c:strRef>
          </c:cat>
          <c:val>
            <c:numRef>
              <c:f>'Appendix Table 9'!$AU$19:$AY$19</c:f>
            </c:numRef>
          </c:val>
          <c:smooth val="0"/>
        </c:ser>
        <c:ser>
          <c:idx val="12"/>
          <c:order val="10"/>
          <c:tx>
            <c:strRef>
              <c:f>'Appendix Table 9'!$AT$20</c:f>
              <c:strCache>
                <c:ptCount val="1"/>
                <c:pt idx="0">
                  <c:v>Median</c:v>
                </c:pt>
              </c:strCache>
            </c:strRef>
          </c:tx>
          <c:marker>
            <c:symbol val="none"/>
          </c:marker>
          <c:cat>
            <c:strRef>
              <c:f>'Appendix Table 9'!$AU$7:$AY$7</c:f>
              <c:strCache>
                <c:ptCount val="5"/>
                <c:pt idx="0">
                  <c:v>2009</c:v>
                </c:pt>
                <c:pt idx="1">
                  <c:v>2010</c:v>
                </c:pt>
                <c:pt idx="2">
                  <c:v>2011</c:v>
                </c:pt>
                <c:pt idx="3">
                  <c:v>2012</c:v>
                </c:pt>
                <c:pt idx="4">
                  <c:v>2013f</c:v>
                </c:pt>
              </c:strCache>
            </c:strRef>
          </c:cat>
          <c:val>
            <c:numRef>
              <c:f>'Appendix Table 9'!$AU$20:$AY$20</c:f>
            </c:numRef>
          </c:val>
          <c:smooth val="0"/>
        </c:ser>
        <c:ser>
          <c:idx val="13"/>
          <c:order val="11"/>
          <c:tx>
            <c:strRef>
              <c:f>'Appendix Table 9'!$AT$21</c:f>
              <c:strCache>
                <c:ptCount val="1"/>
                <c:pt idx="0">
                  <c:v>Mongolia</c:v>
                </c:pt>
              </c:strCache>
            </c:strRef>
          </c:tx>
          <c:spPr>
            <a:ln w="22225">
              <a:solidFill>
                <a:srgbClr val="C00000"/>
              </a:solidFill>
            </a:ln>
          </c:spPr>
          <c:marker>
            <c:symbol val="none"/>
          </c:marker>
          <c:cat>
            <c:strRef>
              <c:f>'Appendix Table 9'!$AU$7:$AY$7</c:f>
              <c:strCache>
                <c:ptCount val="5"/>
                <c:pt idx="0">
                  <c:v>2009</c:v>
                </c:pt>
                <c:pt idx="1">
                  <c:v>2010</c:v>
                </c:pt>
                <c:pt idx="2">
                  <c:v>2011</c:v>
                </c:pt>
                <c:pt idx="3">
                  <c:v>2012</c:v>
                </c:pt>
                <c:pt idx="4">
                  <c:v>2013f</c:v>
                </c:pt>
              </c:strCache>
            </c:strRef>
          </c:cat>
          <c:val>
            <c:numRef>
              <c:f>'Appendix Table 9'!$AU$21:$AY$21</c:f>
              <c:numCache>
                <c:formatCode>General</c:formatCode>
                <c:ptCount val="5"/>
                <c:pt idx="0">
                  <c:v>-9</c:v>
                </c:pt>
                <c:pt idx="1">
                  <c:v>-14.9</c:v>
                </c:pt>
                <c:pt idx="2">
                  <c:v>-31.7</c:v>
                </c:pt>
                <c:pt idx="3">
                  <c:v>-32.799999999999997</c:v>
                </c:pt>
                <c:pt idx="4">
                  <c:v>-29.7</c:v>
                </c:pt>
              </c:numCache>
            </c:numRef>
          </c:val>
          <c:smooth val="1"/>
        </c:ser>
        <c:ser>
          <c:idx val="14"/>
          <c:order val="12"/>
          <c:tx>
            <c:strRef>
              <c:f>'Appendix Table 9'!$AT$22</c:f>
              <c:strCache>
                <c:ptCount val="1"/>
                <c:pt idx="0">
                  <c:v>Myanmar</c:v>
                </c:pt>
              </c:strCache>
            </c:strRef>
          </c:tx>
          <c:spPr>
            <a:ln w="22225"/>
          </c:spPr>
          <c:marker>
            <c:symbol val="none"/>
          </c:marker>
          <c:cat>
            <c:strRef>
              <c:f>'Appendix Table 9'!$AU$7:$AY$7</c:f>
              <c:strCache>
                <c:ptCount val="5"/>
                <c:pt idx="0">
                  <c:v>2009</c:v>
                </c:pt>
                <c:pt idx="1">
                  <c:v>2010</c:v>
                </c:pt>
                <c:pt idx="2">
                  <c:v>2011</c:v>
                </c:pt>
                <c:pt idx="3">
                  <c:v>2012</c:v>
                </c:pt>
                <c:pt idx="4">
                  <c:v>2013f</c:v>
                </c:pt>
              </c:strCache>
            </c:strRef>
          </c:cat>
          <c:val>
            <c:numRef>
              <c:f>'Appendix Table 9'!$AU$22:$AY$22</c:f>
              <c:numCache>
                <c:formatCode>General</c:formatCode>
                <c:ptCount val="5"/>
                <c:pt idx="0">
                  <c:v>-1.2</c:v>
                </c:pt>
                <c:pt idx="1">
                  <c:v>-1.3</c:v>
                </c:pt>
                <c:pt idx="2">
                  <c:v>-2.4</c:v>
                </c:pt>
                <c:pt idx="3">
                  <c:v>-4.4000000000000004</c:v>
                </c:pt>
                <c:pt idx="4">
                  <c:v>-4.3</c:v>
                </c:pt>
              </c:numCache>
            </c:numRef>
          </c:val>
          <c:smooth val="0"/>
        </c:ser>
        <c:dLbls>
          <c:showLegendKey val="0"/>
          <c:showVal val="0"/>
          <c:showCatName val="0"/>
          <c:showSerName val="0"/>
          <c:showPercent val="0"/>
          <c:showBubbleSize val="0"/>
        </c:dLbls>
        <c:marker val="1"/>
        <c:smooth val="0"/>
        <c:axId val="226066816"/>
        <c:axId val="226068352"/>
      </c:lineChart>
      <c:catAx>
        <c:axId val="226066816"/>
        <c:scaling>
          <c:orientation val="minMax"/>
        </c:scaling>
        <c:delete val="0"/>
        <c:axPos val="b"/>
        <c:majorTickMark val="out"/>
        <c:minorTickMark val="none"/>
        <c:tickLblPos val="low"/>
        <c:crossAx val="226068352"/>
        <c:crosses val="autoZero"/>
        <c:auto val="1"/>
        <c:lblAlgn val="ctr"/>
        <c:lblOffset val="100"/>
        <c:noMultiLvlLbl val="0"/>
      </c:catAx>
      <c:valAx>
        <c:axId val="226068352"/>
        <c:scaling>
          <c:orientation val="minMax"/>
          <c:max val="30"/>
        </c:scaling>
        <c:delete val="0"/>
        <c:axPos val="l"/>
        <c:majorGridlines>
          <c:spPr>
            <a:ln>
              <a:noFill/>
            </a:ln>
          </c:spPr>
        </c:majorGridlines>
        <c:numFmt formatCode="0" sourceLinked="0"/>
        <c:majorTickMark val="out"/>
        <c:minorTickMark val="none"/>
        <c:tickLblPos val="nextTo"/>
        <c:crossAx val="226066816"/>
        <c:crosses val="autoZero"/>
        <c:crossBetween val="between"/>
      </c:valAx>
    </c:plotArea>
    <c:legend>
      <c:legendPos val="r"/>
      <c:layout>
        <c:manualLayout>
          <c:xMode val="edge"/>
          <c:yMode val="edge"/>
          <c:x val="0.3039469252011251"/>
          <c:y val="8.065217013436236E-3"/>
          <c:w val="0.66549744799815325"/>
          <c:h val="0.23378463108778069"/>
        </c:manualLayout>
      </c:layout>
      <c:overlay val="0"/>
    </c:legend>
    <c:plotVisOnly val="1"/>
    <c:dispBlanksAs val="gap"/>
    <c:showDLblsOverMax val="0"/>
  </c:chart>
  <c:spPr>
    <a:ln>
      <a:noFill/>
    </a:ln>
  </c:spPr>
  <c:txPr>
    <a:bodyPr/>
    <a:lstStyle/>
    <a:p>
      <a:pPr>
        <a:defRPr sz="700"/>
      </a:pPr>
      <a:endParaRPr lang="en-US"/>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7099624724559852E-2"/>
          <c:y val="0.1"/>
          <c:w val="0.83179720808361612"/>
          <c:h val="0.76022453343355134"/>
        </c:manualLayout>
      </c:layout>
      <c:lineChart>
        <c:grouping val="standard"/>
        <c:varyColors val="0"/>
        <c:ser>
          <c:idx val="3"/>
          <c:order val="0"/>
          <c:tx>
            <c:v>NPLs: Aggregate</c:v>
          </c:tx>
          <c:spPr>
            <a:ln w="22225"/>
          </c:spPr>
          <c:marker>
            <c:symbol val="none"/>
          </c:marker>
          <c:cat>
            <c:numRef>
              <c:f>'Mnth BoM data'!$FZ$1:$HR$1</c:f>
              <c:numCache>
                <c:formatCode>mmm\-yy</c:formatCode>
                <c:ptCount val="45"/>
                <c:pt idx="0">
                  <c:v>40179</c:v>
                </c:pt>
                <c:pt idx="1">
                  <c:v>40210</c:v>
                </c:pt>
                <c:pt idx="2">
                  <c:v>40238</c:v>
                </c:pt>
                <c:pt idx="3">
                  <c:v>40269</c:v>
                </c:pt>
                <c:pt idx="4">
                  <c:v>40299</c:v>
                </c:pt>
                <c:pt idx="5">
                  <c:v>40330</c:v>
                </c:pt>
                <c:pt idx="6">
                  <c:v>40360</c:v>
                </c:pt>
                <c:pt idx="7">
                  <c:v>40391</c:v>
                </c:pt>
                <c:pt idx="8">
                  <c:v>40422</c:v>
                </c:pt>
                <c:pt idx="9">
                  <c:v>40452</c:v>
                </c:pt>
                <c:pt idx="10">
                  <c:v>40483</c:v>
                </c:pt>
                <c:pt idx="11">
                  <c:v>40513</c:v>
                </c:pt>
                <c:pt idx="12">
                  <c:v>40544</c:v>
                </c:pt>
                <c:pt idx="13">
                  <c:v>40575</c:v>
                </c:pt>
                <c:pt idx="14">
                  <c:v>40603</c:v>
                </c:pt>
                <c:pt idx="15">
                  <c:v>40634</c:v>
                </c:pt>
                <c:pt idx="16">
                  <c:v>40664</c:v>
                </c:pt>
                <c:pt idx="17">
                  <c:v>40695</c:v>
                </c:pt>
                <c:pt idx="18">
                  <c:v>40725</c:v>
                </c:pt>
                <c:pt idx="19">
                  <c:v>40756</c:v>
                </c:pt>
                <c:pt idx="20">
                  <c:v>40787</c:v>
                </c:pt>
                <c:pt idx="21">
                  <c:v>40817</c:v>
                </c:pt>
                <c:pt idx="22">
                  <c:v>40848</c:v>
                </c:pt>
                <c:pt idx="23">
                  <c:v>40878</c:v>
                </c:pt>
                <c:pt idx="24">
                  <c:v>40909</c:v>
                </c:pt>
                <c:pt idx="25">
                  <c:v>40940</c:v>
                </c:pt>
                <c:pt idx="26">
                  <c:v>40969</c:v>
                </c:pt>
                <c:pt idx="27">
                  <c:v>41000</c:v>
                </c:pt>
                <c:pt idx="28">
                  <c:v>41030</c:v>
                </c:pt>
                <c:pt idx="29">
                  <c:v>41061</c:v>
                </c:pt>
                <c:pt idx="30">
                  <c:v>41091</c:v>
                </c:pt>
                <c:pt idx="31">
                  <c:v>41122</c:v>
                </c:pt>
                <c:pt idx="32">
                  <c:v>41153</c:v>
                </c:pt>
                <c:pt idx="33">
                  <c:v>41183</c:v>
                </c:pt>
                <c:pt idx="34">
                  <c:v>41214</c:v>
                </c:pt>
                <c:pt idx="35">
                  <c:v>41244</c:v>
                </c:pt>
                <c:pt idx="36">
                  <c:v>41275</c:v>
                </c:pt>
                <c:pt idx="37">
                  <c:v>41306</c:v>
                </c:pt>
                <c:pt idx="38">
                  <c:v>41334</c:v>
                </c:pt>
                <c:pt idx="39">
                  <c:v>41365</c:v>
                </c:pt>
                <c:pt idx="40">
                  <c:v>41395</c:v>
                </c:pt>
                <c:pt idx="41">
                  <c:v>41426</c:v>
                </c:pt>
                <c:pt idx="42">
                  <c:v>41456</c:v>
                </c:pt>
                <c:pt idx="43">
                  <c:v>41487</c:v>
                </c:pt>
                <c:pt idx="44">
                  <c:v>41518</c:v>
                </c:pt>
              </c:numCache>
            </c:numRef>
          </c:cat>
          <c:val>
            <c:numRef>
              <c:f>'Mnth BoM data'!$FZ$376:$HR$376</c:f>
              <c:numCache>
                <c:formatCode>_(* #,##0.00_);_(* \(#,##0.00\);_(* "-"??_);_(@_)</c:formatCode>
                <c:ptCount val="45"/>
                <c:pt idx="0">
                  <c:v>17.132028399730292</c:v>
                </c:pt>
                <c:pt idx="1">
                  <c:v>16.372728474015243</c:v>
                </c:pt>
                <c:pt idx="2">
                  <c:v>15.302190625543776</c:v>
                </c:pt>
                <c:pt idx="3">
                  <c:v>15.045779438234005</c:v>
                </c:pt>
                <c:pt idx="4">
                  <c:v>14.539865990500637</c:v>
                </c:pt>
                <c:pt idx="5">
                  <c:v>13.977710785515399</c:v>
                </c:pt>
                <c:pt idx="6">
                  <c:v>13.945527401025075</c:v>
                </c:pt>
                <c:pt idx="7">
                  <c:v>13.582710376639151</c:v>
                </c:pt>
                <c:pt idx="8">
                  <c:v>13.327569938980337</c:v>
                </c:pt>
                <c:pt idx="9">
                  <c:v>13.017382983192228</c:v>
                </c:pt>
                <c:pt idx="10">
                  <c:v>11.918046669225044</c:v>
                </c:pt>
                <c:pt idx="11">
                  <c:v>11.466554637128164</c:v>
                </c:pt>
                <c:pt idx="12">
                  <c:v>10.50740785556818</c:v>
                </c:pt>
                <c:pt idx="13">
                  <c:v>10.220807410240317</c:v>
                </c:pt>
                <c:pt idx="14">
                  <c:v>9.9731857913636048</c:v>
                </c:pt>
                <c:pt idx="15">
                  <c:v>9.5993662364776728</c:v>
                </c:pt>
                <c:pt idx="16">
                  <c:v>9.3630976723900776</c:v>
                </c:pt>
                <c:pt idx="17">
                  <c:v>8.577977043566495</c:v>
                </c:pt>
                <c:pt idx="18">
                  <c:v>8.157958069424323</c:v>
                </c:pt>
                <c:pt idx="19">
                  <c:v>7.7180598268663605</c:v>
                </c:pt>
                <c:pt idx="20">
                  <c:v>7.0616352609145716</c:v>
                </c:pt>
                <c:pt idx="21">
                  <c:v>6.6551232397664046</c:v>
                </c:pt>
                <c:pt idx="22">
                  <c:v>6.3095212243518715</c:v>
                </c:pt>
                <c:pt idx="23">
                  <c:v>5.8490947602601731</c:v>
                </c:pt>
                <c:pt idx="24">
                  <c:v>5.7836406289382136</c:v>
                </c:pt>
                <c:pt idx="25">
                  <c:v>5.6660263681221208</c:v>
                </c:pt>
                <c:pt idx="26">
                  <c:v>5.5377016557415306</c:v>
                </c:pt>
                <c:pt idx="27">
                  <c:v>5.3337528188441503</c:v>
                </c:pt>
                <c:pt idx="28">
                  <c:v>5.1567170213109685</c:v>
                </c:pt>
                <c:pt idx="29">
                  <c:v>4.8722220604360551</c:v>
                </c:pt>
                <c:pt idx="30">
                  <c:v>4.7561229582242364</c:v>
                </c:pt>
                <c:pt idx="31">
                  <c:v>4.6786670704776574</c:v>
                </c:pt>
                <c:pt idx="32">
                  <c:v>4.4601367903256515</c:v>
                </c:pt>
                <c:pt idx="33">
                  <c:v>4.4660906483887715</c:v>
                </c:pt>
                <c:pt idx="34">
                  <c:v>4.3456715290038153</c:v>
                </c:pt>
                <c:pt idx="35">
                  <c:v>4.2213648739538714</c:v>
                </c:pt>
                <c:pt idx="36">
                  <c:v>4.3024518713717255</c:v>
                </c:pt>
                <c:pt idx="37">
                  <c:v>4.2678647178273605</c:v>
                </c:pt>
                <c:pt idx="38">
                  <c:v>4.1792363525322074</c:v>
                </c:pt>
                <c:pt idx="39">
                  <c:v>3.9988513274963382</c:v>
                </c:pt>
                <c:pt idx="40">
                  <c:v>3.865680351956803</c:v>
                </c:pt>
                <c:pt idx="41">
                  <c:v>3.6778378701702992</c:v>
                </c:pt>
                <c:pt idx="42">
                  <c:v>4.9678114381465921</c:v>
                </c:pt>
                <c:pt idx="43">
                  <c:v>4.7514224438756445</c:v>
                </c:pt>
                <c:pt idx="44">
                  <c:v>5.2904816606363365</c:v>
                </c:pt>
              </c:numCache>
            </c:numRef>
          </c:val>
          <c:smooth val="1"/>
        </c:ser>
        <c:ser>
          <c:idx val="0"/>
          <c:order val="1"/>
          <c:tx>
            <c:v>NPLS: Private sector</c:v>
          </c:tx>
          <c:spPr>
            <a:ln w="22225"/>
          </c:spPr>
          <c:marker>
            <c:symbol val="none"/>
          </c:marker>
          <c:cat>
            <c:numRef>
              <c:f>'Mnth BoM data'!$FZ$1:$HR$1</c:f>
              <c:numCache>
                <c:formatCode>mmm\-yy</c:formatCode>
                <c:ptCount val="45"/>
                <c:pt idx="0">
                  <c:v>40179</c:v>
                </c:pt>
                <c:pt idx="1">
                  <c:v>40210</c:v>
                </c:pt>
                <c:pt idx="2">
                  <c:v>40238</c:v>
                </c:pt>
                <c:pt idx="3">
                  <c:v>40269</c:v>
                </c:pt>
                <c:pt idx="4">
                  <c:v>40299</c:v>
                </c:pt>
                <c:pt idx="5">
                  <c:v>40330</c:v>
                </c:pt>
                <c:pt idx="6">
                  <c:v>40360</c:v>
                </c:pt>
                <c:pt idx="7">
                  <c:v>40391</c:v>
                </c:pt>
                <c:pt idx="8">
                  <c:v>40422</c:v>
                </c:pt>
                <c:pt idx="9">
                  <c:v>40452</c:v>
                </c:pt>
                <c:pt idx="10">
                  <c:v>40483</c:v>
                </c:pt>
                <c:pt idx="11">
                  <c:v>40513</c:v>
                </c:pt>
                <c:pt idx="12">
                  <c:v>40544</c:v>
                </c:pt>
                <c:pt idx="13">
                  <c:v>40575</c:v>
                </c:pt>
                <c:pt idx="14">
                  <c:v>40603</c:v>
                </c:pt>
                <c:pt idx="15">
                  <c:v>40634</c:v>
                </c:pt>
                <c:pt idx="16">
                  <c:v>40664</c:v>
                </c:pt>
                <c:pt idx="17">
                  <c:v>40695</c:v>
                </c:pt>
                <c:pt idx="18">
                  <c:v>40725</c:v>
                </c:pt>
                <c:pt idx="19">
                  <c:v>40756</c:v>
                </c:pt>
                <c:pt idx="20">
                  <c:v>40787</c:v>
                </c:pt>
                <c:pt idx="21">
                  <c:v>40817</c:v>
                </c:pt>
                <c:pt idx="22">
                  <c:v>40848</c:v>
                </c:pt>
                <c:pt idx="23">
                  <c:v>40878</c:v>
                </c:pt>
                <c:pt idx="24">
                  <c:v>40909</c:v>
                </c:pt>
                <c:pt idx="25">
                  <c:v>40940</c:v>
                </c:pt>
                <c:pt idx="26">
                  <c:v>40969</c:v>
                </c:pt>
                <c:pt idx="27">
                  <c:v>41000</c:v>
                </c:pt>
                <c:pt idx="28">
                  <c:v>41030</c:v>
                </c:pt>
                <c:pt idx="29">
                  <c:v>41061</c:v>
                </c:pt>
                <c:pt idx="30">
                  <c:v>41091</c:v>
                </c:pt>
                <c:pt idx="31">
                  <c:v>41122</c:v>
                </c:pt>
                <c:pt idx="32">
                  <c:v>41153</c:v>
                </c:pt>
                <c:pt idx="33">
                  <c:v>41183</c:v>
                </c:pt>
                <c:pt idx="34">
                  <c:v>41214</c:v>
                </c:pt>
                <c:pt idx="35">
                  <c:v>41244</c:v>
                </c:pt>
                <c:pt idx="36">
                  <c:v>41275</c:v>
                </c:pt>
                <c:pt idx="37">
                  <c:v>41306</c:v>
                </c:pt>
                <c:pt idx="38">
                  <c:v>41334</c:v>
                </c:pt>
                <c:pt idx="39">
                  <c:v>41365</c:v>
                </c:pt>
                <c:pt idx="40">
                  <c:v>41395</c:v>
                </c:pt>
                <c:pt idx="41">
                  <c:v>41426</c:v>
                </c:pt>
                <c:pt idx="42">
                  <c:v>41456</c:v>
                </c:pt>
                <c:pt idx="43">
                  <c:v>41487</c:v>
                </c:pt>
                <c:pt idx="44">
                  <c:v>41518</c:v>
                </c:pt>
              </c:numCache>
            </c:numRef>
          </c:cat>
          <c:val>
            <c:numRef>
              <c:f>'Mnth BoM data'!$FZ$378:$HR$378</c:f>
              <c:numCache>
                <c:formatCode>_(* #,##0.00_);_(* \(#,##0.00\);_(* "-"??_);_(@_)</c:formatCode>
                <c:ptCount val="45"/>
                <c:pt idx="0">
                  <c:v>21.807608429079195</c:v>
                </c:pt>
                <c:pt idx="1">
                  <c:v>20.884138900420783</c:v>
                </c:pt>
                <c:pt idx="2">
                  <c:v>19.941793141420376</c:v>
                </c:pt>
                <c:pt idx="3">
                  <c:v>19.353677850403347</c:v>
                </c:pt>
                <c:pt idx="4">
                  <c:v>18.776259492273166</c:v>
                </c:pt>
                <c:pt idx="5">
                  <c:v>18.330127851273147</c:v>
                </c:pt>
                <c:pt idx="6">
                  <c:v>18.320968322883996</c:v>
                </c:pt>
                <c:pt idx="7">
                  <c:v>18.488241199078427</c:v>
                </c:pt>
                <c:pt idx="8">
                  <c:v>18.354775324559544</c:v>
                </c:pt>
                <c:pt idx="9">
                  <c:v>18.211596855387487</c:v>
                </c:pt>
                <c:pt idx="10">
                  <c:v>16.684657146575006</c:v>
                </c:pt>
                <c:pt idx="11">
                  <c:v>16.567153031756167</c:v>
                </c:pt>
                <c:pt idx="12">
                  <c:v>15.482430404840928</c:v>
                </c:pt>
                <c:pt idx="13">
                  <c:v>14.801536116579129</c:v>
                </c:pt>
                <c:pt idx="14">
                  <c:v>14.721458019354769</c:v>
                </c:pt>
                <c:pt idx="15">
                  <c:v>14.351470080081619</c:v>
                </c:pt>
                <c:pt idx="16">
                  <c:v>14.201423001958503</c:v>
                </c:pt>
                <c:pt idx="17">
                  <c:v>12.919608156012236</c:v>
                </c:pt>
                <c:pt idx="18">
                  <c:v>12.354808246970268</c:v>
                </c:pt>
                <c:pt idx="19">
                  <c:v>11.953678698175732</c:v>
                </c:pt>
                <c:pt idx="20">
                  <c:v>10.605865805755622</c:v>
                </c:pt>
                <c:pt idx="21">
                  <c:v>10.158903523068428</c:v>
                </c:pt>
                <c:pt idx="22">
                  <c:v>9.5850552907451707</c:v>
                </c:pt>
                <c:pt idx="23">
                  <c:v>8.9347979874211081</c:v>
                </c:pt>
                <c:pt idx="24">
                  <c:v>8.7459607025042487</c:v>
                </c:pt>
                <c:pt idx="25">
                  <c:v>8.5312437664206637</c:v>
                </c:pt>
                <c:pt idx="26">
                  <c:v>8.507582436802446</c:v>
                </c:pt>
                <c:pt idx="27">
                  <c:v>8.1383518594160797</c:v>
                </c:pt>
                <c:pt idx="28">
                  <c:v>7.9730758614561044</c:v>
                </c:pt>
                <c:pt idx="29">
                  <c:v>7.2020814792505226</c:v>
                </c:pt>
                <c:pt idx="30">
                  <c:v>6.9398639238592654</c:v>
                </c:pt>
                <c:pt idx="31">
                  <c:v>6.9690659412494291</c:v>
                </c:pt>
                <c:pt idx="32">
                  <c:v>6.8108012198199441</c:v>
                </c:pt>
                <c:pt idx="33">
                  <c:v>6.8341693069122105</c:v>
                </c:pt>
                <c:pt idx="34">
                  <c:v>6.6377763814184876</c:v>
                </c:pt>
                <c:pt idx="35">
                  <c:v>6.3212899019792905</c:v>
                </c:pt>
                <c:pt idx="36">
                  <c:v>6.5592491996222702</c:v>
                </c:pt>
                <c:pt idx="37">
                  <c:v>6.586697519477787</c:v>
                </c:pt>
                <c:pt idx="38">
                  <c:v>6.4878804447964145</c:v>
                </c:pt>
                <c:pt idx="39">
                  <c:v>6.1307706627868486</c:v>
                </c:pt>
                <c:pt idx="40">
                  <c:v>5.923984064367052</c:v>
                </c:pt>
                <c:pt idx="41">
                  <c:v>5.5830289685109085</c:v>
                </c:pt>
                <c:pt idx="42">
                  <c:v>7.9659282399968045</c:v>
                </c:pt>
                <c:pt idx="43">
                  <c:v>7.6935735498372084</c:v>
                </c:pt>
                <c:pt idx="44">
                  <c:v>8.7696879711231368</c:v>
                </c:pt>
              </c:numCache>
            </c:numRef>
          </c:val>
          <c:smooth val="1"/>
        </c:ser>
        <c:ser>
          <c:idx val="1"/>
          <c:order val="2"/>
          <c:tx>
            <c:v>NPLs: Individuals</c:v>
          </c:tx>
          <c:spPr>
            <a:ln w="22225"/>
          </c:spPr>
          <c:marker>
            <c:symbol val="none"/>
          </c:marker>
          <c:cat>
            <c:numRef>
              <c:f>'Mnth BoM data'!$FZ$1:$HR$1</c:f>
              <c:numCache>
                <c:formatCode>mmm\-yy</c:formatCode>
                <c:ptCount val="45"/>
                <c:pt idx="0">
                  <c:v>40179</c:v>
                </c:pt>
                <c:pt idx="1">
                  <c:v>40210</c:v>
                </c:pt>
                <c:pt idx="2">
                  <c:v>40238</c:v>
                </c:pt>
                <c:pt idx="3">
                  <c:v>40269</c:v>
                </c:pt>
                <c:pt idx="4">
                  <c:v>40299</c:v>
                </c:pt>
                <c:pt idx="5">
                  <c:v>40330</c:v>
                </c:pt>
                <c:pt idx="6">
                  <c:v>40360</c:v>
                </c:pt>
                <c:pt idx="7">
                  <c:v>40391</c:v>
                </c:pt>
                <c:pt idx="8">
                  <c:v>40422</c:v>
                </c:pt>
                <c:pt idx="9">
                  <c:v>40452</c:v>
                </c:pt>
                <c:pt idx="10">
                  <c:v>40483</c:v>
                </c:pt>
                <c:pt idx="11">
                  <c:v>40513</c:v>
                </c:pt>
                <c:pt idx="12">
                  <c:v>40544</c:v>
                </c:pt>
                <c:pt idx="13">
                  <c:v>40575</c:v>
                </c:pt>
                <c:pt idx="14">
                  <c:v>40603</c:v>
                </c:pt>
                <c:pt idx="15">
                  <c:v>40634</c:v>
                </c:pt>
                <c:pt idx="16">
                  <c:v>40664</c:v>
                </c:pt>
                <c:pt idx="17">
                  <c:v>40695</c:v>
                </c:pt>
                <c:pt idx="18">
                  <c:v>40725</c:v>
                </c:pt>
                <c:pt idx="19">
                  <c:v>40756</c:v>
                </c:pt>
                <c:pt idx="20">
                  <c:v>40787</c:v>
                </c:pt>
                <c:pt idx="21">
                  <c:v>40817</c:v>
                </c:pt>
                <c:pt idx="22">
                  <c:v>40848</c:v>
                </c:pt>
                <c:pt idx="23">
                  <c:v>40878</c:v>
                </c:pt>
                <c:pt idx="24">
                  <c:v>40909</c:v>
                </c:pt>
                <c:pt idx="25">
                  <c:v>40940</c:v>
                </c:pt>
                <c:pt idx="26">
                  <c:v>40969</c:v>
                </c:pt>
                <c:pt idx="27">
                  <c:v>41000</c:v>
                </c:pt>
                <c:pt idx="28">
                  <c:v>41030</c:v>
                </c:pt>
                <c:pt idx="29">
                  <c:v>41061</c:v>
                </c:pt>
                <c:pt idx="30">
                  <c:v>41091</c:v>
                </c:pt>
                <c:pt idx="31">
                  <c:v>41122</c:v>
                </c:pt>
                <c:pt idx="32">
                  <c:v>41153</c:v>
                </c:pt>
                <c:pt idx="33">
                  <c:v>41183</c:v>
                </c:pt>
                <c:pt idx="34">
                  <c:v>41214</c:v>
                </c:pt>
                <c:pt idx="35">
                  <c:v>41244</c:v>
                </c:pt>
                <c:pt idx="36">
                  <c:v>41275</c:v>
                </c:pt>
                <c:pt idx="37">
                  <c:v>41306</c:v>
                </c:pt>
                <c:pt idx="38">
                  <c:v>41334</c:v>
                </c:pt>
                <c:pt idx="39">
                  <c:v>41365</c:v>
                </c:pt>
                <c:pt idx="40">
                  <c:v>41395</c:v>
                </c:pt>
                <c:pt idx="41">
                  <c:v>41426</c:v>
                </c:pt>
                <c:pt idx="42">
                  <c:v>41456</c:v>
                </c:pt>
                <c:pt idx="43">
                  <c:v>41487</c:v>
                </c:pt>
                <c:pt idx="44">
                  <c:v>41518</c:v>
                </c:pt>
              </c:numCache>
            </c:numRef>
          </c:cat>
          <c:val>
            <c:numRef>
              <c:f>'Mnth BoM data'!$FZ$379:$HR$379</c:f>
              <c:numCache>
                <c:formatCode>_(* #,##0.00_);_(* \(#,##0.00\);_(* "-"??_);_(@_)</c:formatCode>
                <c:ptCount val="45"/>
                <c:pt idx="0">
                  <c:v>8.9667627997947843</c:v>
                </c:pt>
                <c:pt idx="1">
                  <c:v>8.8304190761444517</c:v>
                </c:pt>
                <c:pt idx="2">
                  <c:v>7.6025757493994268</c:v>
                </c:pt>
                <c:pt idx="3">
                  <c:v>7.855339417946464</c:v>
                </c:pt>
                <c:pt idx="4">
                  <c:v>7.3656364643732388</c:v>
                </c:pt>
                <c:pt idx="5">
                  <c:v>6.8982573322556364</c:v>
                </c:pt>
                <c:pt idx="6">
                  <c:v>7.0639636344709906</c:v>
                </c:pt>
                <c:pt idx="7">
                  <c:v>6.7283241804495031</c:v>
                </c:pt>
                <c:pt idx="8">
                  <c:v>6.497321967475699</c:v>
                </c:pt>
                <c:pt idx="9">
                  <c:v>6.0651137141893496</c:v>
                </c:pt>
                <c:pt idx="10">
                  <c:v>5.7672653089479615</c:v>
                </c:pt>
                <c:pt idx="11">
                  <c:v>4.8938139068727775</c:v>
                </c:pt>
                <c:pt idx="12">
                  <c:v>4.409143986817373</c:v>
                </c:pt>
                <c:pt idx="13">
                  <c:v>4.3226086638492545</c:v>
                </c:pt>
                <c:pt idx="14">
                  <c:v>3.8914335850364905</c:v>
                </c:pt>
                <c:pt idx="15">
                  <c:v>3.5674457250795073</c:v>
                </c:pt>
                <c:pt idx="16">
                  <c:v>3.1315848708416185</c:v>
                </c:pt>
                <c:pt idx="17">
                  <c:v>2.8236197039166155</c:v>
                </c:pt>
                <c:pt idx="18">
                  <c:v>2.6287464148462361</c:v>
                </c:pt>
                <c:pt idx="19">
                  <c:v>2.4097286776005413</c:v>
                </c:pt>
                <c:pt idx="20">
                  <c:v>2.6828013035498763</c:v>
                </c:pt>
                <c:pt idx="21">
                  <c:v>2.319157423564131</c:v>
                </c:pt>
                <c:pt idx="22">
                  <c:v>2.31342317927859</c:v>
                </c:pt>
                <c:pt idx="23">
                  <c:v>2.1006606842691795</c:v>
                </c:pt>
                <c:pt idx="24">
                  <c:v>2.0773923992530623</c:v>
                </c:pt>
                <c:pt idx="25">
                  <c:v>2.1043218729615734</c:v>
                </c:pt>
                <c:pt idx="26">
                  <c:v>1.8590792638513765</c:v>
                </c:pt>
                <c:pt idx="27">
                  <c:v>1.8260022536757341</c:v>
                </c:pt>
                <c:pt idx="28">
                  <c:v>1.7837407573980681</c:v>
                </c:pt>
                <c:pt idx="29">
                  <c:v>1.8258695157090412</c:v>
                </c:pt>
                <c:pt idx="30">
                  <c:v>1.8249062155436102</c:v>
                </c:pt>
                <c:pt idx="31">
                  <c:v>1.7737182175318398</c:v>
                </c:pt>
                <c:pt idx="32">
                  <c:v>1.494169133897195</c:v>
                </c:pt>
                <c:pt idx="33">
                  <c:v>1.4674857395808389</c:v>
                </c:pt>
                <c:pt idx="34">
                  <c:v>1.4642406851406933</c:v>
                </c:pt>
                <c:pt idx="35">
                  <c:v>1.4256901032513278</c:v>
                </c:pt>
                <c:pt idx="36">
                  <c:v>1.3641217841594717</c:v>
                </c:pt>
                <c:pt idx="37">
                  <c:v>1.4347933767624654</c:v>
                </c:pt>
                <c:pt idx="38">
                  <c:v>1.4288237525625926</c:v>
                </c:pt>
                <c:pt idx="39">
                  <c:v>1.3901713815665069</c:v>
                </c:pt>
                <c:pt idx="40">
                  <c:v>1.3278343062632574</c:v>
                </c:pt>
                <c:pt idx="41">
                  <c:v>1.2932466810996925</c:v>
                </c:pt>
                <c:pt idx="42">
                  <c:v>1.2341918288850353</c:v>
                </c:pt>
                <c:pt idx="43">
                  <c:v>1.1550577365629693</c:v>
                </c:pt>
                <c:pt idx="44">
                  <c:v>1.1326926007175375</c:v>
                </c:pt>
              </c:numCache>
            </c:numRef>
          </c:val>
          <c:smooth val="1"/>
        </c:ser>
        <c:ser>
          <c:idx val="2"/>
          <c:order val="3"/>
          <c:tx>
            <c:v>Principal in arrears: Aggregate</c:v>
          </c:tx>
          <c:spPr>
            <a:ln w="22225"/>
          </c:spPr>
          <c:marker>
            <c:symbol val="none"/>
          </c:marker>
          <c:cat>
            <c:numRef>
              <c:f>'Mnth BoM data'!$FZ$1:$HR$1</c:f>
              <c:numCache>
                <c:formatCode>mmm\-yy</c:formatCode>
                <c:ptCount val="45"/>
                <c:pt idx="0">
                  <c:v>40179</c:v>
                </c:pt>
                <c:pt idx="1">
                  <c:v>40210</c:v>
                </c:pt>
                <c:pt idx="2">
                  <c:v>40238</c:v>
                </c:pt>
                <c:pt idx="3">
                  <c:v>40269</c:v>
                </c:pt>
                <c:pt idx="4">
                  <c:v>40299</c:v>
                </c:pt>
                <c:pt idx="5">
                  <c:v>40330</c:v>
                </c:pt>
                <c:pt idx="6">
                  <c:v>40360</c:v>
                </c:pt>
                <c:pt idx="7">
                  <c:v>40391</c:v>
                </c:pt>
                <c:pt idx="8">
                  <c:v>40422</c:v>
                </c:pt>
                <c:pt idx="9">
                  <c:v>40452</c:v>
                </c:pt>
                <c:pt idx="10">
                  <c:v>40483</c:v>
                </c:pt>
                <c:pt idx="11">
                  <c:v>40513</c:v>
                </c:pt>
                <c:pt idx="12">
                  <c:v>40544</c:v>
                </c:pt>
                <c:pt idx="13">
                  <c:v>40575</c:v>
                </c:pt>
                <c:pt idx="14">
                  <c:v>40603</c:v>
                </c:pt>
                <c:pt idx="15">
                  <c:v>40634</c:v>
                </c:pt>
                <c:pt idx="16">
                  <c:v>40664</c:v>
                </c:pt>
                <c:pt idx="17">
                  <c:v>40695</c:v>
                </c:pt>
                <c:pt idx="18">
                  <c:v>40725</c:v>
                </c:pt>
                <c:pt idx="19">
                  <c:v>40756</c:v>
                </c:pt>
                <c:pt idx="20">
                  <c:v>40787</c:v>
                </c:pt>
                <c:pt idx="21">
                  <c:v>40817</c:v>
                </c:pt>
                <c:pt idx="22">
                  <c:v>40848</c:v>
                </c:pt>
                <c:pt idx="23">
                  <c:v>40878</c:v>
                </c:pt>
                <c:pt idx="24">
                  <c:v>40909</c:v>
                </c:pt>
                <c:pt idx="25">
                  <c:v>40940</c:v>
                </c:pt>
                <c:pt idx="26">
                  <c:v>40969</c:v>
                </c:pt>
                <c:pt idx="27">
                  <c:v>41000</c:v>
                </c:pt>
                <c:pt idx="28">
                  <c:v>41030</c:v>
                </c:pt>
                <c:pt idx="29">
                  <c:v>41061</c:v>
                </c:pt>
                <c:pt idx="30">
                  <c:v>41091</c:v>
                </c:pt>
                <c:pt idx="31">
                  <c:v>41122</c:v>
                </c:pt>
                <c:pt idx="32">
                  <c:v>41153</c:v>
                </c:pt>
                <c:pt idx="33">
                  <c:v>41183</c:v>
                </c:pt>
                <c:pt idx="34">
                  <c:v>41214</c:v>
                </c:pt>
                <c:pt idx="35">
                  <c:v>41244</c:v>
                </c:pt>
                <c:pt idx="36">
                  <c:v>41275</c:v>
                </c:pt>
                <c:pt idx="37">
                  <c:v>41306</c:v>
                </c:pt>
                <c:pt idx="38">
                  <c:v>41334</c:v>
                </c:pt>
                <c:pt idx="39">
                  <c:v>41365</c:v>
                </c:pt>
                <c:pt idx="40">
                  <c:v>41395</c:v>
                </c:pt>
                <c:pt idx="41">
                  <c:v>41426</c:v>
                </c:pt>
                <c:pt idx="42">
                  <c:v>41456</c:v>
                </c:pt>
                <c:pt idx="43">
                  <c:v>41487</c:v>
                </c:pt>
                <c:pt idx="44">
                  <c:v>41518</c:v>
                </c:pt>
              </c:numCache>
            </c:numRef>
          </c:cat>
          <c:val>
            <c:numRef>
              <c:f>'Mnth BoM data'!$FZ$402:$HR$402</c:f>
              <c:numCache>
                <c:formatCode>_(* #,##0.00_);_(* \(#,##0.00\);_(* "-"??_);_(@_)</c:formatCode>
                <c:ptCount val="45"/>
                <c:pt idx="0">
                  <c:v>4.5790711617785194</c:v>
                </c:pt>
                <c:pt idx="1">
                  <c:v>5.4222444401861338</c:v>
                </c:pt>
                <c:pt idx="2">
                  <c:v>5.4886176016934805</c:v>
                </c:pt>
                <c:pt idx="3">
                  <c:v>5.0289950427849348</c:v>
                </c:pt>
                <c:pt idx="4">
                  <c:v>4.4693702472850605</c:v>
                </c:pt>
                <c:pt idx="5">
                  <c:v>3.9079939447812642</c:v>
                </c:pt>
                <c:pt idx="6">
                  <c:v>3.7184307567304509</c:v>
                </c:pt>
                <c:pt idx="7">
                  <c:v>2.8273308753091992</c:v>
                </c:pt>
                <c:pt idx="8">
                  <c:v>2.4573800953494231</c:v>
                </c:pt>
                <c:pt idx="9">
                  <c:v>2.5443849500787352</c:v>
                </c:pt>
                <c:pt idx="10">
                  <c:v>2.8987478318511437</c:v>
                </c:pt>
                <c:pt idx="11">
                  <c:v>2.7737588902463242</c:v>
                </c:pt>
                <c:pt idx="12">
                  <c:v>2.9930916729744363</c:v>
                </c:pt>
                <c:pt idx="13">
                  <c:v>3.1917703881633512</c:v>
                </c:pt>
                <c:pt idx="14">
                  <c:v>2.1581909877962886</c:v>
                </c:pt>
                <c:pt idx="15">
                  <c:v>2.0679013627967127</c:v>
                </c:pt>
                <c:pt idx="16">
                  <c:v>1.7842537671526031</c:v>
                </c:pt>
                <c:pt idx="17">
                  <c:v>1.5348456280837082</c:v>
                </c:pt>
                <c:pt idx="18">
                  <c:v>1.5241020217898396</c:v>
                </c:pt>
                <c:pt idx="19">
                  <c:v>1.3758384134632575</c:v>
                </c:pt>
                <c:pt idx="20">
                  <c:v>1.1954281941981604</c:v>
                </c:pt>
                <c:pt idx="21">
                  <c:v>1.3594784916829048</c:v>
                </c:pt>
                <c:pt idx="22">
                  <c:v>1.3146562549184302</c:v>
                </c:pt>
                <c:pt idx="23">
                  <c:v>1.3071055749892566</c:v>
                </c:pt>
                <c:pt idx="24">
                  <c:v>1.3071485707926953</c:v>
                </c:pt>
                <c:pt idx="25">
                  <c:v>1.0720225775050041</c:v>
                </c:pt>
                <c:pt idx="26">
                  <c:v>1.0626655054323264</c:v>
                </c:pt>
                <c:pt idx="27">
                  <c:v>1.1987752017140405</c:v>
                </c:pt>
                <c:pt idx="28">
                  <c:v>0.98111350886289972</c:v>
                </c:pt>
                <c:pt idx="29">
                  <c:v>0.8194991428162075</c:v>
                </c:pt>
                <c:pt idx="30">
                  <c:v>1.3243052794606573</c:v>
                </c:pt>
                <c:pt idx="31">
                  <c:v>1.5075803965191916</c:v>
                </c:pt>
                <c:pt idx="32">
                  <c:v>1.7037353408455878</c:v>
                </c:pt>
                <c:pt idx="33">
                  <c:v>1.9323916756831472</c:v>
                </c:pt>
                <c:pt idx="34">
                  <c:v>2.15000282454255</c:v>
                </c:pt>
                <c:pt idx="35">
                  <c:v>1.5824228087790655</c:v>
                </c:pt>
                <c:pt idx="36">
                  <c:v>1.4817404542318027</c:v>
                </c:pt>
                <c:pt idx="37">
                  <c:v>1.5466455812970521</c:v>
                </c:pt>
                <c:pt idx="38">
                  <c:v>1.3523439540211482</c:v>
                </c:pt>
                <c:pt idx="39">
                  <c:v>1.4280292154703877</c:v>
                </c:pt>
                <c:pt idx="40">
                  <c:v>1.7799725970243958</c:v>
                </c:pt>
                <c:pt idx="41">
                  <c:v>1.7396453001580274</c:v>
                </c:pt>
                <c:pt idx="42">
                  <c:v>1.7693042357090869</c:v>
                </c:pt>
                <c:pt idx="43">
                  <c:v>1.9054850994999473</c:v>
                </c:pt>
                <c:pt idx="44">
                  <c:v>1.5112997116732156</c:v>
                </c:pt>
              </c:numCache>
            </c:numRef>
          </c:val>
          <c:smooth val="1"/>
        </c:ser>
        <c:dLbls>
          <c:showLegendKey val="0"/>
          <c:showVal val="0"/>
          <c:showCatName val="0"/>
          <c:showSerName val="0"/>
          <c:showPercent val="0"/>
          <c:showBubbleSize val="0"/>
        </c:dLbls>
        <c:marker val="1"/>
        <c:smooth val="0"/>
        <c:axId val="281310720"/>
        <c:axId val="281312256"/>
      </c:lineChart>
      <c:dateAx>
        <c:axId val="281310720"/>
        <c:scaling>
          <c:orientation val="minMax"/>
          <c:max val="41540"/>
          <c:min val="40442"/>
        </c:scaling>
        <c:delete val="0"/>
        <c:axPos val="b"/>
        <c:numFmt formatCode="mmm\-yy" sourceLinked="0"/>
        <c:majorTickMark val="cross"/>
        <c:minorTickMark val="in"/>
        <c:tickLblPos val="nextTo"/>
        <c:txPr>
          <a:bodyPr rot="0" vert="horz"/>
          <a:lstStyle/>
          <a:p>
            <a:pPr>
              <a:defRPr/>
            </a:pPr>
            <a:endParaRPr lang="en-US"/>
          </a:p>
        </c:txPr>
        <c:crossAx val="281312256"/>
        <c:crosses val="autoZero"/>
        <c:auto val="1"/>
        <c:lblOffset val="100"/>
        <c:baseTimeUnit val="months"/>
        <c:majorUnit val="6"/>
        <c:majorTimeUnit val="months"/>
        <c:minorUnit val="1"/>
        <c:minorTimeUnit val="months"/>
      </c:dateAx>
      <c:valAx>
        <c:axId val="281312256"/>
        <c:scaling>
          <c:orientation val="minMax"/>
          <c:max val="24"/>
        </c:scaling>
        <c:delete val="0"/>
        <c:axPos val="l"/>
        <c:numFmt formatCode="0" sourceLinked="0"/>
        <c:majorTickMark val="out"/>
        <c:minorTickMark val="none"/>
        <c:tickLblPos val="nextTo"/>
        <c:txPr>
          <a:bodyPr rot="0" vert="horz"/>
          <a:lstStyle/>
          <a:p>
            <a:pPr>
              <a:defRPr/>
            </a:pPr>
            <a:endParaRPr lang="en-US"/>
          </a:p>
        </c:txPr>
        <c:crossAx val="281310720"/>
        <c:crosses val="autoZero"/>
        <c:crossBetween val="midCat"/>
        <c:majorUnit val="2"/>
      </c:valAx>
    </c:plotArea>
    <c:legend>
      <c:legendPos val="r"/>
      <c:layout>
        <c:manualLayout>
          <c:xMode val="edge"/>
          <c:yMode val="edge"/>
          <c:x val="0.29526876110995359"/>
          <c:y val="4.6451829073870854E-2"/>
          <c:w val="0.65667636817604103"/>
          <c:h val="0.31899869757186389"/>
        </c:manualLayout>
      </c:layout>
      <c:overlay val="0"/>
    </c:legend>
    <c:plotVisOnly val="1"/>
    <c:dispBlanksAs val="gap"/>
    <c:showDLblsOverMax val="0"/>
  </c:chart>
  <c:spPr>
    <a:ln>
      <a:noFill/>
    </a:ln>
  </c:spPr>
  <c:txPr>
    <a:bodyPr/>
    <a:lstStyle/>
    <a:p>
      <a:pPr>
        <a:defRPr sz="800"/>
      </a:pPr>
      <a:endParaRPr lang="en-US"/>
    </a:p>
  </c:txPr>
  <c:externalData r:id="rId1">
    <c:autoUpdate val="0"/>
  </c:externalData>
  <c:userShapes r:id="rId2"/>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7052557753501441E-2"/>
          <c:y val="0.22382101127838602"/>
          <c:w val="0.85208702762796429"/>
          <c:h val="0.58026817871817549"/>
        </c:manualLayout>
      </c:layout>
      <c:areaChart>
        <c:grouping val="standard"/>
        <c:varyColors val="0"/>
        <c:ser>
          <c:idx val="2"/>
          <c:order val="2"/>
          <c:tx>
            <c:v>NPL + Past Due Loans (billions MNT)</c:v>
          </c:tx>
          <c:spPr>
            <a:solidFill>
              <a:schemeClr val="accent3">
                <a:lumMod val="40000"/>
                <a:lumOff val="60000"/>
              </a:schemeClr>
            </a:solidFill>
          </c:spPr>
          <c:val>
            <c:numRef>
              <c:f>'Mnth BoM data'!$GX$383:$HR$383</c:f>
              <c:numCache>
                <c:formatCode>_(* #,##0.00_);_(* \(#,##0.00\);_(* "-"??_);_(@_)</c:formatCode>
                <c:ptCount val="21"/>
                <c:pt idx="0">
                  <c:v>400461.41414016642</c:v>
                </c:pt>
                <c:pt idx="1">
                  <c:v>384488.85992364754</c:v>
                </c:pt>
                <c:pt idx="2">
                  <c:v>381600.62399597425</c:v>
                </c:pt>
                <c:pt idx="3">
                  <c:v>387769.73243545991</c:v>
                </c:pt>
                <c:pt idx="4">
                  <c:v>375708.88646240567</c:v>
                </c:pt>
                <c:pt idx="5">
                  <c:v>359613.48846652475</c:v>
                </c:pt>
                <c:pt idx="6">
                  <c:v>390881.51862767752</c:v>
                </c:pt>
                <c:pt idx="7">
                  <c:v>412936.4100075711</c:v>
                </c:pt>
                <c:pt idx="8">
                  <c:v>423293.68771054316</c:v>
                </c:pt>
                <c:pt idx="9">
                  <c:v>438642.58207144623</c:v>
                </c:pt>
                <c:pt idx="10">
                  <c:v>446108.74133714539</c:v>
                </c:pt>
                <c:pt idx="11">
                  <c:v>405716.46701916767</c:v>
                </c:pt>
                <c:pt idx="12">
                  <c:v>412981.1739886892</c:v>
                </c:pt>
                <c:pt idx="13">
                  <c:v>416811.06564472022</c:v>
                </c:pt>
                <c:pt idx="14">
                  <c:v>408429.77716972097</c:v>
                </c:pt>
                <c:pt idx="15">
                  <c:v>421344.71396452124</c:v>
                </c:pt>
                <c:pt idx="16">
                  <c:v>464435.05698082538</c:v>
                </c:pt>
                <c:pt idx="17">
                  <c:v>466322.45334369381</c:v>
                </c:pt>
                <c:pt idx="18">
                  <c:v>614269.18698998692</c:v>
                </c:pt>
                <c:pt idx="19">
                  <c:v>651251.96519045893</c:v>
                </c:pt>
                <c:pt idx="20">
                  <c:v>690611.87874398648</c:v>
                </c:pt>
              </c:numCache>
            </c:numRef>
          </c:val>
        </c:ser>
        <c:dLbls>
          <c:showLegendKey val="0"/>
          <c:showVal val="0"/>
          <c:showCatName val="0"/>
          <c:showSerName val="0"/>
          <c:showPercent val="0"/>
          <c:showBubbleSize val="0"/>
        </c:dLbls>
        <c:axId val="281640960"/>
        <c:axId val="281634688"/>
      </c:areaChart>
      <c:lineChart>
        <c:grouping val="standard"/>
        <c:varyColors val="0"/>
        <c:ser>
          <c:idx val="0"/>
          <c:order val="0"/>
          <c:tx>
            <c:v>Past Due Loans (% change) </c:v>
          </c:tx>
          <c:spPr>
            <a:ln w="22225">
              <a:prstDash val="sysDash"/>
            </a:ln>
          </c:spPr>
          <c:marker>
            <c:symbol val="none"/>
          </c:marker>
          <c:cat>
            <c:numRef>
              <c:f>'Mnth BoM data'!$GX$1:$HR$1</c:f>
              <c:numCache>
                <c:formatCode>mmm\-yy</c:formatCode>
                <c:ptCount val="21"/>
                <c:pt idx="0">
                  <c:v>40909</c:v>
                </c:pt>
                <c:pt idx="1">
                  <c:v>40940</c:v>
                </c:pt>
                <c:pt idx="2">
                  <c:v>40969</c:v>
                </c:pt>
                <c:pt idx="3">
                  <c:v>41000</c:v>
                </c:pt>
                <c:pt idx="4">
                  <c:v>41030</c:v>
                </c:pt>
                <c:pt idx="5">
                  <c:v>41061</c:v>
                </c:pt>
                <c:pt idx="6">
                  <c:v>41091</c:v>
                </c:pt>
                <c:pt idx="7">
                  <c:v>41122</c:v>
                </c:pt>
                <c:pt idx="8">
                  <c:v>41153</c:v>
                </c:pt>
                <c:pt idx="9">
                  <c:v>41183</c:v>
                </c:pt>
                <c:pt idx="10">
                  <c:v>41214</c:v>
                </c:pt>
                <c:pt idx="11">
                  <c:v>41244</c:v>
                </c:pt>
                <c:pt idx="12">
                  <c:v>41275</c:v>
                </c:pt>
                <c:pt idx="13">
                  <c:v>41306</c:v>
                </c:pt>
                <c:pt idx="14">
                  <c:v>41334</c:v>
                </c:pt>
                <c:pt idx="15">
                  <c:v>41365</c:v>
                </c:pt>
                <c:pt idx="16">
                  <c:v>41395</c:v>
                </c:pt>
                <c:pt idx="17">
                  <c:v>41426</c:v>
                </c:pt>
                <c:pt idx="18">
                  <c:v>41456</c:v>
                </c:pt>
                <c:pt idx="19">
                  <c:v>41487</c:v>
                </c:pt>
                <c:pt idx="20">
                  <c:v>41518</c:v>
                </c:pt>
              </c:numCache>
            </c:numRef>
          </c:cat>
          <c:val>
            <c:numRef>
              <c:f>'Mnth BoM data'!$GX$330:$HR$330</c:f>
              <c:numCache>
                <c:formatCode>_(* #,##0.0_);_(* \(#,##0.0\);_(* "-"??_);_(@_)</c:formatCode>
                <c:ptCount val="21"/>
                <c:pt idx="0">
                  <c:v>0.11664638108581657</c:v>
                </c:pt>
                <c:pt idx="1">
                  <c:v>-17.136651851406501</c:v>
                </c:pt>
                <c:pt idx="2">
                  <c:v>0.4347569606893979</c:v>
                </c:pt>
                <c:pt idx="3">
                  <c:v>15.822467076175375</c:v>
                </c:pt>
                <c:pt idx="4">
                  <c:v>-15.603302319208852</c:v>
                </c:pt>
                <c:pt idx="5">
                  <c:v>-13.784564180715448</c:v>
                </c:pt>
                <c:pt idx="6">
                  <c:v>64.421354819615402</c:v>
                </c:pt>
                <c:pt idx="7">
                  <c:v>18.205392728328089</c:v>
                </c:pt>
                <c:pt idx="8">
                  <c:v>16.266321764523127</c:v>
                </c:pt>
                <c:pt idx="9">
                  <c:v>13.224045770509305</c:v>
                </c:pt>
                <c:pt idx="10">
                  <c:v>11.4619268503605</c:v>
                </c:pt>
                <c:pt idx="11">
                  <c:v>-25.083387200364218</c:v>
                </c:pt>
                <c:pt idx="12">
                  <c:v>-4.3629844599445082</c:v>
                </c:pt>
                <c:pt idx="13">
                  <c:v>4.7990229249944623</c:v>
                </c:pt>
                <c:pt idx="14">
                  <c:v>-9.938653014712715</c:v>
                </c:pt>
                <c:pt idx="15">
                  <c:v>11.037337879579855</c:v>
                </c:pt>
                <c:pt idx="16">
                  <c:v>32.068654252648777</c:v>
                </c:pt>
                <c:pt idx="17">
                  <c:v>2.2646017712258519</c:v>
                </c:pt>
                <c:pt idx="18">
                  <c:v>7.7302777221198813</c:v>
                </c:pt>
                <c:pt idx="19">
                  <c:v>15.556621186448428</c:v>
                </c:pt>
                <c:pt idx="20">
                  <c:v>-17.684826774195596</c:v>
                </c:pt>
              </c:numCache>
            </c:numRef>
          </c:val>
          <c:smooth val="0"/>
        </c:ser>
        <c:ser>
          <c:idx val="1"/>
          <c:order val="1"/>
          <c:tx>
            <c:v>NPL Loans (BoM Definition, % change)</c:v>
          </c:tx>
          <c:spPr>
            <a:ln w="22225"/>
          </c:spPr>
          <c:marker>
            <c:symbol val="none"/>
          </c:marker>
          <c:cat>
            <c:numRef>
              <c:f>'Mnth BoM data'!$GX$1:$HR$1</c:f>
              <c:numCache>
                <c:formatCode>mmm\-yy</c:formatCode>
                <c:ptCount val="21"/>
                <c:pt idx="0">
                  <c:v>40909</c:v>
                </c:pt>
                <c:pt idx="1">
                  <c:v>40940</c:v>
                </c:pt>
                <c:pt idx="2">
                  <c:v>40969</c:v>
                </c:pt>
                <c:pt idx="3">
                  <c:v>41000</c:v>
                </c:pt>
                <c:pt idx="4">
                  <c:v>41030</c:v>
                </c:pt>
                <c:pt idx="5">
                  <c:v>41061</c:v>
                </c:pt>
                <c:pt idx="6">
                  <c:v>41091</c:v>
                </c:pt>
                <c:pt idx="7">
                  <c:v>41122</c:v>
                </c:pt>
                <c:pt idx="8">
                  <c:v>41153</c:v>
                </c:pt>
                <c:pt idx="9">
                  <c:v>41183</c:v>
                </c:pt>
                <c:pt idx="10">
                  <c:v>41214</c:v>
                </c:pt>
                <c:pt idx="11">
                  <c:v>41244</c:v>
                </c:pt>
                <c:pt idx="12">
                  <c:v>41275</c:v>
                </c:pt>
                <c:pt idx="13">
                  <c:v>41306</c:v>
                </c:pt>
                <c:pt idx="14">
                  <c:v>41334</c:v>
                </c:pt>
                <c:pt idx="15">
                  <c:v>41365</c:v>
                </c:pt>
                <c:pt idx="16">
                  <c:v>41395</c:v>
                </c:pt>
                <c:pt idx="17">
                  <c:v>41426</c:v>
                </c:pt>
                <c:pt idx="18">
                  <c:v>41456</c:v>
                </c:pt>
                <c:pt idx="19">
                  <c:v>41487</c:v>
                </c:pt>
                <c:pt idx="20">
                  <c:v>41518</c:v>
                </c:pt>
              </c:numCache>
            </c:numRef>
          </c:cat>
          <c:val>
            <c:numRef>
              <c:f>'Mnth BoM data'!$GX$338:$HR$338</c:f>
              <c:numCache>
                <c:formatCode>_(* #,##0.0_);_(* \(#,##0.0\);_(* "-"??_);_(@_)</c:formatCode>
                <c:ptCount val="21"/>
                <c:pt idx="0">
                  <c:v>-1.0069624174234391</c:v>
                </c:pt>
                <c:pt idx="1">
                  <c:v>-1.0169597294145571</c:v>
                </c:pt>
                <c:pt idx="2">
                  <c:v>-0.97557150243931035</c:v>
                </c:pt>
                <c:pt idx="3">
                  <c:v>-1.1094083058173818</c:v>
                </c:pt>
                <c:pt idx="4">
                  <c:v>-0.30247823083502418</c:v>
                </c:pt>
                <c:pt idx="5">
                  <c:v>-2.4764383372517935</c:v>
                </c:pt>
                <c:pt idx="6">
                  <c:v>-0.67819223877787582</c:v>
                </c:pt>
                <c:pt idx="7">
                  <c:v>2.1442649834845438</c:v>
                </c:pt>
                <c:pt idx="8">
                  <c:v>-1.924999534082128</c:v>
                </c:pt>
                <c:pt idx="9">
                  <c:v>-4.0287450387488384E-2</c:v>
                </c:pt>
                <c:pt idx="10">
                  <c:v>-2.520781893414159</c:v>
                </c:pt>
                <c:pt idx="11">
                  <c:v>-1.1240600578793938</c:v>
                </c:pt>
                <c:pt idx="12">
                  <c:v>4.0973178939838704</c:v>
                </c:pt>
                <c:pt idx="13">
                  <c:v>-0.40599653576737232</c:v>
                </c:pt>
                <c:pt idx="14">
                  <c:v>0.86218396484423121</c:v>
                </c:pt>
                <c:pt idx="15">
                  <c:v>0.61377343216402347</c:v>
                </c:pt>
                <c:pt idx="16">
                  <c:v>2.4269429332078811</c:v>
                </c:pt>
                <c:pt idx="17">
                  <c:v>-0.44923994893230063</c:v>
                </c:pt>
                <c:pt idx="18">
                  <c:v>43.076561067062045</c:v>
                </c:pt>
                <c:pt idx="19">
                  <c:v>2.6243304578809585</c:v>
                </c:pt>
                <c:pt idx="20">
                  <c:v>15.559704453477398</c:v>
                </c:pt>
              </c:numCache>
            </c:numRef>
          </c:val>
          <c:smooth val="0"/>
        </c:ser>
        <c:dLbls>
          <c:showLegendKey val="0"/>
          <c:showVal val="0"/>
          <c:showCatName val="0"/>
          <c:showSerName val="0"/>
          <c:showPercent val="0"/>
          <c:showBubbleSize val="0"/>
        </c:dLbls>
        <c:marker val="1"/>
        <c:smooth val="0"/>
        <c:axId val="281627264"/>
        <c:axId val="281633152"/>
      </c:lineChart>
      <c:dateAx>
        <c:axId val="281627264"/>
        <c:scaling>
          <c:orientation val="minMax"/>
        </c:scaling>
        <c:delete val="0"/>
        <c:axPos val="b"/>
        <c:numFmt formatCode="mmm\-yy" sourceLinked="1"/>
        <c:majorTickMark val="out"/>
        <c:minorTickMark val="none"/>
        <c:tickLblPos val="low"/>
        <c:crossAx val="281633152"/>
        <c:crosses val="autoZero"/>
        <c:auto val="1"/>
        <c:lblOffset val="100"/>
        <c:baseTimeUnit val="months"/>
      </c:dateAx>
      <c:valAx>
        <c:axId val="281633152"/>
        <c:scaling>
          <c:orientation val="minMax"/>
        </c:scaling>
        <c:delete val="0"/>
        <c:axPos val="l"/>
        <c:majorGridlines>
          <c:spPr>
            <a:ln>
              <a:noFill/>
            </a:ln>
          </c:spPr>
        </c:majorGridlines>
        <c:numFmt formatCode="#,##0" sourceLinked="0"/>
        <c:majorTickMark val="out"/>
        <c:minorTickMark val="none"/>
        <c:tickLblPos val="nextTo"/>
        <c:crossAx val="281627264"/>
        <c:crosses val="autoZero"/>
        <c:crossBetween val="between"/>
      </c:valAx>
      <c:valAx>
        <c:axId val="281634688"/>
        <c:scaling>
          <c:orientation val="minMax"/>
          <c:min val="-300000"/>
        </c:scaling>
        <c:delete val="0"/>
        <c:axPos val="r"/>
        <c:numFmt formatCode="General" sourceLinked="0"/>
        <c:majorTickMark val="out"/>
        <c:minorTickMark val="none"/>
        <c:tickLblPos val="nextTo"/>
        <c:crossAx val="281640960"/>
        <c:crosses val="max"/>
        <c:crossBetween val="between"/>
        <c:dispUnits>
          <c:builtInUnit val="thousands"/>
        </c:dispUnits>
      </c:valAx>
      <c:catAx>
        <c:axId val="281640960"/>
        <c:scaling>
          <c:orientation val="minMax"/>
        </c:scaling>
        <c:delete val="1"/>
        <c:axPos val="b"/>
        <c:numFmt formatCode="mmm\-yy" sourceLinked="1"/>
        <c:majorTickMark val="out"/>
        <c:minorTickMark val="none"/>
        <c:tickLblPos val="nextTo"/>
        <c:crossAx val="281634688"/>
        <c:crosses val="autoZero"/>
        <c:auto val="1"/>
        <c:lblAlgn val="ctr"/>
        <c:lblOffset val="100"/>
        <c:noMultiLvlLbl val="0"/>
      </c:catAx>
    </c:plotArea>
    <c:legend>
      <c:legendPos val="r"/>
      <c:layout>
        <c:manualLayout>
          <c:xMode val="edge"/>
          <c:yMode val="edge"/>
          <c:x val="0.10587268599229391"/>
          <c:y val="5.7445807321893525E-3"/>
          <c:w val="0.7080370787171909"/>
          <c:h val="0.19205002786903078"/>
        </c:manualLayout>
      </c:layout>
      <c:overlay val="0"/>
    </c:legend>
    <c:plotVisOnly val="1"/>
    <c:dispBlanksAs val="gap"/>
    <c:showDLblsOverMax val="0"/>
  </c:chart>
  <c:spPr>
    <a:ln>
      <a:noFill/>
    </a:ln>
  </c:spPr>
  <c:txPr>
    <a:bodyPr/>
    <a:lstStyle/>
    <a:p>
      <a:pPr>
        <a:defRPr sz="700"/>
      </a:pPr>
      <a:endParaRPr lang="en-US"/>
    </a:p>
  </c:txPr>
  <c:externalData r:id="rId1">
    <c:autoUpdate val="0"/>
  </c:externalData>
  <c:userShapes r:id="rId2"/>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6738215152382813E-2"/>
          <c:y val="0.12103145622817395"/>
          <c:w val="0.91994856827695348"/>
          <c:h val="0.65205240573504342"/>
        </c:manualLayout>
      </c:layout>
      <c:lineChart>
        <c:grouping val="standard"/>
        <c:varyColors val="0"/>
        <c:ser>
          <c:idx val="1"/>
          <c:order val="0"/>
          <c:tx>
            <c:v>Exports</c:v>
          </c:tx>
          <c:spPr>
            <a:ln>
              <a:solidFill>
                <a:schemeClr val="tx2">
                  <a:lumMod val="60000"/>
                  <a:lumOff val="40000"/>
                </a:schemeClr>
              </a:solidFill>
            </a:ln>
          </c:spPr>
          <c:marker>
            <c:symbol val="none"/>
          </c:marker>
          <c:cat>
            <c:numRef>
              <c:f>'trade BOM'!$D$1:$HR$1</c:f>
              <c:numCache>
                <c:formatCode>mmm\-yy</c:formatCode>
                <c:ptCount val="183"/>
                <c:pt idx="0">
                  <c:v>33208</c:v>
                </c:pt>
                <c:pt idx="1">
                  <c:v>33573</c:v>
                </c:pt>
                <c:pt idx="2">
                  <c:v>33664</c:v>
                </c:pt>
                <c:pt idx="3">
                  <c:v>33756</c:v>
                </c:pt>
                <c:pt idx="4">
                  <c:v>33848</c:v>
                </c:pt>
                <c:pt idx="5">
                  <c:v>33939</c:v>
                </c:pt>
                <c:pt idx="6">
                  <c:v>34029</c:v>
                </c:pt>
                <c:pt idx="7">
                  <c:v>34121</c:v>
                </c:pt>
                <c:pt idx="8">
                  <c:v>34213</c:v>
                </c:pt>
                <c:pt idx="9">
                  <c:v>34304</c:v>
                </c:pt>
                <c:pt idx="10">
                  <c:v>34394</c:v>
                </c:pt>
                <c:pt idx="11">
                  <c:v>34486</c:v>
                </c:pt>
                <c:pt idx="12">
                  <c:v>34578</c:v>
                </c:pt>
                <c:pt idx="13">
                  <c:v>34669</c:v>
                </c:pt>
                <c:pt idx="14">
                  <c:v>34759</c:v>
                </c:pt>
                <c:pt idx="15">
                  <c:v>34851</c:v>
                </c:pt>
                <c:pt idx="16">
                  <c:v>34943</c:v>
                </c:pt>
                <c:pt idx="17">
                  <c:v>35034</c:v>
                </c:pt>
                <c:pt idx="18">
                  <c:v>35125</c:v>
                </c:pt>
                <c:pt idx="19">
                  <c:v>35217</c:v>
                </c:pt>
                <c:pt idx="20">
                  <c:v>35309</c:v>
                </c:pt>
                <c:pt idx="21">
                  <c:v>35400</c:v>
                </c:pt>
                <c:pt idx="22">
                  <c:v>35431</c:v>
                </c:pt>
                <c:pt idx="23">
                  <c:v>35462</c:v>
                </c:pt>
                <c:pt idx="24">
                  <c:v>35490</c:v>
                </c:pt>
                <c:pt idx="25">
                  <c:v>35521</c:v>
                </c:pt>
                <c:pt idx="26">
                  <c:v>35551</c:v>
                </c:pt>
                <c:pt idx="27">
                  <c:v>35582</c:v>
                </c:pt>
                <c:pt idx="28">
                  <c:v>35612</c:v>
                </c:pt>
                <c:pt idx="29">
                  <c:v>35643</c:v>
                </c:pt>
                <c:pt idx="30">
                  <c:v>35674</c:v>
                </c:pt>
                <c:pt idx="31">
                  <c:v>35704</c:v>
                </c:pt>
                <c:pt idx="32">
                  <c:v>35735</c:v>
                </c:pt>
                <c:pt idx="33">
                  <c:v>35765</c:v>
                </c:pt>
                <c:pt idx="34">
                  <c:v>35796</c:v>
                </c:pt>
                <c:pt idx="35">
                  <c:v>35827</c:v>
                </c:pt>
                <c:pt idx="36">
                  <c:v>35855</c:v>
                </c:pt>
                <c:pt idx="37">
                  <c:v>35886</c:v>
                </c:pt>
                <c:pt idx="38">
                  <c:v>35916</c:v>
                </c:pt>
                <c:pt idx="39">
                  <c:v>35947</c:v>
                </c:pt>
                <c:pt idx="40">
                  <c:v>35977</c:v>
                </c:pt>
                <c:pt idx="41">
                  <c:v>36008</c:v>
                </c:pt>
                <c:pt idx="42">
                  <c:v>36039</c:v>
                </c:pt>
                <c:pt idx="43">
                  <c:v>36069</c:v>
                </c:pt>
                <c:pt idx="44">
                  <c:v>36100</c:v>
                </c:pt>
                <c:pt idx="45">
                  <c:v>36130</c:v>
                </c:pt>
                <c:pt idx="46">
                  <c:v>36161</c:v>
                </c:pt>
                <c:pt idx="47">
                  <c:v>36192</c:v>
                </c:pt>
                <c:pt idx="48">
                  <c:v>36220</c:v>
                </c:pt>
                <c:pt idx="49">
                  <c:v>36251</c:v>
                </c:pt>
                <c:pt idx="50">
                  <c:v>36281</c:v>
                </c:pt>
                <c:pt idx="51">
                  <c:v>36312</c:v>
                </c:pt>
                <c:pt idx="52">
                  <c:v>36342</c:v>
                </c:pt>
                <c:pt idx="53">
                  <c:v>36373</c:v>
                </c:pt>
                <c:pt idx="54">
                  <c:v>36404</c:v>
                </c:pt>
                <c:pt idx="55">
                  <c:v>36434</c:v>
                </c:pt>
                <c:pt idx="56">
                  <c:v>36465</c:v>
                </c:pt>
                <c:pt idx="57">
                  <c:v>36495</c:v>
                </c:pt>
                <c:pt idx="58">
                  <c:v>36526</c:v>
                </c:pt>
                <c:pt idx="59">
                  <c:v>36557</c:v>
                </c:pt>
                <c:pt idx="60">
                  <c:v>36586</c:v>
                </c:pt>
                <c:pt idx="61">
                  <c:v>36617</c:v>
                </c:pt>
                <c:pt idx="62">
                  <c:v>36647</c:v>
                </c:pt>
                <c:pt idx="63">
                  <c:v>36678</c:v>
                </c:pt>
                <c:pt idx="64">
                  <c:v>36708</c:v>
                </c:pt>
                <c:pt idx="65">
                  <c:v>36739</c:v>
                </c:pt>
                <c:pt idx="66">
                  <c:v>36770</c:v>
                </c:pt>
                <c:pt idx="67">
                  <c:v>36800</c:v>
                </c:pt>
                <c:pt idx="68">
                  <c:v>36831</c:v>
                </c:pt>
                <c:pt idx="69">
                  <c:v>36861</c:v>
                </c:pt>
                <c:pt idx="70">
                  <c:v>36892</c:v>
                </c:pt>
                <c:pt idx="71">
                  <c:v>36923</c:v>
                </c:pt>
                <c:pt idx="72">
                  <c:v>36951</c:v>
                </c:pt>
                <c:pt idx="73">
                  <c:v>36982</c:v>
                </c:pt>
                <c:pt idx="74">
                  <c:v>37012</c:v>
                </c:pt>
                <c:pt idx="75">
                  <c:v>37043</c:v>
                </c:pt>
                <c:pt idx="76">
                  <c:v>37073</c:v>
                </c:pt>
                <c:pt idx="77">
                  <c:v>37104</c:v>
                </c:pt>
                <c:pt idx="78">
                  <c:v>37135</c:v>
                </c:pt>
                <c:pt idx="79">
                  <c:v>37165</c:v>
                </c:pt>
                <c:pt idx="80">
                  <c:v>37196</c:v>
                </c:pt>
                <c:pt idx="81">
                  <c:v>37226</c:v>
                </c:pt>
                <c:pt idx="82">
                  <c:v>37257</c:v>
                </c:pt>
                <c:pt idx="83">
                  <c:v>37288</c:v>
                </c:pt>
                <c:pt idx="84">
                  <c:v>37316</c:v>
                </c:pt>
                <c:pt idx="85">
                  <c:v>37347</c:v>
                </c:pt>
                <c:pt idx="86">
                  <c:v>37377</c:v>
                </c:pt>
                <c:pt idx="87">
                  <c:v>37408</c:v>
                </c:pt>
                <c:pt idx="88">
                  <c:v>37438</c:v>
                </c:pt>
                <c:pt idx="89">
                  <c:v>37469</c:v>
                </c:pt>
                <c:pt idx="90">
                  <c:v>37500</c:v>
                </c:pt>
                <c:pt idx="91">
                  <c:v>37530</c:v>
                </c:pt>
                <c:pt idx="92">
                  <c:v>37561</c:v>
                </c:pt>
                <c:pt idx="93">
                  <c:v>37591</c:v>
                </c:pt>
                <c:pt idx="94">
                  <c:v>37622</c:v>
                </c:pt>
                <c:pt idx="95">
                  <c:v>37653</c:v>
                </c:pt>
                <c:pt idx="96">
                  <c:v>37681</c:v>
                </c:pt>
                <c:pt idx="97">
                  <c:v>37712</c:v>
                </c:pt>
                <c:pt idx="98">
                  <c:v>37742</c:v>
                </c:pt>
                <c:pt idx="99">
                  <c:v>37773</c:v>
                </c:pt>
                <c:pt idx="100">
                  <c:v>37803</c:v>
                </c:pt>
                <c:pt idx="101">
                  <c:v>37834</c:v>
                </c:pt>
                <c:pt idx="102">
                  <c:v>37865</c:v>
                </c:pt>
                <c:pt idx="103">
                  <c:v>37895</c:v>
                </c:pt>
                <c:pt idx="104">
                  <c:v>37926</c:v>
                </c:pt>
                <c:pt idx="105">
                  <c:v>37956</c:v>
                </c:pt>
                <c:pt idx="106">
                  <c:v>37987</c:v>
                </c:pt>
                <c:pt idx="107">
                  <c:v>38018</c:v>
                </c:pt>
                <c:pt idx="108">
                  <c:v>38047</c:v>
                </c:pt>
                <c:pt idx="109">
                  <c:v>38078</c:v>
                </c:pt>
                <c:pt idx="110">
                  <c:v>38108</c:v>
                </c:pt>
                <c:pt idx="111">
                  <c:v>38139</c:v>
                </c:pt>
                <c:pt idx="112">
                  <c:v>38169</c:v>
                </c:pt>
                <c:pt idx="113">
                  <c:v>38200</c:v>
                </c:pt>
                <c:pt idx="114">
                  <c:v>38231</c:v>
                </c:pt>
                <c:pt idx="115">
                  <c:v>38261</c:v>
                </c:pt>
                <c:pt idx="116">
                  <c:v>38292</c:v>
                </c:pt>
                <c:pt idx="117">
                  <c:v>38322</c:v>
                </c:pt>
                <c:pt idx="118">
                  <c:v>38353</c:v>
                </c:pt>
                <c:pt idx="119">
                  <c:v>38384</c:v>
                </c:pt>
                <c:pt idx="120">
                  <c:v>38412</c:v>
                </c:pt>
                <c:pt idx="121">
                  <c:v>38443</c:v>
                </c:pt>
                <c:pt idx="122">
                  <c:v>38473</c:v>
                </c:pt>
                <c:pt idx="123">
                  <c:v>38504</c:v>
                </c:pt>
                <c:pt idx="124">
                  <c:v>38534</c:v>
                </c:pt>
                <c:pt idx="125">
                  <c:v>38565</c:v>
                </c:pt>
                <c:pt idx="126">
                  <c:v>39814</c:v>
                </c:pt>
                <c:pt idx="127">
                  <c:v>39845</c:v>
                </c:pt>
                <c:pt idx="128">
                  <c:v>39873</c:v>
                </c:pt>
                <c:pt idx="129">
                  <c:v>39904</c:v>
                </c:pt>
                <c:pt idx="130">
                  <c:v>39934</c:v>
                </c:pt>
                <c:pt idx="131">
                  <c:v>39965</c:v>
                </c:pt>
                <c:pt idx="132">
                  <c:v>39995</c:v>
                </c:pt>
                <c:pt idx="133">
                  <c:v>40026</c:v>
                </c:pt>
                <c:pt idx="134">
                  <c:v>40057</c:v>
                </c:pt>
                <c:pt idx="135">
                  <c:v>40087</c:v>
                </c:pt>
                <c:pt idx="136">
                  <c:v>40118</c:v>
                </c:pt>
                <c:pt idx="137">
                  <c:v>40148</c:v>
                </c:pt>
                <c:pt idx="138">
                  <c:v>40179</c:v>
                </c:pt>
                <c:pt idx="139">
                  <c:v>40210</c:v>
                </c:pt>
                <c:pt idx="140">
                  <c:v>40238</c:v>
                </c:pt>
                <c:pt idx="141">
                  <c:v>40269</c:v>
                </c:pt>
                <c:pt idx="142">
                  <c:v>40299</c:v>
                </c:pt>
                <c:pt idx="143">
                  <c:v>40330</c:v>
                </c:pt>
                <c:pt idx="144">
                  <c:v>40360</c:v>
                </c:pt>
                <c:pt idx="145">
                  <c:v>40391</c:v>
                </c:pt>
                <c:pt idx="146">
                  <c:v>40422</c:v>
                </c:pt>
                <c:pt idx="147">
                  <c:v>40452</c:v>
                </c:pt>
                <c:pt idx="148">
                  <c:v>40483</c:v>
                </c:pt>
                <c:pt idx="149">
                  <c:v>40513</c:v>
                </c:pt>
                <c:pt idx="150">
                  <c:v>40544</c:v>
                </c:pt>
                <c:pt idx="151">
                  <c:v>40575</c:v>
                </c:pt>
                <c:pt idx="152">
                  <c:v>40603</c:v>
                </c:pt>
                <c:pt idx="153">
                  <c:v>40634</c:v>
                </c:pt>
                <c:pt idx="154">
                  <c:v>40664</c:v>
                </c:pt>
                <c:pt idx="155">
                  <c:v>40695</c:v>
                </c:pt>
                <c:pt idx="156">
                  <c:v>40725</c:v>
                </c:pt>
                <c:pt idx="157">
                  <c:v>40756</c:v>
                </c:pt>
                <c:pt idx="158">
                  <c:v>40787</c:v>
                </c:pt>
                <c:pt idx="159">
                  <c:v>40817</c:v>
                </c:pt>
                <c:pt idx="160">
                  <c:v>40848</c:v>
                </c:pt>
                <c:pt idx="161">
                  <c:v>40878</c:v>
                </c:pt>
                <c:pt idx="162">
                  <c:v>40909</c:v>
                </c:pt>
                <c:pt idx="163">
                  <c:v>40940</c:v>
                </c:pt>
                <c:pt idx="164">
                  <c:v>40969</c:v>
                </c:pt>
                <c:pt idx="165">
                  <c:v>41000</c:v>
                </c:pt>
                <c:pt idx="166">
                  <c:v>41030</c:v>
                </c:pt>
                <c:pt idx="167">
                  <c:v>41061</c:v>
                </c:pt>
                <c:pt idx="168">
                  <c:v>41091</c:v>
                </c:pt>
                <c:pt idx="169">
                  <c:v>41122</c:v>
                </c:pt>
                <c:pt idx="170">
                  <c:v>41153</c:v>
                </c:pt>
                <c:pt idx="171">
                  <c:v>41183</c:v>
                </c:pt>
                <c:pt idx="172">
                  <c:v>41214</c:v>
                </c:pt>
                <c:pt idx="173">
                  <c:v>41244</c:v>
                </c:pt>
                <c:pt idx="174">
                  <c:v>41275</c:v>
                </c:pt>
                <c:pt idx="175">
                  <c:v>41306</c:v>
                </c:pt>
                <c:pt idx="176">
                  <c:v>41334</c:v>
                </c:pt>
                <c:pt idx="177">
                  <c:v>41365</c:v>
                </c:pt>
                <c:pt idx="178">
                  <c:v>41395</c:v>
                </c:pt>
                <c:pt idx="179">
                  <c:v>41426</c:v>
                </c:pt>
                <c:pt idx="180">
                  <c:v>41456</c:v>
                </c:pt>
                <c:pt idx="181">
                  <c:v>41487</c:v>
                </c:pt>
                <c:pt idx="182">
                  <c:v>41518</c:v>
                </c:pt>
              </c:numCache>
            </c:numRef>
          </c:cat>
          <c:val>
            <c:numRef>
              <c:f>'trade BOM'!$D$164:$HR$164</c:f>
              <c:numCache>
                <c:formatCode>General</c:formatCode>
                <c:ptCount val="183"/>
                <c:pt idx="108" formatCode="0.0">
                  <c:v>60.580483741672374</c:v>
                </c:pt>
                <c:pt idx="109" formatCode="0.0">
                  <c:v>70.303858381993408</c:v>
                </c:pt>
                <c:pt idx="110" formatCode="0.0">
                  <c:v>75.635638968915103</c:v>
                </c:pt>
                <c:pt idx="111" formatCode="0.0">
                  <c:v>66.047536364026172</c:v>
                </c:pt>
                <c:pt idx="112" formatCode="0.0">
                  <c:v>67.950803252806708</c:v>
                </c:pt>
                <c:pt idx="113" formatCode="0.0">
                  <c:v>77.418571391032273</c:v>
                </c:pt>
                <c:pt idx="114" formatCode="0.0">
                  <c:v>80.983413642610302</c:v>
                </c:pt>
                <c:pt idx="115" formatCode="0.0">
                  <c:v>74.641719546935335</c:v>
                </c:pt>
                <c:pt idx="116" formatCode="0.0">
                  <c:v>69.008496336841844</c:v>
                </c:pt>
                <c:pt idx="117" formatCode="0.0">
                  <c:v>78.692851936069758</c:v>
                </c:pt>
                <c:pt idx="118" formatCode="0.0">
                  <c:v>81.624070058116118</c:v>
                </c:pt>
                <c:pt idx="119" formatCode="0.0">
                  <c:v>73.089220801490583</c:v>
                </c:pt>
                <c:pt idx="120" formatCode="0.0">
                  <c:v>76.511809665581723</c:v>
                </c:pt>
                <c:pt idx="121" formatCode="0.0">
                  <c:v>80.342742496078515</c:v>
                </c:pt>
                <c:pt idx="122" formatCode="0.0">
                  <c:v>86.847068441971146</c:v>
                </c:pt>
                <c:pt idx="123" formatCode="0.0">
                  <c:v>84.267893545332669</c:v>
                </c:pt>
                <c:pt idx="124" formatCode="0.0">
                  <c:v>88.44130059714162</c:v>
                </c:pt>
                <c:pt idx="125" formatCode="0.0">
                  <c:v>90.689100870157958</c:v>
                </c:pt>
                <c:pt idx="126" formatCode="0.0">
                  <c:v>176.65494630390211</c:v>
                </c:pt>
                <c:pt idx="127" formatCode="0.0">
                  <c:v>141.99903191524149</c:v>
                </c:pt>
                <c:pt idx="128" formatCode="0.0">
                  <c:v>139.42718772388179</c:v>
                </c:pt>
                <c:pt idx="129" formatCode="0.0">
                  <c:v>127.82715259476868</c:v>
                </c:pt>
                <c:pt idx="130" formatCode="0.0">
                  <c:v>152.40696483590878</c:v>
                </c:pt>
                <c:pt idx="131" formatCode="0.0">
                  <c:v>164.38406160489802</c:v>
                </c:pt>
                <c:pt idx="132" formatCode="0.0">
                  <c:v>167.10091103330095</c:v>
                </c:pt>
                <c:pt idx="133" formatCode="0.0">
                  <c:v>164.74369116870804</c:v>
                </c:pt>
                <c:pt idx="134" formatCode="0.0">
                  <c:v>169.84541345243176</c:v>
                </c:pt>
                <c:pt idx="135" formatCode="0.0">
                  <c:v>153.56414531620388</c:v>
                </c:pt>
                <c:pt idx="136" formatCode="0.0">
                  <c:v>176.27003803474801</c:v>
                </c:pt>
                <c:pt idx="137" formatCode="0.0">
                  <c:v>164.15321052864135</c:v>
                </c:pt>
                <c:pt idx="138" formatCode="0.0">
                  <c:v>186.68742733582783</c:v>
                </c:pt>
                <c:pt idx="139" formatCode="0.0">
                  <c:v>182.57342085988628</c:v>
                </c:pt>
                <c:pt idx="140" formatCode="0.0">
                  <c:v>226.17043308308166</c:v>
                </c:pt>
                <c:pt idx="141" formatCode="0.0">
                  <c:v>264.83271968864011</c:v>
                </c:pt>
                <c:pt idx="142" formatCode="0.0">
                  <c:v>289.19170684940025</c:v>
                </c:pt>
                <c:pt idx="143" formatCode="0.0">
                  <c:v>302.37653858215515</c:v>
                </c:pt>
                <c:pt idx="144" formatCode="0.0">
                  <c:v>282.29864584602268</c:v>
                </c:pt>
                <c:pt idx="145" formatCode="0.0">
                  <c:v>269.83627842362853</c:v>
                </c:pt>
                <c:pt idx="146" formatCode="0.0">
                  <c:v>226.19002985337784</c:v>
                </c:pt>
                <c:pt idx="147" formatCode="0.0">
                  <c:v>200.54775217031613</c:v>
                </c:pt>
                <c:pt idx="148" formatCode="0.0">
                  <c:v>225.11365342109175</c:v>
                </c:pt>
                <c:pt idx="149" formatCode="0.0">
                  <c:v>239.58846745466462</c:v>
                </c:pt>
                <c:pt idx="150" formatCode="0.0">
                  <c:v>263.90561919479541</c:v>
                </c:pt>
                <c:pt idx="151" formatCode="0.0">
                  <c:v>255.38071556551253</c:v>
                </c:pt>
                <c:pt idx="152" formatCode="0.0">
                  <c:v>340.72012764846949</c:v>
                </c:pt>
                <c:pt idx="153" formatCode="0.0">
                  <c:v>445.71124447444203</c:v>
                </c:pt>
                <c:pt idx="154" formatCode="0.0">
                  <c:v>498.36789172234654</c:v>
                </c:pt>
                <c:pt idx="155" formatCode="0.0">
                  <c:v>474.24958667682972</c:v>
                </c:pt>
                <c:pt idx="156" formatCode="0.0">
                  <c:v>412.62006391865026</c:v>
                </c:pt>
                <c:pt idx="157" formatCode="0.0">
                  <c:v>437.95606509206056</c:v>
                </c:pt>
                <c:pt idx="158" formatCode="0.0">
                  <c:v>461.10838081684682</c:v>
                </c:pt>
                <c:pt idx="159" formatCode="0.0">
                  <c:v>401.5364247303408</c:v>
                </c:pt>
                <c:pt idx="160" formatCode="0.0">
                  <c:v>425.43656145702192</c:v>
                </c:pt>
                <c:pt idx="161" formatCode="0.0">
                  <c:v>386.91101830175569</c:v>
                </c:pt>
                <c:pt idx="162" formatCode="0.0">
                  <c:v>415.25195205194825</c:v>
                </c:pt>
                <c:pt idx="163" formatCode="0.0">
                  <c:v>350.76299267902601</c:v>
                </c:pt>
                <c:pt idx="164" formatCode="0.0">
                  <c:v>402.68965760456439</c:v>
                </c:pt>
                <c:pt idx="165" formatCode="0.0">
                  <c:v>488.95110062516642</c:v>
                </c:pt>
                <c:pt idx="166" formatCode="0.0">
                  <c:v>504.32237159173388</c:v>
                </c:pt>
                <c:pt idx="167" formatCode="0.0">
                  <c:v>514.38405328079818</c:v>
                </c:pt>
                <c:pt idx="168" formatCode="0.0">
                  <c:v>436.74809989293828</c:v>
                </c:pt>
                <c:pt idx="169" formatCode="0.0">
                  <c:v>393.17640354419524</c:v>
                </c:pt>
                <c:pt idx="170" formatCode="0.0">
                  <c:v>313.55515289852963</c:v>
                </c:pt>
                <c:pt idx="171" formatCode="0.0">
                  <c:v>302.74643870587664</c:v>
                </c:pt>
                <c:pt idx="172" formatCode="0.0">
                  <c:v>337.19274752107566</c:v>
                </c:pt>
                <c:pt idx="173" formatCode="0.0">
                  <c:v>310.34977722212204</c:v>
                </c:pt>
                <c:pt idx="174" formatCode="0.0">
                  <c:v>328.34543074204265</c:v>
                </c:pt>
                <c:pt idx="175" formatCode="0.0">
                  <c:v>292.83267655390642</c:v>
                </c:pt>
                <c:pt idx="176" formatCode="0.0">
                  <c:v>365.25133366093695</c:v>
                </c:pt>
                <c:pt idx="177" formatCode="0.0">
                  <c:v>434.71285852158621</c:v>
                </c:pt>
                <c:pt idx="178" formatCode="0.0">
                  <c:v>484.83108707036871</c:v>
                </c:pt>
                <c:pt idx="179" formatCode="0.0">
                  <c:v>460.8108914003397</c:v>
                </c:pt>
                <c:pt idx="180" formatCode="0.0">
                  <c:v>400.06992410822318</c:v>
                </c:pt>
                <c:pt idx="181" formatCode="0.0">
                  <c:v>356.1824909698833</c:v>
                </c:pt>
                <c:pt idx="182" formatCode="0.0">
                  <c:v>344.77129883418155</c:v>
                </c:pt>
              </c:numCache>
            </c:numRef>
          </c:val>
          <c:smooth val="0"/>
        </c:ser>
        <c:ser>
          <c:idx val="2"/>
          <c:order val="1"/>
          <c:tx>
            <c:v>Imports</c:v>
          </c:tx>
          <c:spPr>
            <a:ln>
              <a:solidFill>
                <a:srgbClr val="C00000"/>
              </a:solidFill>
            </a:ln>
          </c:spPr>
          <c:marker>
            <c:symbol val="none"/>
          </c:marker>
          <c:cat>
            <c:numRef>
              <c:f>'trade BOM'!$D$1:$HR$1</c:f>
              <c:numCache>
                <c:formatCode>mmm\-yy</c:formatCode>
                <c:ptCount val="183"/>
                <c:pt idx="0">
                  <c:v>33208</c:v>
                </c:pt>
                <c:pt idx="1">
                  <c:v>33573</c:v>
                </c:pt>
                <c:pt idx="2">
                  <c:v>33664</c:v>
                </c:pt>
                <c:pt idx="3">
                  <c:v>33756</c:v>
                </c:pt>
                <c:pt idx="4">
                  <c:v>33848</c:v>
                </c:pt>
                <c:pt idx="5">
                  <c:v>33939</c:v>
                </c:pt>
                <c:pt idx="6">
                  <c:v>34029</c:v>
                </c:pt>
                <c:pt idx="7">
                  <c:v>34121</c:v>
                </c:pt>
                <c:pt idx="8">
                  <c:v>34213</c:v>
                </c:pt>
                <c:pt idx="9">
                  <c:v>34304</c:v>
                </c:pt>
                <c:pt idx="10">
                  <c:v>34394</c:v>
                </c:pt>
                <c:pt idx="11">
                  <c:v>34486</c:v>
                </c:pt>
                <c:pt idx="12">
                  <c:v>34578</c:v>
                </c:pt>
                <c:pt idx="13">
                  <c:v>34669</c:v>
                </c:pt>
                <c:pt idx="14">
                  <c:v>34759</c:v>
                </c:pt>
                <c:pt idx="15">
                  <c:v>34851</c:v>
                </c:pt>
                <c:pt idx="16">
                  <c:v>34943</c:v>
                </c:pt>
                <c:pt idx="17">
                  <c:v>35034</c:v>
                </c:pt>
                <c:pt idx="18">
                  <c:v>35125</c:v>
                </c:pt>
                <c:pt idx="19">
                  <c:v>35217</c:v>
                </c:pt>
                <c:pt idx="20">
                  <c:v>35309</c:v>
                </c:pt>
                <c:pt idx="21">
                  <c:v>35400</c:v>
                </c:pt>
                <c:pt idx="22">
                  <c:v>35431</c:v>
                </c:pt>
                <c:pt idx="23">
                  <c:v>35462</c:v>
                </c:pt>
                <c:pt idx="24">
                  <c:v>35490</c:v>
                </c:pt>
                <c:pt idx="25">
                  <c:v>35521</c:v>
                </c:pt>
                <c:pt idx="26">
                  <c:v>35551</c:v>
                </c:pt>
                <c:pt idx="27">
                  <c:v>35582</c:v>
                </c:pt>
                <c:pt idx="28">
                  <c:v>35612</c:v>
                </c:pt>
                <c:pt idx="29">
                  <c:v>35643</c:v>
                </c:pt>
                <c:pt idx="30">
                  <c:v>35674</c:v>
                </c:pt>
                <c:pt idx="31">
                  <c:v>35704</c:v>
                </c:pt>
                <c:pt idx="32">
                  <c:v>35735</c:v>
                </c:pt>
                <c:pt idx="33">
                  <c:v>35765</c:v>
                </c:pt>
                <c:pt idx="34">
                  <c:v>35796</c:v>
                </c:pt>
                <c:pt idx="35">
                  <c:v>35827</c:v>
                </c:pt>
                <c:pt idx="36">
                  <c:v>35855</c:v>
                </c:pt>
                <c:pt idx="37">
                  <c:v>35886</c:v>
                </c:pt>
                <c:pt idx="38">
                  <c:v>35916</c:v>
                </c:pt>
                <c:pt idx="39">
                  <c:v>35947</c:v>
                </c:pt>
                <c:pt idx="40">
                  <c:v>35977</c:v>
                </c:pt>
                <c:pt idx="41">
                  <c:v>36008</c:v>
                </c:pt>
                <c:pt idx="42">
                  <c:v>36039</c:v>
                </c:pt>
                <c:pt idx="43">
                  <c:v>36069</c:v>
                </c:pt>
                <c:pt idx="44">
                  <c:v>36100</c:v>
                </c:pt>
                <c:pt idx="45">
                  <c:v>36130</c:v>
                </c:pt>
                <c:pt idx="46">
                  <c:v>36161</c:v>
                </c:pt>
                <c:pt idx="47">
                  <c:v>36192</c:v>
                </c:pt>
                <c:pt idx="48">
                  <c:v>36220</c:v>
                </c:pt>
                <c:pt idx="49">
                  <c:v>36251</c:v>
                </c:pt>
                <c:pt idx="50">
                  <c:v>36281</c:v>
                </c:pt>
                <c:pt idx="51">
                  <c:v>36312</c:v>
                </c:pt>
                <c:pt idx="52">
                  <c:v>36342</c:v>
                </c:pt>
                <c:pt idx="53">
                  <c:v>36373</c:v>
                </c:pt>
                <c:pt idx="54">
                  <c:v>36404</c:v>
                </c:pt>
                <c:pt idx="55">
                  <c:v>36434</c:v>
                </c:pt>
                <c:pt idx="56">
                  <c:v>36465</c:v>
                </c:pt>
                <c:pt idx="57">
                  <c:v>36495</c:v>
                </c:pt>
                <c:pt idx="58">
                  <c:v>36526</c:v>
                </c:pt>
                <c:pt idx="59">
                  <c:v>36557</c:v>
                </c:pt>
                <c:pt idx="60">
                  <c:v>36586</c:v>
                </c:pt>
                <c:pt idx="61">
                  <c:v>36617</c:v>
                </c:pt>
                <c:pt idx="62">
                  <c:v>36647</c:v>
                </c:pt>
                <c:pt idx="63">
                  <c:v>36678</c:v>
                </c:pt>
                <c:pt idx="64">
                  <c:v>36708</c:v>
                </c:pt>
                <c:pt idx="65">
                  <c:v>36739</c:v>
                </c:pt>
                <c:pt idx="66">
                  <c:v>36770</c:v>
                </c:pt>
                <c:pt idx="67">
                  <c:v>36800</c:v>
                </c:pt>
                <c:pt idx="68">
                  <c:v>36831</c:v>
                </c:pt>
                <c:pt idx="69">
                  <c:v>36861</c:v>
                </c:pt>
                <c:pt idx="70">
                  <c:v>36892</c:v>
                </c:pt>
                <c:pt idx="71">
                  <c:v>36923</c:v>
                </c:pt>
                <c:pt idx="72">
                  <c:v>36951</c:v>
                </c:pt>
                <c:pt idx="73">
                  <c:v>36982</c:v>
                </c:pt>
                <c:pt idx="74">
                  <c:v>37012</c:v>
                </c:pt>
                <c:pt idx="75">
                  <c:v>37043</c:v>
                </c:pt>
                <c:pt idx="76">
                  <c:v>37073</c:v>
                </c:pt>
                <c:pt idx="77">
                  <c:v>37104</c:v>
                </c:pt>
                <c:pt idx="78">
                  <c:v>37135</c:v>
                </c:pt>
                <c:pt idx="79">
                  <c:v>37165</c:v>
                </c:pt>
                <c:pt idx="80">
                  <c:v>37196</c:v>
                </c:pt>
                <c:pt idx="81">
                  <c:v>37226</c:v>
                </c:pt>
                <c:pt idx="82">
                  <c:v>37257</c:v>
                </c:pt>
                <c:pt idx="83">
                  <c:v>37288</c:v>
                </c:pt>
                <c:pt idx="84">
                  <c:v>37316</c:v>
                </c:pt>
                <c:pt idx="85">
                  <c:v>37347</c:v>
                </c:pt>
                <c:pt idx="86">
                  <c:v>37377</c:v>
                </c:pt>
                <c:pt idx="87">
                  <c:v>37408</c:v>
                </c:pt>
                <c:pt idx="88">
                  <c:v>37438</c:v>
                </c:pt>
                <c:pt idx="89">
                  <c:v>37469</c:v>
                </c:pt>
                <c:pt idx="90">
                  <c:v>37500</c:v>
                </c:pt>
                <c:pt idx="91">
                  <c:v>37530</c:v>
                </c:pt>
                <c:pt idx="92">
                  <c:v>37561</c:v>
                </c:pt>
                <c:pt idx="93">
                  <c:v>37591</c:v>
                </c:pt>
                <c:pt idx="94">
                  <c:v>37622</c:v>
                </c:pt>
                <c:pt idx="95">
                  <c:v>37653</c:v>
                </c:pt>
                <c:pt idx="96">
                  <c:v>37681</c:v>
                </c:pt>
                <c:pt idx="97">
                  <c:v>37712</c:v>
                </c:pt>
                <c:pt idx="98">
                  <c:v>37742</c:v>
                </c:pt>
                <c:pt idx="99">
                  <c:v>37773</c:v>
                </c:pt>
                <c:pt idx="100">
                  <c:v>37803</c:v>
                </c:pt>
                <c:pt idx="101">
                  <c:v>37834</c:v>
                </c:pt>
                <c:pt idx="102">
                  <c:v>37865</c:v>
                </c:pt>
                <c:pt idx="103">
                  <c:v>37895</c:v>
                </c:pt>
                <c:pt idx="104">
                  <c:v>37926</c:v>
                </c:pt>
                <c:pt idx="105">
                  <c:v>37956</c:v>
                </c:pt>
                <c:pt idx="106">
                  <c:v>37987</c:v>
                </c:pt>
                <c:pt idx="107">
                  <c:v>38018</c:v>
                </c:pt>
                <c:pt idx="108">
                  <c:v>38047</c:v>
                </c:pt>
                <c:pt idx="109">
                  <c:v>38078</c:v>
                </c:pt>
                <c:pt idx="110">
                  <c:v>38108</c:v>
                </c:pt>
                <c:pt idx="111">
                  <c:v>38139</c:v>
                </c:pt>
                <c:pt idx="112">
                  <c:v>38169</c:v>
                </c:pt>
                <c:pt idx="113">
                  <c:v>38200</c:v>
                </c:pt>
                <c:pt idx="114">
                  <c:v>38231</c:v>
                </c:pt>
                <c:pt idx="115">
                  <c:v>38261</c:v>
                </c:pt>
                <c:pt idx="116">
                  <c:v>38292</c:v>
                </c:pt>
                <c:pt idx="117">
                  <c:v>38322</c:v>
                </c:pt>
                <c:pt idx="118">
                  <c:v>38353</c:v>
                </c:pt>
                <c:pt idx="119">
                  <c:v>38384</c:v>
                </c:pt>
                <c:pt idx="120">
                  <c:v>38412</c:v>
                </c:pt>
                <c:pt idx="121">
                  <c:v>38443</c:v>
                </c:pt>
                <c:pt idx="122">
                  <c:v>38473</c:v>
                </c:pt>
                <c:pt idx="123">
                  <c:v>38504</c:v>
                </c:pt>
                <c:pt idx="124">
                  <c:v>38534</c:v>
                </c:pt>
                <c:pt idx="125">
                  <c:v>38565</c:v>
                </c:pt>
                <c:pt idx="126">
                  <c:v>39814</c:v>
                </c:pt>
                <c:pt idx="127">
                  <c:v>39845</c:v>
                </c:pt>
                <c:pt idx="128">
                  <c:v>39873</c:v>
                </c:pt>
                <c:pt idx="129">
                  <c:v>39904</c:v>
                </c:pt>
                <c:pt idx="130">
                  <c:v>39934</c:v>
                </c:pt>
                <c:pt idx="131">
                  <c:v>39965</c:v>
                </c:pt>
                <c:pt idx="132">
                  <c:v>39995</c:v>
                </c:pt>
                <c:pt idx="133">
                  <c:v>40026</c:v>
                </c:pt>
                <c:pt idx="134">
                  <c:v>40057</c:v>
                </c:pt>
                <c:pt idx="135">
                  <c:v>40087</c:v>
                </c:pt>
                <c:pt idx="136">
                  <c:v>40118</c:v>
                </c:pt>
                <c:pt idx="137">
                  <c:v>40148</c:v>
                </c:pt>
                <c:pt idx="138">
                  <c:v>40179</c:v>
                </c:pt>
                <c:pt idx="139">
                  <c:v>40210</c:v>
                </c:pt>
                <c:pt idx="140">
                  <c:v>40238</c:v>
                </c:pt>
                <c:pt idx="141">
                  <c:v>40269</c:v>
                </c:pt>
                <c:pt idx="142">
                  <c:v>40299</c:v>
                </c:pt>
                <c:pt idx="143">
                  <c:v>40330</c:v>
                </c:pt>
                <c:pt idx="144">
                  <c:v>40360</c:v>
                </c:pt>
                <c:pt idx="145">
                  <c:v>40391</c:v>
                </c:pt>
                <c:pt idx="146">
                  <c:v>40422</c:v>
                </c:pt>
                <c:pt idx="147">
                  <c:v>40452</c:v>
                </c:pt>
                <c:pt idx="148">
                  <c:v>40483</c:v>
                </c:pt>
                <c:pt idx="149">
                  <c:v>40513</c:v>
                </c:pt>
                <c:pt idx="150">
                  <c:v>40544</c:v>
                </c:pt>
                <c:pt idx="151">
                  <c:v>40575</c:v>
                </c:pt>
                <c:pt idx="152">
                  <c:v>40603</c:v>
                </c:pt>
                <c:pt idx="153">
                  <c:v>40634</c:v>
                </c:pt>
                <c:pt idx="154">
                  <c:v>40664</c:v>
                </c:pt>
                <c:pt idx="155">
                  <c:v>40695</c:v>
                </c:pt>
                <c:pt idx="156">
                  <c:v>40725</c:v>
                </c:pt>
                <c:pt idx="157">
                  <c:v>40756</c:v>
                </c:pt>
                <c:pt idx="158">
                  <c:v>40787</c:v>
                </c:pt>
                <c:pt idx="159">
                  <c:v>40817</c:v>
                </c:pt>
                <c:pt idx="160">
                  <c:v>40848</c:v>
                </c:pt>
                <c:pt idx="161">
                  <c:v>40878</c:v>
                </c:pt>
                <c:pt idx="162">
                  <c:v>40909</c:v>
                </c:pt>
                <c:pt idx="163">
                  <c:v>40940</c:v>
                </c:pt>
                <c:pt idx="164">
                  <c:v>40969</c:v>
                </c:pt>
                <c:pt idx="165">
                  <c:v>41000</c:v>
                </c:pt>
                <c:pt idx="166">
                  <c:v>41030</c:v>
                </c:pt>
                <c:pt idx="167">
                  <c:v>41061</c:v>
                </c:pt>
                <c:pt idx="168">
                  <c:v>41091</c:v>
                </c:pt>
                <c:pt idx="169">
                  <c:v>41122</c:v>
                </c:pt>
                <c:pt idx="170">
                  <c:v>41153</c:v>
                </c:pt>
                <c:pt idx="171">
                  <c:v>41183</c:v>
                </c:pt>
                <c:pt idx="172">
                  <c:v>41214</c:v>
                </c:pt>
                <c:pt idx="173">
                  <c:v>41244</c:v>
                </c:pt>
                <c:pt idx="174">
                  <c:v>41275</c:v>
                </c:pt>
                <c:pt idx="175">
                  <c:v>41306</c:v>
                </c:pt>
                <c:pt idx="176">
                  <c:v>41334</c:v>
                </c:pt>
                <c:pt idx="177">
                  <c:v>41365</c:v>
                </c:pt>
                <c:pt idx="178">
                  <c:v>41395</c:v>
                </c:pt>
                <c:pt idx="179">
                  <c:v>41426</c:v>
                </c:pt>
                <c:pt idx="180">
                  <c:v>41456</c:v>
                </c:pt>
                <c:pt idx="181">
                  <c:v>41487</c:v>
                </c:pt>
                <c:pt idx="182">
                  <c:v>41518</c:v>
                </c:pt>
              </c:numCache>
            </c:numRef>
          </c:cat>
          <c:val>
            <c:numRef>
              <c:f>'trade BOM'!$D$167:$HR$167</c:f>
              <c:numCache>
                <c:formatCode>General</c:formatCode>
                <c:ptCount val="183"/>
                <c:pt idx="33" formatCode="0.0">
                  <c:v>43.166760302056183</c:v>
                </c:pt>
                <c:pt idx="34" formatCode="0.0">
                  <c:v>41.293426402573829</c:v>
                </c:pt>
                <c:pt idx="35" formatCode="0.0">
                  <c:v>42.291177433875013</c:v>
                </c:pt>
                <c:pt idx="36" formatCode="0.0">
                  <c:v>42.576720336910959</c:v>
                </c:pt>
                <c:pt idx="37" formatCode="0.0">
                  <c:v>48.232388506102531</c:v>
                </c:pt>
                <c:pt idx="38" formatCode="0.0">
                  <c:v>46.783896112131501</c:v>
                </c:pt>
                <c:pt idx="39" formatCode="0.0">
                  <c:v>44.652824705894957</c:v>
                </c:pt>
                <c:pt idx="40" formatCode="0.0">
                  <c:v>35.745924543233976</c:v>
                </c:pt>
                <c:pt idx="41" formatCode="0.0">
                  <c:v>33.607532222798213</c:v>
                </c:pt>
                <c:pt idx="42" formatCode="0.0">
                  <c:v>33.541667171511463</c:v>
                </c:pt>
                <c:pt idx="43" formatCode="0.0">
                  <c:v>38.862256936844418</c:v>
                </c:pt>
                <c:pt idx="44" formatCode="0.0">
                  <c:v>44.222364046998088</c:v>
                </c:pt>
                <c:pt idx="45" formatCode="0.0">
                  <c:v>47.416600759757564</c:v>
                </c:pt>
                <c:pt idx="46" formatCode="0.0">
                  <c:v>39.933550284136288</c:v>
                </c:pt>
                <c:pt idx="47" formatCode="0.0">
                  <c:v>38.515432993172233</c:v>
                </c:pt>
                <c:pt idx="48" formatCode="0.0">
                  <c:v>36.268482603798901</c:v>
                </c:pt>
                <c:pt idx="49" formatCode="0.0">
                  <c:v>40.316881981256813</c:v>
                </c:pt>
                <c:pt idx="50" formatCode="0.0">
                  <c:v>32.993901182524112</c:v>
                </c:pt>
                <c:pt idx="51" formatCode="0.0">
                  <c:v>35.386925240098655</c:v>
                </c:pt>
                <c:pt idx="52" formatCode="0.0">
                  <c:v>38.038568319542087</c:v>
                </c:pt>
                <c:pt idx="53" formatCode="0.0">
                  <c:v>39.973692976572913</c:v>
                </c:pt>
                <c:pt idx="54" formatCode="0.0">
                  <c:v>36.173684249173192</c:v>
                </c:pt>
                <c:pt idx="55" formatCode="0.0">
                  <c:v>31.710937846222539</c:v>
                </c:pt>
                <c:pt idx="56" formatCode="0.0">
                  <c:v>33.18077040056037</c:v>
                </c:pt>
                <c:pt idx="57" formatCode="0.0">
                  <c:v>52.684697674267227</c:v>
                </c:pt>
                <c:pt idx="58" formatCode="0.0">
                  <c:v>53.601009020563872</c:v>
                </c:pt>
                <c:pt idx="59" formatCode="0.0">
                  <c:v>59.751121837991029</c:v>
                </c:pt>
                <c:pt idx="60" formatCode="0.0">
                  <c:v>43.15375939507345</c:v>
                </c:pt>
                <c:pt idx="61" formatCode="0.0">
                  <c:v>54.250886045420245</c:v>
                </c:pt>
                <c:pt idx="62" formatCode="0.0">
                  <c:v>52.63587824475897</c:v>
                </c:pt>
                <c:pt idx="63" formatCode="0.0">
                  <c:v>54.190823970604654</c:v>
                </c:pt>
                <c:pt idx="64" formatCode="0.0">
                  <c:v>44.554878861839136</c:v>
                </c:pt>
                <c:pt idx="65" formatCode="0.0">
                  <c:v>46.77330600002508</c:v>
                </c:pt>
                <c:pt idx="66" formatCode="0.0">
                  <c:v>48.189367158572644</c:v>
                </c:pt>
                <c:pt idx="67" formatCode="0.0">
                  <c:v>49.243059552793774</c:v>
                </c:pt>
                <c:pt idx="68" formatCode="0.0">
                  <c:v>50.889008410025475</c:v>
                </c:pt>
                <c:pt idx="69" formatCode="0.0">
                  <c:v>55.242954705544605</c:v>
                </c:pt>
                <c:pt idx="70" formatCode="0.0">
                  <c:v>59.087855693574227</c:v>
                </c:pt>
                <c:pt idx="71" formatCode="0.0">
                  <c:v>55.062961974904312</c:v>
                </c:pt>
                <c:pt idx="72" formatCode="0.0">
                  <c:v>46.952514424962892</c:v>
                </c:pt>
                <c:pt idx="73" formatCode="0.0">
                  <c:v>44.412932101462978</c:v>
                </c:pt>
                <c:pt idx="74" formatCode="0.0">
                  <c:v>43.243118650990617</c:v>
                </c:pt>
                <c:pt idx="75" formatCode="0.0">
                  <c:v>43.636767996141963</c:v>
                </c:pt>
                <c:pt idx="76" formatCode="0.0">
                  <c:v>42.580230660672278</c:v>
                </c:pt>
                <c:pt idx="77" formatCode="0.0">
                  <c:v>49.141632188827863</c:v>
                </c:pt>
                <c:pt idx="78" formatCode="0.0">
                  <c:v>52.701497675144033</c:v>
                </c:pt>
                <c:pt idx="79" formatCode="0.0">
                  <c:v>61.115634379229597</c:v>
                </c:pt>
                <c:pt idx="80" formatCode="0.0">
                  <c:v>56.073755338120932</c:v>
                </c:pt>
                <c:pt idx="81" formatCode="0.0">
                  <c:v>64.214662530481618</c:v>
                </c:pt>
                <c:pt idx="82" formatCode="0.0">
                  <c:v>59.291525238690816</c:v>
                </c:pt>
                <c:pt idx="83" formatCode="0.0">
                  <c:v>63.050889557459527</c:v>
                </c:pt>
                <c:pt idx="84" formatCode="0.0">
                  <c:v>52.348934825955183</c:v>
                </c:pt>
                <c:pt idx="85" formatCode="0.0">
                  <c:v>54.156303652656234</c:v>
                </c:pt>
                <c:pt idx="86" formatCode="0.0">
                  <c:v>55.116346958213875</c:v>
                </c:pt>
                <c:pt idx="87" formatCode="0.0">
                  <c:v>60.443654673097612</c:v>
                </c:pt>
                <c:pt idx="88" formatCode="0.0">
                  <c:v>58.337678601681041</c:v>
                </c:pt>
                <c:pt idx="89" formatCode="0.0">
                  <c:v>60.015227984808085</c:v>
                </c:pt>
                <c:pt idx="90" formatCode="0.0">
                  <c:v>58.23403569429405</c:v>
                </c:pt>
                <c:pt idx="91" formatCode="0.0">
                  <c:v>61.028177053115996</c:v>
                </c:pt>
                <c:pt idx="92" formatCode="0.0">
                  <c:v>56.392251940762762</c:v>
                </c:pt>
                <c:pt idx="93" formatCode="0.0">
                  <c:v>57.458515614738353</c:v>
                </c:pt>
                <c:pt idx="94" formatCode="0.0">
                  <c:v>63.477721481299533</c:v>
                </c:pt>
                <c:pt idx="95" formatCode="0.0">
                  <c:v>67.708143135031278</c:v>
                </c:pt>
                <c:pt idx="96" formatCode="0.0">
                  <c:v>74.306910954370792</c:v>
                </c:pt>
                <c:pt idx="97" formatCode="0.0">
                  <c:v>61.309928460692937</c:v>
                </c:pt>
                <c:pt idx="98" formatCode="0.0">
                  <c:v>64.946481473836073</c:v>
                </c:pt>
                <c:pt idx="99" formatCode="0.0">
                  <c:v>61.712257574773346</c:v>
                </c:pt>
                <c:pt idx="100" formatCode="0.0">
                  <c:v>76.191509357796548</c:v>
                </c:pt>
                <c:pt idx="101" formatCode="0.0">
                  <c:v>73.864126254845516</c:v>
                </c:pt>
                <c:pt idx="102" formatCode="0.0">
                  <c:v>73.045234239755601</c:v>
                </c:pt>
                <c:pt idx="103" formatCode="0.0">
                  <c:v>67.688454436590874</c:v>
                </c:pt>
                <c:pt idx="104" formatCode="0.0">
                  <c:v>67.356929782087605</c:v>
                </c:pt>
                <c:pt idx="105" formatCode="0.0">
                  <c:v>60.817282950048295</c:v>
                </c:pt>
                <c:pt idx="106" formatCode="0.0">
                  <c:v>66.265443556590768</c:v>
                </c:pt>
                <c:pt idx="107" formatCode="0.0">
                  <c:v>72.03783904981583</c:v>
                </c:pt>
                <c:pt idx="108" formatCode="0.0">
                  <c:v>83.237574718302525</c:v>
                </c:pt>
                <c:pt idx="109" formatCode="0.0">
                  <c:v>89.050402323655788</c:v>
                </c:pt>
                <c:pt idx="110" formatCode="0.0">
                  <c:v>96.194642407566278</c:v>
                </c:pt>
                <c:pt idx="111" formatCode="0.0">
                  <c:v>96.519711964765506</c:v>
                </c:pt>
                <c:pt idx="112" formatCode="0.0">
                  <c:v>92.277760571320883</c:v>
                </c:pt>
                <c:pt idx="113" formatCode="0.0">
                  <c:v>84.526662720289011</c:v>
                </c:pt>
                <c:pt idx="114" formatCode="0.0">
                  <c:v>85.580495832617459</c:v>
                </c:pt>
                <c:pt idx="115" formatCode="0.0">
                  <c:v>86.926556763258802</c:v>
                </c:pt>
                <c:pt idx="116" formatCode="0.0">
                  <c:v>87.808941818198306</c:v>
                </c:pt>
                <c:pt idx="117" formatCode="0.0">
                  <c:v>79.199281051430788</c:v>
                </c:pt>
                <c:pt idx="118" formatCode="0.0">
                  <c:v>81.80431046671373</c:v>
                </c:pt>
                <c:pt idx="119" formatCode="0.0">
                  <c:v>80.967717113338779</c:v>
                </c:pt>
                <c:pt idx="120" formatCode="0.0">
                  <c:v>94.339613012622749</c:v>
                </c:pt>
                <c:pt idx="121" formatCode="0.0">
                  <c:v>88.705769880658579</c:v>
                </c:pt>
                <c:pt idx="122" formatCode="0.0">
                  <c:v>90.275260116983617</c:v>
                </c:pt>
                <c:pt idx="123" formatCode="0.0">
                  <c:v>92.357131344646078</c:v>
                </c:pt>
                <c:pt idx="124" formatCode="0.0">
                  <c:v>98.701263624813649</c:v>
                </c:pt>
                <c:pt idx="125" formatCode="0.0">
                  <c:v>100.7442042161704</c:v>
                </c:pt>
                <c:pt idx="126" formatCode="0.0">
                  <c:v>239.57121010497053</c:v>
                </c:pt>
                <c:pt idx="127" formatCode="0.0">
                  <c:v>169.112802392037</c:v>
                </c:pt>
                <c:pt idx="128" formatCode="0.0">
                  <c:v>173.88015629967882</c:v>
                </c:pt>
                <c:pt idx="129" formatCode="0.0">
                  <c:v>159.35538731020611</c:v>
                </c:pt>
                <c:pt idx="130" formatCode="0.0">
                  <c:v>172.32384559072025</c:v>
                </c:pt>
                <c:pt idx="131" formatCode="0.0">
                  <c:v>161.18622952678263</c:v>
                </c:pt>
                <c:pt idx="132" formatCode="0.0">
                  <c:v>169.20944723348001</c:v>
                </c:pt>
                <c:pt idx="133" formatCode="0.0">
                  <c:v>171.62047317774235</c:v>
                </c:pt>
                <c:pt idx="134" formatCode="0.0">
                  <c:v>186.29752014841361</c:v>
                </c:pt>
                <c:pt idx="135" formatCode="0.0">
                  <c:v>198.56135578675762</c:v>
                </c:pt>
                <c:pt idx="136" formatCode="0.0">
                  <c:v>211.70549152146532</c:v>
                </c:pt>
                <c:pt idx="137" formatCode="0.0">
                  <c:v>190.38085478651476</c:v>
                </c:pt>
                <c:pt idx="138" formatCode="0.0">
                  <c:v>186.89347768923801</c:v>
                </c:pt>
                <c:pt idx="139" formatCode="0.0">
                  <c:v>201.84953551096172</c:v>
                </c:pt>
                <c:pt idx="140" formatCode="0.0">
                  <c:v>252.96026829918202</c:v>
                </c:pt>
                <c:pt idx="141" formatCode="0.0">
                  <c:v>273.41271672126169</c:v>
                </c:pt>
                <c:pt idx="142" formatCode="0.0">
                  <c:v>266.65535057823166</c:v>
                </c:pt>
                <c:pt idx="143" formatCode="0.0">
                  <c:v>252.51096622785676</c:v>
                </c:pt>
                <c:pt idx="144" formatCode="0.0">
                  <c:v>260.62059587519929</c:v>
                </c:pt>
                <c:pt idx="145" formatCode="0.0">
                  <c:v>273.4181695254839</c:v>
                </c:pt>
                <c:pt idx="146" formatCode="0.0">
                  <c:v>280.04470213887572</c:v>
                </c:pt>
                <c:pt idx="147" formatCode="0.0">
                  <c:v>276.3629168251752</c:v>
                </c:pt>
                <c:pt idx="148" formatCode="0.0">
                  <c:v>298.25662328948005</c:v>
                </c:pt>
                <c:pt idx="149" formatCode="0.0">
                  <c:v>296.90505291070326</c:v>
                </c:pt>
                <c:pt idx="150" formatCode="0.0">
                  <c:v>385.66231700059069</c:v>
                </c:pt>
                <c:pt idx="151" formatCode="0.0">
                  <c:v>410.2905076895965</c:v>
                </c:pt>
                <c:pt idx="152" formatCode="0.0">
                  <c:v>487.28146489034731</c:v>
                </c:pt>
                <c:pt idx="153" formatCode="0.0">
                  <c:v>485.76272453460274</c:v>
                </c:pt>
                <c:pt idx="154" formatCode="0.0">
                  <c:v>529.41876723203552</c:v>
                </c:pt>
                <c:pt idx="155" formatCode="0.0">
                  <c:v>532.20301573700954</c:v>
                </c:pt>
                <c:pt idx="156" formatCode="0.0">
                  <c:v>575.03915232484417</c:v>
                </c:pt>
                <c:pt idx="157" formatCode="0.0">
                  <c:v>621.22526018142344</c:v>
                </c:pt>
                <c:pt idx="158" formatCode="0.0">
                  <c:v>658.42334729013055</c:v>
                </c:pt>
                <c:pt idx="159" formatCode="0.0">
                  <c:v>607.66158721397198</c:v>
                </c:pt>
                <c:pt idx="160" formatCode="0.0">
                  <c:v>584.68858946682076</c:v>
                </c:pt>
                <c:pt idx="161" formatCode="0.0">
                  <c:v>518.21614604962303</c:v>
                </c:pt>
                <c:pt idx="162" formatCode="0.0">
                  <c:v>604.77436290486833</c:v>
                </c:pt>
                <c:pt idx="163" formatCode="0.0">
                  <c:v>627.67308178829046</c:v>
                </c:pt>
                <c:pt idx="164" formatCode="0.0">
                  <c:v>670.72316399263252</c:v>
                </c:pt>
                <c:pt idx="165" formatCode="0.0">
                  <c:v>638.09728576781674</c:v>
                </c:pt>
                <c:pt idx="166" formatCode="0.0">
                  <c:v>603.60202598685839</c:v>
                </c:pt>
                <c:pt idx="167" formatCode="0.0">
                  <c:v>605.97497531371425</c:v>
                </c:pt>
                <c:pt idx="168" formatCode="0.0">
                  <c:v>583.37622103644446</c:v>
                </c:pt>
                <c:pt idx="169" formatCode="0.0">
                  <c:v>600.7219976030633</c:v>
                </c:pt>
                <c:pt idx="170" formatCode="0.0">
                  <c:v>605.69984634581851</c:v>
                </c:pt>
                <c:pt idx="171" formatCode="0.0">
                  <c:v>563.6207910013685</c:v>
                </c:pt>
                <c:pt idx="172" formatCode="0.0">
                  <c:v>529.81821335328698</c:v>
                </c:pt>
                <c:pt idx="173" formatCode="0.0">
                  <c:v>443.10964308776295</c:v>
                </c:pt>
                <c:pt idx="174" formatCode="0.0">
                  <c:v>542.121692623135</c:v>
                </c:pt>
                <c:pt idx="175" formatCode="0.0">
                  <c:v>526.4522362036904</c:v>
                </c:pt>
                <c:pt idx="176" formatCode="0.0">
                  <c:v>561.25294380215576</c:v>
                </c:pt>
                <c:pt idx="177" formatCode="0.0">
                  <c:v>495.35134203903527</c:v>
                </c:pt>
                <c:pt idx="178" formatCode="0.0">
                  <c:v>581.00347044839589</c:v>
                </c:pt>
                <c:pt idx="179" formatCode="0.0">
                  <c:v>610.30736815355817</c:v>
                </c:pt>
                <c:pt idx="180" formatCode="0.0">
                  <c:v>606.6162169627454</c:v>
                </c:pt>
                <c:pt idx="181" formatCode="0.0">
                  <c:v>534.38642906148846</c:v>
                </c:pt>
                <c:pt idx="182" formatCode="0.0">
                  <c:v>551.17437263323063</c:v>
                </c:pt>
              </c:numCache>
            </c:numRef>
          </c:val>
          <c:smooth val="0"/>
        </c:ser>
        <c:ser>
          <c:idx val="3"/>
          <c:order val="2"/>
          <c:tx>
            <c:v>Trade balance</c:v>
          </c:tx>
          <c:spPr>
            <a:ln w="22225">
              <a:solidFill>
                <a:schemeClr val="accent3"/>
              </a:solidFill>
            </a:ln>
          </c:spPr>
          <c:marker>
            <c:symbol val="none"/>
          </c:marker>
          <c:cat>
            <c:numRef>
              <c:f>'trade BOM'!$D$1:$HR$1</c:f>
              <c:numCache>
                <c:formatCode>mmm\-yy</c:formatCode>
                <c:ptCount val="183"/>
                <c:pt idx="0">
                  <c:v>33208</c:v>
                </c:pt>
                <c:pt idx="1">
                  <c:v>33573</c:v>
                </c:pt>
                <c:pt idx="2">
                  <c:v>33664</c:v>
                </c:pt>
                <c:pt idx="3">
                  <c:v>33756</c:v>
                </c:pt>
                <c:pt idx="4">
                  <c:v>33848</c:v>
                </c:pt>
                <c:pt idx="5">
                  <c:v>33939</c:v>
                </c:pt>
                <c:pt idx="6">
                  <c:v>34029</c:v>
                </c:pt>
                <c:pt idx="7">
                  <c:v>34121</c:v>
                </c:pt>
                <c:pt idx="8">
                  <c:v>34213</c:v>
                </c:pt>
                <c:pt idx="9">
                  <c:v>34304</c:v>
                </c:pt>
                <c:pt idx="10">
                  <c:v>34394</c:v>
                </c:pt>
                <c:pt idx="11">
                  <c:v>34486</c:v>
                </c:pt>
                <c:pt idx="12">
                  <c:v>34578</c:v>
                </c:pt>
                <c:pt idx="13">
                  <c:v>34669</c:v>
                </c:pt>
                <c:pt idx="14">
                  <c:v>34759</c:v>
                </c:pt>
                <c:pt idx="15">
                  <c:v>34851</c:v>
                </c:pt>
                <c:pt idx="16">
                  <c:v>34943</c:v>
                </c:pt>
                <c:pt idx="17">
                  <c:v>35034</c:v>
                </c:pt>
                <c:pt idx="18">
                  <c:v>35125</c:v>
                </c:pt>
                <c:pt idx="19">
                  <c:v>35217</c:v>
                </c:pt>
                <c:pt idx="20">
                  <c:v>35309</c:v>
                </c:pt>
                <c:pt idx="21">
                  <c:v>35400</c:v>
                </c:pt>
                <c:pt idx="22">
                  <c:v>35431</c:v>
                </c:pt>
                <c:pt idx="23">
                  <c:v>35462</c:v>
                </c:pt>
                <c:pt idx="24">
                  <c:v>35490</c:v>
                </c:pt>
                <c:pt idx="25">
                  <c:v>35521</c:v>
                </c:pt>
                <c:pt idx="26">
                  <c:v>35551</c:v>
                </c:pt>
                <c:pt idx="27">
                  <c:v>35582</c:v>
                </c:pt>
                <c:pt idx="28">
                  <c:v>35612</c:v>
                </c:pt>
                <c:pt idx="29">
                  <c:v>35643</c:v>
                </c:pt>
                <c:pt idx="30">
                  <c:v>35674</c:v>
                </c:pt>
                <c:pt idx="31">
                  <c:v>35704</c:v>
                </c:pt>
                <c:pt idx="32">
                  <c:v>35735</c:v>
                </c:pt>
                <c:pt idx="33">
                  <c:v>35765</c:v>
                </c:pt>
                <c:pt idx="34">
                  <c:v>35796</c:v>
                </c:pt>
                <c:pt idx="35">
                  <c:v>35827</c:v>
                </c:pt>
                <c:pt idx="36">
                  <c:v>35855</c:v>
                </c:pt>
                <c:pt idx="37">
                  <c:v>35886</c:v>
                </c:pt>
                <c:pt idx="38">
                  <c:v>35916</c:v>
                </c:pt>
                <c:pt idx="39">
                  <c:v>35947</c:v>
                </c:pt>
                <c:pt idx="40">
                  <c:v>35977</c:v>
                </c:pt>
                <c:pt idx="41">
                  <c:v>36008</c:v>
                </c:pt>
                <c:pt idx="42">
                  <c:v>36039</c:v>
                </c:pt>
                <c:pt idx="43">
                  <c:v>36069</c:v>
                </c:pt>
                <c:pt idx="44">
                  <c:v>36100</c:v>
                </c:pt>
                <c:pt idx="45">
                  <c:v>36130</c:v>
                </c:pt>
                <c:pt idx="46">
                  <c:v>36161</c:v>
                </c:pt>
                <c:pt idx="47">
                  <c:v>36192</c:v>
                </c:pt>
                <c:pt idx="48">
                  <c:v>36220</c:v>
                </c:pt>
                <c:pt idx="49">
                  <c:v>36251</c:v>
                </c:pt>
                <c:pt idx="50">
                  <c:v>36281</c:v>
                </c:pt>
                <c:pt idx="51">
                  <c:v>36312</c:v>
                </c:pt>
                <c:pt idx="52">
                  <c:v>36342</c:v>
                </c:pt>
                <c:pt idx="53">
                  <c:v>36373</c:v>
                </c:pt>
                <c:pt idx="54">
                  <c:v>36404</c:v>
                </c:pt>
                <c:pt idx="55">
                  <c:v>36434</c:v>
                </c:pt>
                <c:pt idx="56">
                  <c:v>36465</c:v>
                </c:pt>
                <c:pt idx="57">
                  <c:v>36495</c:v>
                </c:pt>
                <c:pt idx="58">
                  <c:v>36526</c:v>
                </c:pt>
                <c:pt idx="59">
                  <c:v>36557</c:v>
                </c:pt>
                <c:pt idx="60">
                  <c:v>36586</c:v>
                </c:pt>
                <c:pt idx="61">
                  <c:v>36617</c:v>
                </c:pt>
                <c:pt idx="62">
                  <c:v>36647</c:v>
                </c:pt>
                <c:pt idx="63">
                  <c:v>36678</c:v>
                </c:pt>
                <c:pt idx="64">
                  <c:v>36708</c:v>
                </c:pt>
                <c:pt idx="65">
                  <c:v>36739</c:v>
                </c:pt>
                <c:pt idx="66">
                  <c:v>36770</c:v>
                </c:pt>
                <c:pt idx="67">
                  <c:v>36800</c:v>
                </c:pt>
                <c:pt idx="68">
                  <c:v>36831</c:v>
                </c:pt>
                <c:pt idx="69">
                  <c:v>36861</c:v>
                </c:pt>
                <c:pt idx="70">
                  <c:v>36892</c:v>
                </c:pt>
                <c:pt idx="71">
                  <c:v>36923</c:v>
                </c:pt>
                <c:pt idx="72">
                  <c:v>36951</c:v>
                </c:pt>
                <c:pt idx="73">
                  <c:v>36982</c:v>
                </c:pt>
                <c:pt idx="74">
                  <c:v>37012</c:v>
                </c:pt>
                <c:pt idx="75">
                  <c:v>37043</c:v>
                </c:pt>
                <c:pt idx="76">
                  <c:v>37073</c:v>
                </c:pt>
                <c:pt idx="77">
                  <c:v>37104</c:v>
                </c:pt>
                <c:pt idx="78">
                  <c:v>37135</c:v>
                </c:pt>
                <c:pt idx="79">
                  <c:v>37165</c:v>
                </c:pt>
                <c:pt idx="80">
                  <c:v>37196</c:v>
                </c:pt>
                <c:pt idx="81">
                  <c:v>37226</c:v>
                </c:pt>
                <c:pt idx="82">
                  <c:v>37257</c:v>
                </c:pt>
                <c:pt idx="83">
                  <c:v>37288</c:v>
                </c:pt>
                <c:pt idx="84">
                  <c:v>37316</c:v>
                </c:pt>
                <c:pt idx="85">
                  <c:v>37347</c:v>
                </c:pt>
                <c:pt idx="86">
                  <c:v>37377</c:v>
                </c:pt>
                <c:pt idx="87">
                  <c:v>37408</c:v>
                </c:pt>
                <c:pt idx="88">
                  <c:v>37438</c:v>
                </c:pt>
                <c:pt idx="89">
                  <c:v>37469</c:v>
                </c:pt>
                <c:pt idx="90">
                  <c:v>37500</c:v>
                </c:pt>
                <c:pt idx="91">
                  <c:v>37530</c:v>
                </c:pt>
                <c:pt idx="92">
                  <c:v>37561</c:v>
                </c:pt>
                <c:pt idx="93">
                  <c:v>37591</c:v>
                </c:pt>
                <c:pt idx="94">
                  <c:v>37622</c:v>
                </c:pt>
                <c:pt idx="95">
                  <c:v>37653</c:v>
                </c:pt>
                <c:pt idx="96">
                  <c:v>37681</c:v>
                </c:pt>
                <c:pt idx="97">
                  <c:v>37712</c:v>
                </c:pt>
                <c:pt idx="98">
                  <c:v>37742</c:v>
                </c:pt>
                <c:pt idx="99">
                  <c:v>37773</c:v>
                </c:pt>
                <c:pt idx="100">
                  <c:v>37803</c:v>
                </c:pt>
                <c:pt idx="101">
                  <c:v>37834</c:v>
                </c:pt>
                <c:pt idx="102">
                  <c:v>37865</c:v>
                </c:pt>
                <c:pt idx="103">
                  <c:v>37895</c:v>
                </c:pt>
                <c:pt idx="104">
                  <c:v>37926</c:v>
                </c:pt>
                <c:pt idx="105">
                  <c:v>37956</c:v>
                </c:pt>
                <c:pt idx="106">
                  <c:v>37987</c:v>
                </c:pt>
                <c:pt idx="107">
                  <c:v>38018</c:v>
                </c:pt>
                <c:pt idx="108">
                  <c:v>38047</c:v>
                </c:pt>
                <c:pt idx="109">
                  <c:v>38078</c:v>
                </c:pt>
                <c:pt idx="110">
                  <c:v>38108</c:v>
                </c:pt>
                <c:pt idx="111">
                  <c:v>38139</c:v>
                </c:pt>
                <c:pt idx="112">
                  <c:v>38169</c:v>
                </c:pt>
                <c:pt idx="113">
                  <c:v>38200</c:v>
                </c:pt>
                <c:pt idx="114">
                  <c:v>38231</c:v>
                </c:pt>
                <c:pt idx="115">
                  <c:v>38261</c:v>
                </c:pt>
                <c:pt idx="116">
                  <c:v>38292</c:v>
                </c:pt>
                <c:pt idx="117">
                  <c:v>38322</c:v>
                </c:pt>
                <c:pt idx="118">
                  <c:v>38353</c:v>
                </c:pt>
                <c:pt idx="119">
                  <c:v>38384</c:v>
                </c:pt>
                <c:pt idx="120">
                  <c:v>38412</c:v>
                </c:pt>
                <c:pt idx="121">
                  <c:v>38443</c:v>
                </c:pt>
                <c:pt idx="122">
                  <c:v>38473</c:v>
                </c:pt>
                <c:pt idx="123">
                  <c:v>38504</c:v>
                </c:pt>
                <c:pt idx="124">
                  <c:v>38534</c:v>
                </c:pt>
                <c:pt idx="125">
                  <c:v>38565</c:v>
                </c:pt>
                <c:pt idx="126">
                  <c:v>39814</c:v>
                </c:pt>
                <c:pt idx="127">
                  <c:v>39845</c:v>
                </c:pt>
                <c:pt idx="128">
                  <c:v>39873</c:v>
                </c:pt>
                <c:pt idx="129">
                  <c:v>39904</c:v>
                </c:pt>
                <c:pt idx="130">
                  <c:v>39934</c:v>
                </c:pt>
                <c:pt idx="131">
                  <c:v>39965</c:v>
                </c:pt>
                <c:pt idx="132">
                  <c:v>39995</c:v>
                </c:pt>
                <c:pt idx="133">
                  <c:v>40026</c:v>
                </c:pt>
                <c:pt idx="134">
                  <c:v>40057</c:v>
                </c:pt>
                <c:pt idx="135">
                  <c:v>40087</c:v>
                </c:pt>
                <c:pt idx="136">
                  <c:v>40118</c:v>
                </c:pt>
                <c:pt idx="137">
                  <c:v>40148</c:v>
                </c:pt>
                <c:pt idx="138">
                  <c:v>40179</c:v>
                </c:pt>
                <c:pt idx="139">
                  <c:v>40210</c:v>
                </c:pt>
                <c:pt idx="140">
                  <c:v>40238</c:v>
                </c:pt>
                <c:pt idx="141">
                  <c:v>40269</c:v>
                </c:pt>
                <c:pt idx="142">
                  <c:v>40299</c:v>
                </c:pt>
                <c:pt idx="143">
                  <c:v>40330</c:v>
                </c:pt>
                <c:pt idx="144">
                  <c:v>40360</c:v>
                </c:pt>
                <c:pt idx="145">
                  <c:v>40391</c:v>
                </c:pt>
                <c:pt idx="146">
                  <c:v>40422</c:v>
                </c:pt>
                <c:pt idx="147">
                  <c:v>40452</c:v>
                </c:pt>
                <c:pt idx="148">
                  <c:v>40483</c:v>
                </c:pt>
                <c:pt idx="149">
                  <c:v>40513</c:v>
                </c:pt>
                <c:pt idx="150">
                  <c:v>40544</c:v>
                </c:pt>
                <c:pt idx="151">
                  <c:v>40575</c:v>
                </c:pt>
                <c:pt idx="152">
                  <c:v>40603</c:v>
                </c:pt>
                <c:pt idx="153">
                  <c:v>40634</c:v>
                </c:pt>
                <c:pt idx="154">
                  <c:v>40664</c:v>
                </c:pt>
                <c:pt idx="155">
                  <c:v>40695</c:v>
                </c:pt>
                <c:pt idx="156">
                  <c:v>40725</c:v>
                </c:pt>
                <c:pt idx="157">
                  <c:v>40756</c:v>
                </c:pt>
                <c:pt idx="158">
                  <c:v>40787</c:v>
                </c:pt>
                <c:pt idx="159">
                  <c:v>40817</c:v>
                </c:pt>
                <c:pt idx="160">
                  <c:v>40848</c:v>
                </c:pt>
                <c:pt idx="161">
                  <c:v>40878</c:v>
                </c:pt>
                <c:pt idx="162">
                  <c:v>40909</c:v>
                </c:pt>
                <c:pt idx="163">
                  <c:v>40940</c:v>
                </c:pt>
                <c:pt idx="164">
                  <c:v>40969</c:v>
                </c:pt>
                <c:pt idx="165">
                  <c:v>41000</c:v>
                </c:pt>
                <c:pt idx="166">
                  <c:v>41030</c:v>
                </c:pt>
                <c:pt idx="167">
                  <c:v>41061</c:v>
                </c:pt>
                <c:pt idx="168">
                  <c:v>41091</c:v>
                </c:pt>
                <c:pt idx="169">
                  <c:v>41122</c:v>
                </c:pt>
                <c:pt idx="170">
                  <c:v>41153</c:v>
                </c:pt>
                <c:pt idx="171">
                  <c:v>41183</c:v>
                </c:pt>
                <c:pt idx="172">
                  <c:v>41214</c:v>
                </c:pt>
                <c:pt idx="173">
                  <c:v>41244</c:v>
                </c:pt>
                <c:pt idx="174">
                  <c:v>41275</c:v>
                </c:pt>
                <c:pt idx="175">
                  <c:v>41306</c:v>
                </c:pt>
                <c:pt idx="176">
                  <c:v>41334</c:v>
                </c:pt>
                <c:pt idx="177">
                  <c:v>41365</c:v>
                </c:pt>
                <c:pt idx="178">
                  <c:v>41395</c:v>
                </c:pt>
                <c:pt idx="179">
                  <c:v>41426</c:v>
                </c:pt>
                <c:pt idx="180">
                  <c:v>41456</c:v>
                </c:pt>
                <c:pt idx="181">
                  <c:v>41487</c:v>
                </c:pt>
                <c:pt idx="182">
                  <c:v>41518</c:v>
                </c:pt>
              </c:numCache>
            </c:numRef>
          </c:cat>
          <c:val>
            <c:numRef>
              <c:f>'trade BOM'!$D$170:$HR$170</c:f>
              <c:numCache>
                <c:formatCode>General</c:formatCode>
                <c:ptCount val="183"/>
                <c:pt idx="33" formatCode="0.0">
                  <c:v>-43.166760302056183</c:v>
                </c:pt>
                <c:pt idx="34" formatCode="0.0">
                  <c:v>-41.293426402573829</c:v>
                </c:pt>
                <c:pt idx="35" formatCode="0.0">
                  <c:v>-42.291177433875013</c:v>
                </c:pt>
                <c:pt idx="36" formatCode="0.0">
                  <c:v>-42.576720336910959</c:v>
                </c:pt>
                <c:pt idx="37" formatCode="0.0">
                  <c:v>-48.232388506102531</c:v>
                </c:pt>
                <c:pt idx="38" formatCode="0.0">
                  <c:v>-46.783896112131501</c:v>
                </c:pt>
                <c:pt idx="39" formatCode="0.0">
                  <c:v>-44.652824705894957</c:v>
                </c:pt>
                <c:pt idx="40" formatCode="0.0">
                  <c:v>-35.745924543233976</c:v>
                </c:pt>
                <c:pt idx="41" formatCode="0.0">
                  <c:v>-33.607532222798213</c:v>
                </c:pt>
                <c:pt idx="42" formatCode="0.0">
                  <c:v>-33.541667171511463</c:v>
                </c:pt>
                <c:pt idx="43" formatCode="0.0">
                  <c:v>-38.862256936844418</c:v>
                </c:pt>
                <c:pt idx="44" formatCode="0.0">
                  <c:v>-44.222364046998088</c:v>
                </c:pt>
                <c:pt idx="45" formatCode="0.0">
                  <c:v>-47.416600759757564</c:v>
                </c:pt>
                <c:pt idx="46" formatCode="0.0">
                  <c:v>-39.933550284136288</c:v>
                </c:pt>
                <c:pt idx="47" formatCode="0.0">
                  <c:v>-38.515432993172233</c:v>
                </c:pt>
                <c:pt idx="48" formatCode="0.0">
                  <c:v>-36.268482603798901</c:v>
                </c:pt>
                <c:pt idx="49" formatCode="0.0">
                  <c:v>-40.316881981256813</c:v>
                </c:pt>
                <c:pt idx="50" formatCode="0.0">
                  <c:v>-32.993901182524112</c:v>
                </c:pt>
                <c:pt idx="51" formatCode="0.0">
                  <c:v>-35.386925240098655</c:v>
                </c:pt>
                <c:pt idx="52" formatCode="0.0">
                  <c:v>-38.038568319542087</c:v>
                </c:pt>
                <c:pt idx="53" formatCode="0.0">
                  <c:v>-39.973692976572913</c:v>
                </c:pt>
                <c:pt idx="54" formatCode="0.0">
                  <c:v>-36.173684249173192</c:v>
                </c:pt>
                <c:pt idx="55" formatCode="0.0">
                  <c:v>-31.710937846222539</c:v>
                </c:pt>
                <c:pt idx="56" formatCode="0.0">
                  <c:v>-33.18077040056037</c:v>
                </c:pt>
                <c:pt idx="57" formatCode="0.0">
                  <c:v>-52.684697674267227</c:v>
                </c:pt>
                <c:pt idx="58" formatCode="0.0">
                  <c:v>-53.601009020563872</c:v>
                </c:pt>
                <c:pt idx="59" formatCode="0.0">
                  <c:v>-59.751121837991029</c:v>
                </c:pt>
                <c:pt idx="60" formatCode="0.0">
                  <c:v>-43.15375939507345</c:v>
                </c:pt>
                <c:pt idx="61" formatCode="0.0">
                  <c:v>-54.250886045420245</c:v>
                </c:pt>
                <c:pt idx="62" formatCode="0.0">
                  <c:v>-52.63587824475897</c:v>
                </c:pt>
                <c:pt idx="63" formatCode="0.0">
                  <c:v>-54.190823970604654</c:v>
                </c:pt>
                <c:pt idx="64" formatCode="0.0">
                  <c:v>-44.554878861839136</c:v>
                </c:pt>
                <c:pt idx="65" formatCode="0.0">
                  <c:v>-46.77330600002508</c:v>
                </c:pt>
                <c:pt idx="66" formatCode="0.0">
                  <c:v>-48.189367158572644</c:v>
                </c:pt>
                <c:pt idx="67" formatCode="0.0">
                  <c:v>-49.243059552793774</c:v>
                </c:pt>
                <c:pt idx="68" formatCode="0.0">
                  <c:v>-50.889008410025475</c:v>
                </c:pt>
                <c:pt idx="69" formatCode="0.0">
                  <c:v>-55.242954705544605</c:v>
                </c:pt>
                <c:pt idx="70" formatCode="0.0">
                  <c:v>-59.087855693574227</c:v>
                </c:pt>
                <c:pt idx="71" formatCode="0.0">
                  <c:v>-55.062961974904312</c:v>
                </c:pt>
                <c:pt idx="72" formatCode="0.0">
                  <c:v>-46.952514424962892</c:v>
                </c:pt>
                <c:pt idx="73" formatCode="0.0">
                  <c:v>-44.412932101462978</c:v>
                </c:pt>
                <c:pt idx="74" formatCode="0.0">
                  <c:v>-43.243118650990617</c:v>
                </c:pt>
                <c:pt idx="75" formatCode="0.0">
                  <c:v>-43.636767996141963</c:v>
                </c:pt>
                <c:pt idx="76" formatCode="0.0">
                  <c:v>-42.580230660672278</c:v>
                </c:pt>
                <c:pt idx="77" formatCode="0.0">
                  <c:v>-49.141632188827863</c:v>
                </c:pt>
                <c:pt idx="78" formatCode="0.0">
                  <c:v>-52.701497675144033</c:v>
                </c:pt>
                <c:pt idx="79" formatCode="0.0">
                  <c:v>-61.115634379229597</c:v>
                </c:pt>
                <c:pt idx="80" formatCode="0.0">
                  <c:v>-56.073755338120932</c:v>
                </c:pt>
                <c:pt idx="81" formatCode="0.0">
                  <c:v>-64.214662530481618</c:v>
                </c:pt>
                <c:pt idx="82" formatCode="0.0">
                  <c:v>-59.291525238690816</c:v>
                </c:pt>
                <c:pt idx="83" formatCode="0.0">
                  <c:v>-63.050889557459527</c:v>
                </c:pt>
                <c:pt idx="84" formatCode="0.0">
                  <c:v>-52.348934825955183</c:v>
                </c:pt>
                <c:pt idx="85" formatCode="0.0">
                  <c:v>-54.156303652656234</c:v>
                </c:pt>
                <c:pt idx="86" formatCode="0.0">
                  <c:v>-55.116346958213875</c:v>
                </c:pt>
                <c:pt idx="87" formatCode="0.0">
                  <c:v>-60.443654673097612</c:v>
                </c:pt>
                <c:pt idx="88" formatCode="0.0">
                  <c:v>-58.337678601681041</c:v>
                </c:pt>
                <c:pt idx="89" formatCode="0.0">
                  <c:v>-60.015227984808085</c:v>
                </c:pt>
                <c:pt idx="90" formatCode="0.0">
                  <c:v>-58.23403569429405</c:v>
                </c:pt>
                <c:pt idx="91" formatCode="0.0">
                  <c:v>-61.028177053115996</c:v>
                </c:pt>
                <c:pt idx="92" formatCode="0.0">
                  <c:v>-56.392251940762762</c:v>
                </c:pt>
                <c:pt idx="93" formatCode="0.0">
                  <c:v>-57.458515614738353</c:v>
                </c:pt>
                <c:pt idx="94" formatCode="0.0">
                  <c:v>-63.477721481299533</c:v>
                </c:pt>
                <c:pt idx="95" formatCode="0.0">
                  <c:v>-67.708143135031278</c:v>
                </c:pt>
                <c:pt idx="96" formatCode="0.0">
                  <c:v>-74.306910954370792</c:v>
                </c:pt>
                <c:pt idx="97" formatCode="0.0">
                  <c:v>-61.309928460692937</c:v>
                </c:pt>
                <c:pt idx="98" formatCode="0.0">
                  <c:v>-64.946481473836073</c:v>
                </c:pt>
                <c:pt idx="99" formatCode="0.0">
                  <c:v>-61.712257574773346</c:v>
                </c:pt>
                <c:pt idx="100" formatCode="0.0">
                  <c:v>-76.191509357796548</c:v>
                </c:pt>
                <c:pt idx="101" formatCode="0.0">
                  <c:v>-73.864126254845516</c:v>
                </c:pt>
                <c:pt idx="102" formatCode="0.0">
                  <c:v>-73.045234239755601</c:v>
                </c:pt>
                <c:pt idx="103" formatCode="0.0">
                  <c:v>-67.688454436590874</c:v>
                </c:pt>
                <c:pt idx="104" formatCode="0.0">
                  <c:v>-67.356929782087605</c:v>
                </c:pt>
                <c:pt idx="105" formatCode="0.0">
                  <c:v>-60.817282950048295</c:v>
                </c:pt>
                <c:pt idx="106" formatCode="0.0">
                  <c:v>-66.265443556590768</c:v>
                </c:pt>
                <c:pt idx="107" formatCode="0.0">
                  <c:v>-72.03783904981583</c:v>
                </c:pt>
                <c:pt idx="108" formatCode="0.0">
                  <c:v>-22.657090976630091</c:v>
                </c:pt>
                <c:pt idx="109" formatCode="0.0">
                  <c:v>-18.746543941662477</c:v>
                </c:pt>
                <c:pt idx="110" formatCode="0.0">
                  <c:v>-20.559003438651192</c:v>
                </c:pt>
                <c:pt idx="111" formatCode="0.0">
                  <c:v>-30.472175600739309</c:v>
                </c:pt>
                <c:pt idx="112" formatCode="0.0">
                  <c:v>-24.326957318514193</c:v>
                </c:pt>
                <c:pt idx="113" formatCode="0.0">
                  <c:v>-7.1080913292567658</c:v>
                </c:pt>
                <c:pt idx="114" formatCode="0.0">
                  <c:v>-4.5970821900073116</c:v>
                </c:pt>
                <c:pt idx="115" formatCode="0.0">
                  <c:v>-12.284837216323472</c:v>
                </c:pt>
                <c:pt idx="116" formatCode="0.0">
                  <c:v>-18.800445481356483</c:v>
                </c:pt>
                <c:pt idx="117" formatCode="0.0">
                  <c:v>-0.50642911536087365</c:v>
                </c:pt>
                <c:pt idx="118" formatCode="0.0">
                  <c:v>-0.18024040859761251</c:v>
                </c:pt>
                <c:pt idx="119" formatCode="0.0">
                  <c:v>-7.8784963118482505</c:v>
                </c:pt>
                <c:pt idx="120" formatCode="0.0">
                  <c:v>-17.827803347041041</c:v>
                </c:pt>
                <c:pt idx="121" formatCode="0.0">
                  <c:v>-8.3630273845800005</c:v>
                </c:pt>
                <c:pt idx="122" formatCode="0.0">
                  <c:v>-3.4281916750127412</c:v>
                </c:pt>
                <c:pt idx="123" formatCode="0.0">
                  <c:v>-8.0892377993136098</c:v>
                </c:pt>
                <c:pt idx="124" formatCode="0.0">
                  <c:v>-10.259963027671843</c:v>
                </c:pt>
                <c:pt idx="125" formatCode="0.0">
                  <c:v>-10.05510334601235</c:v>
                </c:pt>
                <c:pt idx="126" formatCode="0.0">
                  <c:v>-62.916263801068524</c:v>
                </c:pt>
                <c:pt idx="127" formatCode="0.0">
                  <c:v>-27.11377047679553</c:v>
                </c:pt>
                <c:pt idx="128" formatCode="0.0">
                  <c:v>-34.452968575796895</c:v>
                </c:pt>
                <c:pt idx="129" formatCode="0.0">
                  <c:v>-31.528234715437087</c:v>
                </c:pt>
                <c:pt idx="130" formatCode="0.0">
                  <c:v>-19.91688075481138</c:v>
                </c:pt>
                <c:pt idx="131" formatCode="0.0">
                  <c:v>3.1978320781155682</c:v>
                </c:pt>
                <c:pt idx="132" formatCode="0.0">
                  <c:v>-2.1085362001790058</c:v>
                </c:pt>
                <c:pt idx="133" formatCode="0.0">
                  <c:v>-6.8767820090339171</c:v>
                </c:pt>
                <c:pt idx="134" formatCode="0.0">
                  <c:v>-16.452106695982028</c:v>
                </c:pt>
                <c:pt idx="135" formatCode="0.0">
                  <c:v>-44.997210470554137</c:v>
                </c:pt>
                <c:pt idx="136" formatCode="0.0">
                  <c:v>-35.435453486717044</c:v>
                </c:pt>
                <c:pt idx="137" formatCode="0.0">
                  <c:v>-26.227644257873379</c:v>
                </c:pt>
                <c:pt idx="138" formatCode="0.0">
                  <c:v>-0.20605035341037609</c:v>
                </c:pt>
                <c:pt idx="139" formatCode="0.0">
                  <c:v>-19.276114651075602</c:v>
                </c:pt>
                <c:pt idx="140" formatCode="0.0">
                  <c:v>-26.789835216100528</c:v>
                </c:pt>
                <c:pt idx="141" formatCode="0.0">
                  <c:v>-8.5799970326213071</c:v>
                </c:pt>
                <c:pt idx="142" formatCode="0.0">
                  <c:v>22.536356271168788</c:v>
                </c:pt>
                <c:pt idx="143" formatCode="0.0">
                  <c:v>49.865572354298564</c:v>
                </c:pt>
                <c:pt idx="144" formatCode="0.0">
                  <c:v>21.67804997082342</c:v>
                </c:pt>
                <c:pt idx="145" formatCode="0.0">
                  <c:v>-3.5818911018558879</c:v>
                </c:pt>
                <c:pt idx="146" formatCode="0.0">
                  <c:v>-53.854672285497571</c:v>
                </c:pt>
                <c:pt idx="147" formatCode="0.0">
                  <c:v>-75.815164654858876</c:v>
                </c:pt>
                <c:pt idx="148" formatCode="0.0">
                  <c:v>-73.142969868387894</c:v>
                </c:pt>
                <c:pt idx="149" formatCode="0.0">
                  <c:v>-57.316585456038936</c:v>
                </c:pt>
                <c:pt idx="150" formatCode="0.0">
                  <c:v>-121.75669780579528</c:v>
                </c:pt>
                <c:pt idx="151" formatCode="0.0">
                  <c:v>-154.90979212408379</c:v>
                </c:pt>
                <c:pt idx="152" formatCode="0.0">
                  <c:v>-146.56133724187725</c:v>
                </c:pt>
                <c:pt idx="153" formatCode="0.0">
                  <c:v>-40.051480060160571</c:v>
                </c:pt>
                <c:pt idx="154" formatCode="0.0">
                  <c:v>-31.05087550968933</c:v>
                </c:pt>
                <c:pt idx="155" formatCode="0.0">
                  <c:v>-57.953429060179758</c:v>
                </c:pt>
                <c:pt idx="156" formatCode="0.0">
                  <c:v>-162.41908840619379</c:v>
                </c:pt>
                <c:pt idx="157" formatCode="0.0">
                  <c:v>-183.26919508936396</c:v>
                </c:pt>
                <c:pt idx="158" formatCode="0.0">
                  <c:v>-197.31496647328424</c:v>
                </c:pt>
                <c:pt idx="159" formatCode="0.0">
                  <c:v>-206.12516248363121</c:v>
                </c:pt>
                <c:pt idx="160" formatCode="0.0">
                  <c:v>-159.25202800979707</c:v>
                </c:pt>
                <c:pt idx="161" formatCode="0.0">
                  <c:v>-131.30512774786681</c:v>
                </c:pt>
                <c:pt idx="162" formatCode="0.0">
                  <c:v>-189.52241085291931</c:v>
                </c:pt>
                <c:pt idx="163" formatCode="0.0">
                  <c:v>-276.91008910926411</c:v>
                </c:pt>
                <c:pt idx="164" formatCode="0.0">
                  <c:v>-268.03350638806819</c:v>
                </c:pt>
                <c:pt idx="165" formatCode="0.0">
                  <c:v>-149.14618514265032</c:v>
                </c:pt>
                <c:pt idx="166" formatCode="0.0">
                  <c:v>-99.279654395124709</c:v>
                </c:pt>
                <c:pt idx="167" formatCode="0.0">
                  <c:v>-91.590922032916069</c:v>
                </c:pt>
                <c:pt idx="168" formatCode="0.0">
                  <c:v>-146.62812114350623</c:v>
                </c:pt>
                <c:pt idx="169" formatCode="0.0">
                  <c:v>-207.54559405886758</c:v>
                </c:pt>
                <c:pt idx="170" formatCode="0.0">
                  <c:v>-292.14469344728866</c:v>
                </c:pt>
                <c:pt idx="171" formatCode="0.0">
                  <c:v>-260.87435229549152</c:v>
                </c:pt>
                <c:pt idx="172" formatCode="0.0">
                  <c:v>-192.6254658322114</c:v>
                </c:pt>
                <c:pt idx="173" formatCode="0.0">
                  <c:v>-132.75986586564028</c:v>
                </c:pt>
                <c:pt idx="174" formatCode="0.0">
                  <c:v>-213.77626188109235</c:v>
                </c:pt>
                <c:pt idx="175" formatCode="0.0">
                  <c:v>-233.61955964978375</c:v>
                </c:pt>
                <c:pt idx="176" formatCode="0.0">
                  <c:v>-196.00161014121858</c:v>
                </c:pt>
                <c:pt idx="177" formatCode="0.0">
                  <c:v>-60.638483517448705</c:v>
                </c:pt>
                <c:pt idx="178" formatCode="0.0">
                  <c:v>-96.172383378025856</c:v>
                </c:pt>
                <c:pt idx="179" formatCode="0.0">
                  <c:v>-149.49647675321967</c:v>
                </c:pt>
                <c:pt idx="180" formatCode="0.0">
                  <c:v>-206.54629285452222</c:v>
                </c:pt>
                <c:pt idx="181" formatCode="0.0">
                  <c:v>-178.20393809160578</c:v>
                </c:pt>
                <c:pt idx="182" formatCode="0.0">
                  <c:v>-206.40307379904769</c:v>
                </c:pt>
              </c:numCache>
            </c:numRef>
          </c:val>
          <c:smooth val="0"/>
        </c:ser>
        <c:dLbls>
          <c:showLegendKey val="0"/>
          <c:showVal val="0"/>
          <c:showCatName val="0"/>
          <c:showSerName val="0"/>
          <c:showPercent val="0"/>
          <c:showBubbleSize val="0"/>
        </c:dLbls>
        <c:marker val="1"/>
        <c:smooth val="0"/>
        <c:axId val="268369920"/>
        <c:axId val="268371456"/>
      </c:lineChart>
      <c:dateAx>
        <c:axId val="268369920"/>
        <c:scaling>
          <c:orientation val="minMax"/>
          <c:max val="41518"/>
          <c:min val="40238"/>
        </c:scaling>
        <c:delete val="0"/>
        <c:axPos val="b"/>
        <c:numFmt formatCode="mmm\-yy" sourceLinked="0"/>
        <c:majorTickMark val="out"/>
        <c:minorTickMark val="none"/>
        <c:tickLblPos val="low"/>
        <c:crossAx val="268371456"/>
        <c:crosses val="autoZero"/>
        <c:auto val="1"/>
        <c:lblOffset val="100"/>
        <c:baseTimeUnit val="months"/>
      </c:dateAx>
      <c:valAx>
        <c:axId val="268371456"/>
        <c:scaling>
          <c:orientation val="minMax"/>
        </c:scaling>
        <c:delete val="0"/>
        <c:axPos val="l"/>
        <c:numFmt formatCode="0" sourceLinked="0"/>
        <c:majorTickMark val="out"/>
        <c:minorTickMark val="none"/>
        <c:tickLblPos val="nextTo"/>
        <c:crossAx val="268369920"/>
        <c:crosses val="autoZero"/>
        <c:crossBetween val="between"/>
      </c:valAx>
    </c:plotArea>
    <c:legend>
      <c:legendPos val="r"/>
      <c:layout>
        <c:manualLayout>
          <c:xMode val="edge"/>
          <c:yMode val="edge"/>
          <c:x val="8.3857301774306975E-2"/>
          <c:y val="6.5259523841138825E-2"/>
          <c:w val="0.39019897850606544"/>
          <c:h val="0.20183100408925309"/>
        </c:manualLayout>
      </c:layout>
      <c:overlay val="0"/>
    </c:legend>
    <c:plotVisOnly val="1"/>
    <c:dispBlanksAs val="gap"/>
    <c:showDLblsOverMax val="0"/>
  </c:chart>
  <c:spPr>
    <a:ln>
      <a:noFill/>
    </a:ln>
  </c:spPr>
  <c:txPr>
    <a:bodyPr/>
    <a:lstStyle/>
    <a:p>
      <a:pPr>
        <a:defRPr sz="600"/>
      </a:pPr>
      <a:endParaRPr lang="en-US"/>
    </a:p>
  </c:txPr>
  <c:externalData r:id="rId1">
    <c:autoUpdate val="0"/>
  </c:externalData>
  <c:userShapes r:id="rId2"/>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9002405949256491E-2"/>
          <c:y val="5.1400554097404488E-2"/>
          <c:w val="0.90355314960629829"/>
          <c:h val="0.8326195683872849"/>
        </c:manualLayout>
      </c:layout>
      <c:lineChart>
        <c:grouping val="standard"/>
        <c:varyColors val="0"/>
        <c:ser>
          <c:idx val="0"/>
          <c:order val="0"/>
          <c:tx>
            <c:v>2011</c:v>
          </c:tx>
          <c:spPr>
            <a:ln w="22225"/>
          </c:spPr>
          <c:marker>
            <c:symbol val="none"/>
          </c:marker>
          <c:cat>
            <c:strRef>
              <c:f>'exports by comm'!$CL$39:$CW$39</c:f>
              <c:strCache>
                <c:ptCount val="11"/>
                <c:pt idx="0">
                  <c:v>Jan</c:v>
                </c:pt>
                <c:pt idx="1">
                  <c:v>Feb</c:v>
                </c:pt>
                <c:pt idx="2">
                  <c:v>Apr</c:v>
                </c:pt>
                <c:pt idx="3">
                  <c:v>May</c:v>
                </c:pt>
                <c:pt idx="4">
                  <c:v>Jun</c:v>
                </c:pt>
                <c:pt idx="5">
                  <c:v>Jul</c:v>
                </c:pt>
                <c:pt idx="6">
                  <c:v>Aug</c:v>
                </c:pt>
                <c:pt idx="7">
                  <c:v>Sep</c:v>
                </c:pt>
                <c:pt idx="8">
                  <c:v>Oct</c:v>
                </c:pt>
                <c:pt idx="9">
                  <c:v>Nov</c:v>
                </c:pt>
                <c:pt idx="10">
                  <c:v>Dec</c:v>
                </c:pt>
              </c:strCache>
            </c:strRef>
          </c:cat>
          <c:val>
            <c:numRef>
              <c:f>'Raw exports by comm'!$BC$49:$BN$49</c:f>
              <c:numCache>
                <c:formatCode>General</c:formatCode>
                <c:ptCount val="12"/>
                <c:pt idx="0">
                  <c:v>40100.9</c:v>
                </c:pt>
                <c:pt idx="1">
                  <c:v>90355</c:v>
                </c:pt>
                <c:pt idx="2">
                  <c:v>202603</c:v>
                </c:pt>
                <c:pt idx="3">
                  <c:v>385183.10000000003</c:v>
                </c:pt>
                <c:pt idx="4">
                  <c:v>546948.79999999865</c:v>
                </c:pt>
                <c:pt idx="5">
                  <c:v>735793.6</c:v>
                </c:pt>
                <c:pt idx="6" formatCode="#\ ##0.0">
                  <c:v>900179.1</c:v>
                </c:pt>
                <c:pt idx="7" formatCode="#\ ###\ ##0.0">
                  <c:v>1156524.1000000001</c:v>
                </c:pt>
                <c:pt idx="8" formatCode="#\ ###\ ##0.0">
                  <c:v>1536389.3</c:v>
                </c:pt>
                <c:pt idx="9" formatCode="#\ ###\ ##0.0">
                  <c:v>1619987.4</c:v>
                </c:pt>
                <c:pt idx="10" formatCode="#\ ###\ ##0.0">
                  <c:v>1950039.7000000002</c:v>
                </c:pt>
                <c:pt idx="11" formatCode="#\ ###\ ##0.0">
                  <c:v>2250046.4</c:v>
                </c:pt>
              </c:numCache>
            </c:numRef>
          </c:val>
          <c:smooth val="0"/>
        </c:ser>
        <c:ser>
          <c:idx val="1"/>
          <c:order val="1"/>
          <c:tx>
            <c:v>2012</c:v>
          </c:tx>
          <c:spPr>
            <a:ln w="22225"/>
          </c:spPr>
          <c:marker>
            <c:symbol val="none"/>
          </c:marker>
          <c:cat>
            <c:strRef>
              <c:f>'exports by comm'!$CL$39:$CW$39</c:f>
              <c:strCache>
                <c:ptCount val="11"/>
                <c:pt idx="0">
                  <c:v>Jan</c:v>
                </c:pt>
                <c:pt idx="1">
                  <c:v>Feb</c:v>
                </c:pt>
                <c:pt idx="2">
                  <c:v>Apr</c:v>
                </c:pt>
                <c:pt idx="3">
                  <c:v>May</c:v>
                </c:pt>
                <c:pt idx="4">
                  <c:v>Jun</c:v>
                </c:pt>
                <c:pt idx="5">
                  <c:v>Jul</c:v>
                </c:pt>
                <c:pt idx="6">
                  <c:v>Aug</c:v>
                </c:pt>
                <c:pt idx="7">
                  <c:v>Sep</c:v>
                </c:pt>
                <c:pt idx="8">
                  <c:v>Oct</c:v>
                </c:pt>
                <c:pt idx="9">
                  <c:v>Nov</c:v>
                </c:pt>
                <c:pt idx="10">
                  <c:v>Dec</c:v>
                </c:pt>
              </c:strCache>
            </c:strRef>
          </c:cat>
          <c:val>
            <c:numRef>
              <c:f>'Raw exports by comm'!$BO$49:$BZ$49</c:f>
              <c:numCache>
                <c:formatCode>#\ ##0.0</c:formatCode>
                <c:ptCount val="12"/>
                <c:pt idx="0">
                  <c:v>77397.900000000009</c:v>
                </c:pt>
                <c:pt idx="1">
                  <c:v>187791.9</c:v>
                </c:pt>
                <c:pt idx="2">
                  <c:v>367423.7</c:v>
                </c:pt>
                <c:pt idx="3">
                  <c:v>580276.5</c:v>
                </c:pt>
                <c:pt idx="4">
                  <c:v>803181.1</c:v>
                </c:pt>
                <c:pt idx="5">
                  <c:v>1088101.7</c:v>
                </c:pt>
                <c:pt idx="6">
                  <c:v>1169825.8</c:v>
                </c:pt>
                <c:pt idx="7">
                  <c:v>1260829.1000000001</c:v>
                </c:pt>
                <c:pt idx="8" formatCode="###\ ###\ ##0.0">
                  <c:v>1432423.2</c:v>
                </c:pt>
                <c:pt idx="9" formatCode="###\ ###\ ##0.0">
                  <c:v>1627265.7</c:v>
                </c:pt>
                <c:pt idx="10" formatCode="###\ ###\ ##0.0">
                  <c:v>1761980.6000000003</c:v>
                </c:pt>
                <c:pt idx="11" formatCode="#\ ###\ ##0.0">
                  <c:v>1901773.5</c:v>
                </c:pt>
              </c:numCache>
            </c:numRef>
          </c:val>
          <c:smooth val="0"/>
        </c:ser>
        <c:ser>
          <c:idx val="2"/>
          <c:order val="2"/>
          <c:tx>
            <c:v>2013</c:v>
          </c:tx>
          <c:spPr>
            <a:ln w="22225"/>
          </c:spPr>
          <c:marker>
            <c:symbol val="none"/>
          </c:marker>
          <c:cat>
            <c:strRef>
              <c:f>'exports by comm'!$CL$39:$CW$39</c:f>
              <c:strCache>
                <c:ptCount val="11"/>
                <c:pt idx="0">
                  <c:v>Jan</c:v>
                </c:pt>
                <c:pt idx="1">
                  <c:v>Feb</c:v>
                </c:pt>
                <c:pt idx="2">
                  <c:v>Apr</c:v>
                </c:pt>
                <c:pt idx="3">
                  <c:v>May</c:v>
                </c:pt>
                <c:pt idx="4">
                  <c:v>Jun</c:v>
                </c:pt>
                <c:pt idx="5">
                  <c:v>Jul</c:v>
                </c:pt>
                <c:pt idx="6">
                  <c:v>Aug</c:v>
                </c:pt>
                <c:pt idx="7">
                  <c:v>Sep</c:v>
                </c:pt>
                <c:pt idx="8">
                  <c:v>Oct</c:v>
                </c:pt>
                <c:pt idx="9">
                  <c:v>Nov</c:v>
                </c:pt>
                <c:pt idx="10">
                  <c:v>Dec</c:v>
                </c:pt>
              </c:strCache>
            </c:strRef>
          </c:cat>
          <c:val>
            <c:numRef>
              <c:f>'Raw exports by comm'!$CA$49:$CI$49</c:f>
              <c:numCache>
                <c:formatCode>#\ ##0.0</c:formatCode>
                <c:ptCount val="9"/>
                <c:pt idx="0">
                  <c:v>87619.199999999997</c:v>
                </c:pt>
                <c:pt idx="1">
                  <c:v>122880.3</c:v>
                </c:pt>
                <c:pt idx="2">
                  <c:v>209355.54724400019</c:v>
                </c:pt>
                <c:pt idx="3">
                  <c:v>338866.6</c:v>
                </c:pt>
                <c:pt idx="4">
                  <c:v>448610.39999999997</c:v>
                </c:pt>
                <c:pt idx="5">
                  <c:v>542483.9</c:v>
                </c:pt>
                <c:pt idx="6">
                  <c:v>595564.75690700044</c:v>
                </c:pt>
                <c:pt idx="7">
                  <c:v>693147.51761500002</c:v>
                </c:pt>
                <c:pt idx="8">
                  <c:v>783940.20000000007</c:v>
                </c:pt>
              </c:numCache>
            </c:numRef>
          </c:val>
          <c:smooth val="0"/>
        </c:ser>
        <c:dLbls>
          <c:showLegendKey val="0"/>
          <c:showVal val="0"/>
          <c:showCatName val="0"/>
          <c:showSerName val="0"/>
          <c:showPercent val="0"/>
          <c:showBubbleSize val="0"/>
        </c:dLbls>
        <c:marker val="1"/>
        <c:smooth val="0"/>
        <c:axId val="268398592"/>
        <c:axId val="268400128"/>
      </c:lineChart>
      <c:catAx>
        <c:axId val="268398592"/>
        <c:scaling>
          <c:orientation val="minMax"/>
        </c:scaling>
        <c:delete val="0"/>
        <c:axPos val="b"/>
        <c:majorTickMark val="out"/>
        <c:minorTickMark val="none"/>
        <c:tickLblPos val="nextTo"/>
        <c:crossAx val="268400128"/>
        <c:crosses val="autoZero"/>
        <c:auto val="1"/>
        <c:lblAlgn val="ctr"/>
        <c:lblOffset val="100"/>
        <c:noMultiLvlLbl val="0"/>
      </c:catAx>
      <c:valAx>
        <c:axId val="268400128"/>
        <c:scaling>
          <c:orientation val="minMax"/>
        </c:scaling>
        <c:delete val="0"/>
        <c:axPos val="l"/>
        <c:majorGridlines>
          <c:spPr>
            <a:ln>
              <a:noFill/>
            </a:ln>
          </c:spPr>
        </c:majorGridlines>
        <c:numFmt formatCode="General" sourceLinked="1"/>
        <c:majorTickMark val="out"/>
        <c:minorTickMark val="none"/>
        <c:tickLblPos val="nextTo"/>
        <c:crossAx val="268398592"/>
        <c:crosses val="autoZero"/>
        <c:crossBetween val="between"/>
        <c:dispUnits>
          <c:builtInUnit val="millions"/>
        </c:dispUnits>
      </c:valAx>
      <c:spPr>
        <a:ln>
          <a:noFill/>
        </a:ln>
      </c:spPr>
    </c:plotArea>
    <c:legend>
      <c:legendPos val="r"/>
      <c:layout>
        <c:manualLayout>
          <c:xMode val="edge"/>
          <c:yMode val="edge"/>
          <c:x val="0.11476942767992143"/>
          <c:y val="5.4979585885097694E-2"/>
          <c:w val="0.41392027273870935"/>
          <c:h val="0.25115157480314959"/>
        </c:manualLayout>
      </c:layout>
      <c:overlay val="0"/>
    </c:legend>
    <c:plotVisOnly val="1"/>
    <c:dispBlanksAs val="gap"/>
    <c:showDLblsOverMax val="0"/>
  </c:chart>
  <c:spPr>
    <a:ln>
      <a:noFill/>
    </a:ln>
  </c:spPr>
  <c:txPr>
    <a:bodyPr/>
    <a:lstStyle/>
    <a:p>
      <a:pPr>
        <a:defRPr sz="700"/>
      </a:pPr>
      <a:endParaRPr lang="en-US"/>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2182852143482079E-2"/>
          <c:y val="2.5113249732672312E-2"/>
          <c:w val="0.92781714785651759"/>
          <c:h val="0.9497735005346557"/>
        </c:manualLayout>
      </c:layout>
      <c:lineChart>
        <c:grouping val="standard"/>
        <c:varyColors val="0"/>
        <c:ser>
          <c:idx val="0"/>
          <c:order val="0"/>
          <c:tx>
            <c:v>Coal Volume</c:v>
          </c:tx>
          <c:spPr>
            <a:ln w="22225"/>
          </c:spPr>
          <c:marker>
            <c:symbol val="none"/>
          </c:marker>
          <c:cat>
            <c:numRef>
              <c:f>'exports by comm'!$BO$1:$CI$1</c:f>
              <c:numCache>
                <c:formatCode>[$-409]mmm\-yy;@</c:formatCode>
                <c:ptCount val="21"/>
                <c:pt idx="0">
                  <c:v>40909</c:v>
                </c:pt>
                <c:pt idx="1">
                  <c:v>40940</c:v>
                </c:pt>
                <c:pt idx="2">
                  <c:v>40969</c:v>
                </c:pt>
                <c:pt idx="3">
                  <c:v>41000</c:v>
                </c:pt>
                <c:pt idx="4">
                  <c:v>41030</c:v>
                </c:pt>
                <c:pt idx="5">
                  <c:v>41061</c:v>
                </c:pt>
                <c:pt idx="6">
                  <c:v>41091</c:v>
                </c:pt>
                <c:pt idx="7">
                  <c:v>41122</c:v>
                </c:pt>
                <c:pt idx="8">
                  <c:v>41154</c:v>
                </c:pt>
                <c:pt idx="9">
                  <c:v>41185</c:v>
                </c:pt>
                <c:pt idx="10">
                  <c:v>41217</c:v>
                </c:pt>
                <c:pt idx="11">
                  <c:v>41248</c:v>
                </c:pt>
                <c:pt idx="12">
                  <c:v>41280</c:v>
                </c:pt>
                <c:pt idx="13">
                  <c:v>41312</c:v>
                </c:pt>
                <c:pt idx="14">
                  <c:v>41341</c:v>
                </c:pt>
                <c:pt idx="15">
                  <c:v>41373</c:v>
                </c:pt>
                <c:pt idx="16">
                  <c:v>41404</c:v>
                </c:pt>
                <c:pt idx="17">
                  <c:v>41436</c:v>
                </c:pt>
                <c:pt idx="18">
                  <c:v>41467</c:v>
                </c:pt>
                <c:pt idx="19">
                  <c:v>41499</c:v>
                </c:pt>
                <c:pt idx="20">
                  <c:v>41531</c:v>
                </c:pt>
              </c:numCache>
            </c:numRef>
          </c:cat>
          <c:val>
            <c:numRef>
              <c:f>'exports by comm'!$BO$132:$CI$132</c:f>
              <c:numCache>
                <c:formatCode>0.0</c:formatCode>
                <c:ptCount val="21"/>
                <c:pt idx="0">
                  <c:v>0.45107914530093662</c:v>
                </c:pt>
                <c:pt idx="1">
                  <c:v>23.118781905640436</c:v>
                </c:pt>
                <c:pt idx="2">
                  <c:v>15.89033718887034</c:v>
                </c:pt>
                <c:pt idx="3">
                  <c:v>13.985631702449925</c:v>
                </c:pt>
                <c:pt idx="4">
                  <c:v>22.533384282990564</c:v>
                </c:pt>
                <c:pt idx="5">
                  <c:v>33.033901422818765</c:v>
                </c:pt>
                <c:pt idx="6">
                  <c:v>19.198601815427363</c:v>
                </c:pt>
                <c:pt idx="7">
                  <c:v>4.5863275864015884</c:v>
                </c:pt>
                <c:pt idx="8">
                  <c:v>3.4243802941056112</c:v>
                </c:pt>
                <c:pt idx="9">
                  <c:v>5.4313331273483207</c:v>
                </c:pt>
                <c:pt idx="10">
                  <c:v>2.170052129057161</c:v>
                </c:pt>
                <c:pt idx="11">
                  <c:v>-0.90086399822675256</c:v>
                </c:pt>
                <c:pt idx="12">
                  <c:v>91.4114441668697</c:v>
                </c:pt>
                <c:pt idx="13">
                  <c:v>5.7100522404627263</c:v>
                </c:pt>
                <c:pt idx="14">
                  <c:v>1.3050565776134393</c:v>
                </c:pt>
                <c:pt idx="15">
                  <c:v>-6.1022840517674739</c:v>
                </c:pt>
                <c:pt idx="16">
                  <c:v>-14.411144979724272</c:v>
                </c:pt>
                <c:pt idx="17">
                  <c:v>-27.351664834588806</c:v>
                </c:pt>
                <c:pt idx="18">
                  <c:v>-26.272658294507178</c:v>
                </c:pt>
                <c:pt idx="19">
                  <c:v>-21.777993690028765</c:v>
                </c:pt>
                <c:pt idx="20">
                  <c:v>-20.384814111457391</c:v>
                </c:pt>
              </c:numCache>
            </c:numRef>
          </c:val>
          <c:smooth val="0"/>
        </c:ser>
        <c:ser>
          <c:idx val="1"/>
          <c:order val="1"/>
          <c:tx>
            <c:v>Coal Unit Price</c:v>
          </c:tx>
          <c:spPr>
            <a:ln w="22225">
              <a:prstDash val="sysDash"/>
            </a:ln>
          </c:spPr>
          <c:marker>
            <c:symbol val="none"/>
          </c:marker>
          <c:cat>
            <c:numRef>
              <c:f>'exports by comm'!$BO$1:$CI$1</c:f>
              <c:numCache>
                <c:formatCode>[$-409]mmm\-yy;@</c:formatCode>
                <c:ptCount val="21"/>
                <c:pt idx="0">
                  <c:v>40909</c:v>
                </c:pt>
                <c:pt idx="1">
                  <c:v>40940</c:v>
                </c:pt>
                <c:pt idx="2">
                  <c:v>40969</c:v>
                </c:pt>
                <c:pt idx="3">
                  <c:v>41000</c:v>
                </c:pt>
                <c:pt idx="4">
                  <c:v>41030</c:v>
                </c:pt>
                <c:pt idx="5">
                  <c:v>41061</c:v>
                </c:pt>
                <c:pt idx="6">
                  <c:v>41091</c:v>
                </c:pt>
                <c:pt idx="7">
                  <c:v>41122</c:v>
                </c:pt>
                <c:pt idx="8">
                  <c:v>41154</c:v>
                </c:pt>
                <c:pt idx="9">
                  <c:v>41185</c:v>
                </c:pt>
                <c:pt idx="10">
                  <c:v>41217</c:v>
                </c:pt>
                <c:pt idx="11">
                  <c:v>41248</c:v>
                </c:pt>
                <c:pt idx="12">
                  <c:v>41280</c:v>
                </c:pt>
                <c:pt idx="13">
                  <c:v>41312</c:v>
                </c:pt>
                <c:pt idx="14">
                  <c:v>41341</c:v>
                </c:pt>
                <c:pt idx="15">
                  <c:v>41373</c:v>
                </c:pt>
                <c:pt idx="16">
                  <c:v>41404</c:v>
                </c:pt>
                <c:pt idx="17">
                  <c:v>41436</c:v>
                </c:pt>
                <c:pt idx="18">
                  <c:v>41467</c:v>
                </c:pt>
                <c:pt idx="19">
                  <c:v>41499</c:v>
                </c:pt>
                <c:pt idx="20">
                  <c:v>41531</c:v>
                </c:pt>
              </c:numCache>
            </c:numRef>
          </c:cat>
          <c:val>
            <c:numRef>
              <c:f>'exports by comm'!$BO$154:$CI$154</c:f>
              <c:numCache>
                <c:formatCode>0.0</c:formatCode>
                <c:ptCount val="21"/>
                <c:pt idx="0">
                  <c:v>92.141178816344066</c:v>
                </c:pt>
                <c:pt idx="1">
                  <c:v>68.810849612500178</c:v>
                </c:pt>
                <c:pt idx="2">
                  <c:v>56.485487791924541</c:v>
                </c:pt>
                <c:pt idx="3">
                  <c:v>32.165361560149911</c:v>
                </c:pt>
                <c:pt idx="4">
                  <c:v>19.842918834264687</c:v>
                </c:pt>
                <c:pt idx="5">
                  <c:v>11.160669867764771</c:v>
                </c:pt>
                <c:pt idx="6">
                  <c:v>9.0237481508108282</c:v>
                </c:pt>
                <c:pt idx="7">
                  <c:v>4.238132735625455</c:v>
                </c:pt>
                <c:pt idx="8">
                  <c:v>-9.8538579491932268</c:v>
                </c:pt>
                <c:pt idx="9">
                  <c:v>-4.7253996581290707</c:v>
                </c:pt>
                <c:pt idx="10">
                  <c:v>-11.562989304626022</c:v>
                </c:pt>
                <c:pt idx="11">
                  <c:v>-14.710130627666507</c:v>
                </c:pt>
                <c:pt idx="12">
                  <c:v>-40.857155770792794</c:v>
                </c:pt>
                <c:pt idx="13">
                  <c:v>-38.100217994847903</c:v>
                </c:pt>
                <c:pt idx="14">
                  <c:v>-43.754707053128264</c:v>
                </c:pt>
                <c:pt idx="15">
                  <c:v>-37.807394136464474</c:v>
                </c:pt>
                <c:pt idx="16">
                  <c:v>-34.741266568725642</c:v>
                </c:pt>
                <c:pt idx="17">
                  <c:v>-31.373523966116878</c:v>
                </c:pt>
                <c:pt idx="18">
                  <c:v>-30.947529758360737</c:v>
                </c:pt>
                <c:pt idx="19">
                  <c:v>-29.718584874893487</c:v>
                </c:pt>
                <c:pt idx="20">
                  <c:v>-31.259026926826806</c:v>
                </c:pt>
              </c:numCache>
            </c:numRef>
          </c:val>
          <c:smooth val="0"/>
        </c:ser>
        <c:dLbls>
          <c:showLegendKey val="0"/>
          <c:showVal val="0"/>
          <c:showCatName val="0"/>
          <c:showSerName val="0"/>
          <c:showPercent val="0"/>
          <c:showBubbleSize val="0"/>
        </c:dLbls>
        <c:marker val="1"/>
        <c:smooth val="0"/>
        <c:axId val="281411968"/>
        <c:axId val="281413504"/>
      </c:lineChart>
      <c:dateAx>
        <c:axId val="281411968"/>
        <c:scaling>
          <c:orientation val="minMax"/>
        </c:scaling>
        <c:delete val="0"/>
        <c:axPos val="b"/>
        <c:numFmt formatCode="[$-409]mmm\-yy;@" sourceLinked="0"/>
        <c:majorTickMark val="out"/>
        <c:minorTickMark val="none"/>
        <c:tickLblPos val="low"/>
        <c:crossAx val="281413504"/>
        <c:crosses val="autoZero"/>
        <c:auto val="1"/>
        <c:lblOffset val="100"/>
        <c:baseTimeUnit val="months"/>
      </c:dateAx>
      <c:valAx>
        <c:axId val="281413504"/>
        <c:scaling>
          <c:orientation val="minMax"/>
        </c:scaling>
        <c:delete val="0"/>
        <c:axPos val="l"/>
        <c:numFmt formatCode="0" sourceLinked="0"/>
        <c:majorTickMark val="out"/>
        <c:minorTickMark val="none"/>
        <c:tickLblPos val="nextTo"/>
        <c:crossAx val="281411968"/>
        <c:crosses val="autoZero"/>
        <c:crossBetween val="between"/>
      </c:valAx>
    </c:plotArea>
    <c:legend>
      <c:legendPos val="r"/>
      <c:layout>
        <c:manualLayout>
          <c:xMode val="edge"/>
          <c:yMode val="edge"/>
          <c:x val="0.15585127065592544"/>
          <c:y val="4.0450751388213163E-2"/>
          <c:w val="0.37637110448654648"/>
          <c:h val="0.16743454436616498"/>
        </c:manualLayout>
      </c:layout>
      <c:overlay val="0"/>
    </c:legend>
    <c:plotVisOnly val="1"/>
    <c:dispBlanksAs val="gap"/>
    <c:showDLblsOverMax val="0"/>
  </c:chart>
  <c:spPr>
    <a:ln>
      <a:noFill/>
    </a:ln>
  </c:spPr>
  <c:txPr>
    <a:bodyPr/>
    <a:lstStyle/>
    <a:p>
      <a:pPr>
        <a:defRPr sz="700"/>
      </a:pPr>
      <a:endParaRPr lang="en-US"/>
    </a:p>
  </c:txPr>
  <c:externalData r:id="rId1">
    <c:autoUpdate val="0"/>
  </c:externalData>
  <c:userShapes r:id="rId2"/>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6460629921259843E-2"/>
          <c:y val="2.8252405949256338E-2"/>
          <c:w val="0.88259339457567809"/>
          <c:h val="0.91571741032371035"/>
        </c:manualLayout>
      </c:layout>
      <c:lineChart>
        <c:grouping val="standard"/>
        <c:varyColors val="0"/>
        <c:ser>
          <c:idx val="0"/>
          <c:order val="0"/>
          <c:tx>
            <c:v>Copper Export Volume</c:v>
          </c:tx>
          <c:spPr>
            <a:ln w="22225">
              <a:prstDash val="sysDash"/>
            </a:ln>
          </c:spPr>
          <c:marker>
            <c:symbol val="none"/>
          </c:marker>
          <c:cat>
            <c:numRef>
              <c:f>'trade BOM'!$GX$1:$HR$1</c:f>
              <c:numCache>
                <c:formatCode>mmm\-yy</c:formatCode>
                <c:ptCount val="21"/>
                <c:pt idx="0">
                  <c:v>40909</c:v>
                </c:pt>
                <c:pt idx="1">
                  <c:v>40940</c:v>
                </c:pt>
                <c:pt idx="2">
                  <c:v>40969</c:v>
                </c:pt>
                <c:pt idx="3">
                  <c:v>41000</c:v>
                </c:pt>
                <c:pt idx="4">
                  <c:v>41030</c:v>
                </c:pt>
                <c:pt idx="5">
                  <c:v>41061</c:v>
                </c:pt>
                <c:pt idx="6">
                  <c:v>41091</c:v>
                </c:pt>
                <c:pt idx="7">
                  <c:v>41122</c:v>
                </c:pt>
                <c:pt idx="8">
                  <c:v>41153</c:v>
                </c:pt>
                <c:pt idx="9">
                  <c:v>41183</c:v>
                </c:pt>
                <c:pt idx="10">
                  <c:v>41214</c:v>
                </c:pt>
                <c:pt idx="11">
                  <c:v>41244</c:v>
                </c:pt>
                <c:pt idx="12">
                  <c:v>41275</c:v>
                </c:pt>
                <c:pt idx="13">
                  <c:v>41306</c:v>
                </c:pt>
                <c:pt idx="14">
                  <c:v>41334</c:v>
                </c:pt>
                <c:pt idx="15">
                  <c:v>41365</c:v>
                </c:pt>
                <c:pt idx="16">
                  <c:v>41395</c:v>
                </c:pt>
                <c:pt idx="17">
                  <c:v>41426</c:v>
                </c:pt>
                <c:pt idx="18">
                  <c:v>41456</c:v>
                </c:pt>
                <c:pt idx="19">
                  <c:v>41487</c:v>
                </c:pt>
                <c:pt idx="20">
                  <c:v>41518</c:v>
                </c:pt>
              </c:numCache>
            </c:numRef>
          </c:cat>
          <c:val>
            <c:numRef>
              <c:f>'exports by comm'!$BO$237:$CI$237</c:f>
              <c:numCache>
                <c:formatCode>0%</c:formatCode>
                <c:ptCount val="21"/>
                <c:pt idx="0">
                  <c:v>6.3865000143767503E-2</c:v>
                </c:pt>
                <c:pt idx="1">
                  <c:v>3.802158212166229E-2</c:v>
                </c:pt>
                <c:pt idx="2">
                  <c:v>-5.002057795273758E-2</c:v>
                </c:pt>
                <c:pt idx="3">
                  <c:v>-6.5870379157688119E-2</c:v>
                </c:pt>
                <c:pt idx="4">
                  <c:v>-7.7916037599034094E-2</c:v>
                </c:pt>
                <c:pt idx="5">
                  <c:v>0.13271117991868767</c:v>
                </c:pt>
                <c:pt idx="6">
                  <c:v>3.0961935963065321E-3</c:v>
                </c:pt>
                <c:pt idx="7">
                  <c:v>5.6033284262506727E-2</c:v>
                </c:pt>
                <c:pt idx="8">
                  <c:v>3.2578600313689435E-2</c:v>
                </c:pt>
                <c:pt idx="9" formatCode="0.0%">
                  <c:v>-3.767950844306249E-2</c:v>
                </c:pt>
                <c:pt idx="10" formatCode="0.0%">
                  <c:v>-3.0819598931419282E-2</c:v>
                </c:pt>
                <c:pt idx="11" formatCode="0.0%">
                  <c:v>-1.3294389434757487E-2</c:v>
                </c:pt>
                <c:pt idx="12" formatCode="0.0%">
                  <c:v>-7.1380994315974914E-3</c:v>
                </c:pt>
                <c:pt idx="13" formatCode="0.0%">
                  <c:v>-2.3589788274406488E-2</c:v>
                </c:pt>
                <c:pt idx="14" formatCode="0.0%">
                  <c:v>2.5495322876670393E-2</c:v>
                </c:pt>
                <c:pt idx="15" formatCode="0.0%">
                  <c:v>1.4808061130952241E-2</c:v>
                </c:pt>
                <c:pt idx="16" formatCode="0.0%">
                  <c:v>2.0888920227912808E-3</c:v>
                </c:pt>
                <c:pt idx="17" formatCode="0.0%">
                  <c:v>-6.1151139705882533E-2</c:v>
                </c:pt>
                <c:pt idx="18" formatCode="0.0%">
                  <c:v>0.10766420403587475</c:v>
                </c:pt>
                <c:pt idx="19" formatCode="0.0%">
                  <c:v>0.23127324124513704</c:v>
                </c:pt>
                <c:pt idx="20" formatCode="0.0%">
                  <c:v>0.49397856003203233</c:v>
                </c:pt>
              </c:numCache>
            </c:numRef>
          </c:val>
          <c:smooth val="0"/>
        </c:ser>
        <c:ser>
          <c:idx val="1"/>
          <c:order val="1"/>
          <c:tx>
            <c:v>Copper Unit Export Price</c:v>
          </c:tx>
          <c:spPr>
            <a:ln w="22225">
              <a:solidFill>
                <a:srgbClr val="7030A0"/>
              </a:solidFill>
            </a:ln>
          </c:spPr>
          <c:marker>
            <c:symbol val="none"/>
          </c:marker>
          <c:cat>
            <c:numRef>
              <c:f>'trade BOM'!$GX$1:$HR$1</c:f>
              <c:numCache>
                <c:formatCode>mmm\-yy</c:formatCode>
                <c:ptCount val="21"/>
                <c:pt idx="0">
                  <c:v>40909</c:v>
                </c:pt>
                <c:pt idx="1">
                  <c:v>40940</c:v>
                </c:pt>
                <c:pt idx="2">
                  <c:v>40969</c:v>
                </c:pt>
                <c:pt idx="3">
                  <c:v>41000</c:v>
                </c:pt>
                <c:pt idx="4">
                  <c:v>41030</c:v>
                </c:pt>
                <c:pt idx="5">
                  <c:v>41061</c:v>
                </c:pt>
                <c:pt idx="6">
                  <c:v>41091</c:v>
                </c:pt>
                <c:pt idx="7">
                  <c:v>41122</c:v>
                </c:pt>
                <c:pt idx="8">
                  <c:v>41153</c:v>
                </c:pt>
                <c:pt idx="9">
                  <c:v>41183</c:v>
                </c:pt>
                <c:pt idx="10">
                  <c:v>41214</c:v>
                </c:pt>
                <c:pt idx="11">
                  <c:v>41244</c:v>
                </c:pt>
                <c:pt idx="12">
                  <c:v>41275</c:v>
                </c:pt>
                <c:pt idx="13">
                  <c:v>41306</c:v>
                </c:pt>
                <c:pt idx="14">
                  <c:v>41334</c:v>
                </c:pt>
                <c:pt idx="15">
                  <c:v>41365</c:v>
                </c:pt>
                <c:pt idx="16">
                  <c:v>41395</c:v>
                </c:pt>
                <c:pt idx="17">
                  <c:v>41426</c:v>
                </c:pt>
                <c:pt idx="18">
                  <c:v>41456</c:v>
                </c:pt>
                <c:pt idx="19">
                  <c:v>41487</c:v>
                </c:pt>
                <c:pt idx="20">
                  <c:v>41518</c:v>
                </c:pt>
              </c:numCache>
            </c:numRef>
          </c:cat>
          <c:val>
            <c:numRef>
              <c:f>'exports by comm'!$BO$250:$CI$250</c:f>
              <c:numCache>
                <c:formatCode>0%</c:formatCode>
                <c:ptCount val="21"/>
                <c:pt idx="0">
                  <c:v>-0.16230531444038399</c:v>
                </c:pt>
                <c:pt idx="1">
                  <c:v>-0.20051053824866338</c:v>
                </c:pt>
                <c:pt idx="2">
                  <c:v>-0.20046706740507222</c:v>
                </c:pt>
                <c:pt idx="3">
                  <c:v>-0.15713706094794372</c:v>
                </c:pt>
                <c:pt idx="4">
                  <c:v>-0.14890519853554007</c:v>
                </c:pt>
                <c:pt idx="5">
                  <c:v>-0.11648282908900065</c:v>
                </c:pt>
                <c:pt idx="6">
                  <c:v>-0.15597816588816044</c:v>
                </c:pt>
                <c:pt idx="7">
                  <c:v>-0.17956520385326688</c:v>
                </c:pt>
                <c:pt idx="8">
                  <c:v>-0.19681427996018408</c:v>
                </c:pt>
                <c:pt idx="9">
                  <c:v>-0.13871507763987023</c:v>
                </c:pt>
                <c:pt idx="10">
                  <c:v>8.267224032425502E-2</c:v>
                </c:pt>
                <c:pt idx="11">
                  <c:v>7.9801646040003144E-2</c:v>
                </c:pt>
                <c:pt idx="12">
                  <c:v>7.7010413846152134E-2</c:v>
                </c:pt>
                <c:pt idx="13">
                  <c:v>7.9697981292688902E-2</c:v>
                </c:pt>
                <c:pt idx="14">
                  <c:v>1.4698908963534978E-2</c:v>
                </c:pt>
                <c:pt idx="15">
                  <c:v>-6.546844233775706E-2</c:v>
                </c:pt>
                <c:pt idx="16">
                  <c:v>-0.1259818014155365</c:v>
                </c:pt>
                <c:pt idx="17">
                  <c:v>-0.14153118660079053</c:v>
                </c:pt>
                <c:pt idx="18">
                  <c:v>-5.484990100549833E-2</c:v>
                </c:pt>
                <c:pt idx="19">
                  <c:v>3.2651208613877561E-2</c:v>
                </c:pt>
                <c:pt idx="20">
                  <c:v>0.13073510168583419</c:v>
                </c:pt>
              </c:numCache>
            </c:numRef>
          </c:val>
          <c:smooth val="0"/>
        </c:ser>
        <c:dLbls>
          <c:showLegendKey val="0"/>
          <c:showVal val="0"/>
          <c:showCatName val="0"/>
          <c:showSerName val="0"/>
          <c:showPercent val="0"/>
          <c:showBubbleSize val="0"/>
        </c:dLbls>
        <c:marker val="1"/>
        <c:smooth val="0"/>
        <c:axId val="281443328"/>
        <c:axId val="281445120"/>
      </c:lineChart>
      <c:dateAx>
        <c:axId val="281443328"/>
        <c:scaling>
          <c:orientation val="minMax"/>
        </c:scaling>
        <c:delete val="0"/>
        <c:axPos val="b"/>
        <c:numFmt formatCode="mmm\-yy" sourceLinked="1"/>
        <c:majorTickMark val="out"/>
        <c:minorTickMark val="none"/>
        <c:tickLblPos val="low"/>
        <c:crossAx val="281445120"/>
        <c:crosses val="autoZero"/>
        <c:auto val="1"/>
        <c:lblOffset val="100"/>
        <c:baseTimeUnit val="months"/>
      </c:dateAx>
      <c:valAx>
        <c:axId val="281445120"/>
        <c:scaling>
          <c:orientation val="minMax"/>
        </c:scaling>
        <c:delete val="0"/>
        <c:axPos val="l"/>
        <c:majorGridlines>
          <c:spPr>
            <a:ln>
              <a:noFill/>
            </a:ln>
          </c:spPr>
        </c:majorGridlines>
        <c:numFmt formatCode="0%" sourceLinked="1"/>
        <c:majorTickMark val="out"/>
        <c:minorTickMark val="none"/>
        <c:tickLblPos val="nextTo"/>
        <c:crossAx val="281443328"/>
        <c:crosses val="autoZero"/>
        <c:crossBetween val="between"/>
      </c:valAx>
    </c:plotArea>
    <c:legend>
      <c:legendPos val="r"/>
      <c:layout>
        <c:manualLayout>
          <c:xMode val="edge"/>
          <c:yMode val="edge"/>
          <c:x val="9.127612595378376E-2"/>
          <c:y val="6.0555537445286474E-2"/>
          <c:w val="0.60379540073174665"/>
          <c:h val="0.2527342719721194"/>
        </c:manualLayout>
      </c:layout>
      <c:overlay val="0"/>
    </c:legend>
    <c:plotVisOnly val="1"/>
    <c:dispBlanksAs val="gap"/>
    <c:showDLblsOverMax val="0"/>
  </c:chart>
  <c:spPr>
    <a:ln>
      <a:noFill/>
    </a:ln>
  </c:spPr>
  <c:txPr>
    <a:bodyPr/>
    <a:lstStyle/>
    <a:p>
      <a:pPr>
        <a:defRPr sz="700"/>
      </a:pPr>
      <a:endParaRPr lang="en-US"/>
    </a:p>
  </c:txPr>
  <c:externalData r:id="rId1">
    <c:autoUpdate val="0"/>
  </c:externalData>
  <c:userShapes r:id="rId2"/>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2195198770885519E-2"/>
          <c:y val="2.6217034252250342E-2"/>
          <c:w val="0.87745790548111313"/>
          <c:h val="0.83956782200041835"/>
        </c:manualLayout>
      </c:layout>
      <c:barChart>
        <c:barDir val="col"/>
        <c:grouping val="stacked"/>
        <c:varyColors val="0"/>
        <c:ser>
          <c:idx val="1"/>
          <c:order val="1"/>
          <c:tx>
            <c:v>Merchandise trade balance</c:v>
          </c:tx>
          <c:invertIfNegative val="0"/>
          <c:cat>
            <c:strRef>
              <c:f>'4qtr rolling BoP (BOM)'!$O$2:$AK$2</c:f>
              <c:strCache>
                <c:ptCount val="17"/>
                <c:pt idx="0">
                  <c:v>Q4-08</c:v>
                </c:pt>
                <c:pt idx="1">
                  <c:v>Q1-09</c:v>
                </c:pt>
                <c:pt idx="2">
                  <c:v>Q2-09</c:v>
                </c:pt>
                <c:pt idx="3">
                  <c:v>Q3-09</c:v>
                </c:pt>
                <c:pt idx="4">
                  <c:v>Q4-09</c:v>
                </c:pt>
                <c:pt idx="5">
                  <c:v>Q1-10</c:v>
                </c:pt>
                <c:pt idx="6">
                  <c:v>Q2-10</c:v>
                </c:pt>
                <c:pt idx="7">
                  <c:v>Q3-10</c:v>
                </c:pt>
                <c:pt idx="8">
                  <c:v>Q4-10</c:v>
                </c:pt>
                <c:pt idx="9">
                  <c:v>Q1-11</c:v>
                </c:pt>
                <c:pt idx="10">
                  <c:v>Q2-11</c:v>
                </c:pt>
                <c:pt idx="11">
                  <c:v>Q3-11</c:v>
                </c:pt>
                <c:pt idx="12">
                  <c:v>Q4-11</c:v>
                </c:pt>
                <c:pt idx="13">
                  <c:v>Q1-12</c:v>
                </c:pt>
                <c:pt idx="14">
                  <c:v>Q2-12</c:v>
                </c:pt>
                <c:pt idx="15">
                  <c:v>Q3-12</c:v>
                </c:pt>
                <c:pt idx="16">
                  <c:v>Q4-12</c:v>
                </c:pt>
              </c:strCache>
            </c:strRef>
          </c:cat>
          <c:val>
            <c:numRef>
              <c:f>'4qtr rolling BoP (BOM)'!$U$14:$AM$14</c:f>
              <c:numCache>
                <c:formatCode>0.0</c:formatCode>
                <c:ptCount val="19"/>
                <c:pt idx="0">
                  <c:v>-627.21546854687745</c:v>
                </c:pt>
                <c:pt idx="1">
                  <c:v>-665.90585873574798</c:v>
                </c:pt>
                <c:pt idx="2">
                  <c:v>-563.10042783164397</c:v>
                </c:pt>
                <c:pt idx="3">
                  <c:v>-396.50184075588209</c:v>
                </c:pt>
                <c:pt idx="4">
                  <c:v>-188.77517919997183</c:v>
                </c:pt>
                <c:pt idx="5">
                  <c:v>-198.56126376804372</c:v>
                </c:pt>
                <c:pt idx="6">
                  <c:v>-98.724149422572097</c:v>
                </c:pt>
                <c:pt idx="7">
                  <c:v>-165.15648648830148</c:v>
                </c:pt>
                <c:pt idx="8">
                  <c:v>-180.36707749999977</c:v>
                </c:pt>
                <c:pt idx="9">
                  <c:v>-318.11609458613009</c:v>
                </c:pt>
                <c:pt idx="10">
                  <c:v>-588.27369850000082</c:v>
                </c:pt>
                <c:pt idx="11">
                  <c:v>-984.4706219740001</c:v>
                </c:pt>
                <c:pt idx="12">
                  <c:v>-992.88903323887041</c:v>
                </c:pt>
                <c:pt idx="13">
                  <c:v>-1179.8283787923092</c:v>
                </c:pt>
                <c:pt idx="14">
                  <c:v>-1218.4950255722031</c:v>
                </c:pt>
                <c:pt idx="15">
                  <c:v>-1431.547983598203</c:v>
                </c:pt>
                <c:pt idx="16">
                  <c:v>-1553.3212800958722</c:v>
                </c:pt>
                <c:pt idx="17">
                  <c:v>-1404.3754242586219</c:v>
                </c:pt>
                <c:pt idx="18">
                  <c:v>-1561.5619145725398</c:v>
                </c:pt>
              </c:numCache>
            </c:numRef>
          </c:val>
        </c:ser>
        <c:ser>
          <c:idx val="3"/>
          <c:order val="2"/>
          <c:tx>
            <c:v>Services balance</c:v>
          </c:tx>
          <c:invertIfNegative val="0"/>
          <c:cat>
            <c:strRef>
              <c:f>'4qtr rolling BoP (BOM)'!$O$2:$AK$2</c:f>
              <c:strCache>
                <c:ptCount val="17"/>
                <c:pt idx="0">
                  <c:v>Q4-08</c:v>
                </c:pt>
                <c:pt idx="1">
                  <c:v>Q1-09</c:v>
                </c:pt>
                <c:pt idx="2">
                  <c:v>Q2-09</c:v>
                </c:pt>
                <c:pt idx="3">
                  <c:v>Q3-09</c:v>
                </c:pt>
                <c:pt idx="4">
                  <c:v>Q4-09</c:v>
                </c:pt>
                <c:pt idx="5">
                  <c:v>Q1-10</c:v>
                </c:pt>
                <c:pt idx="6">
                  <c:v>Q2-10</c:v>
                </c:pt>
                <c:pt idx="7">
                  <c:v>Q3-10</c:v>
                </c:pt>
                <c:pt idx="8">
                  <c:v>Q4-10</c:v>
                </c:pt>
                <c:pt idx="9">
                  <c:v>Q1-11</c:v>
                </c:pt>
                <c:pt idx="10">
                  <c:v>Q2-11</c:v>
                </c:pt>
                <c:pt idx="11">
                  <c:v>Q3-11</c:v>
                </c:pt>
                <c:pt idx="12">
                  <c:v>Q4-11</c:v>
                </c:pt>
                <c:pt idx="13">
                  <c:v>Q1-12</c:v>
                </c:pt>
                <c:pt idx="14">
                  <c:v>Q2-12</c:v>
                </c:pt>
                <c:pt idx="15">
                  <c:v>Q3-12</c:v>
                </c:pt>
                <c:pt idx="16">
                  <c:v>Q4-12</c:v>
                </c:pt>
              </c:strCache>
            </c:strRef>
          </c:cat>
          <c:val>
            <c:numRef>
              <c:f>'4qtr rolling BoP (BOM)'!$U$15:$AM$15</c:f>
              <c:numCache>
                <c:formatCode>0.0</c:formatCode>
                <c:ptCount val="19"/>
                <c:pt idx="0">
                  <c:v>-110.83365574015467</c:v>
                </c:pt>
                <c:pt idx="1">
                  <c:v>-132.88230565976062</c:v>
                </c:pt>
                <c:pt idx="2">
                  <c:v>-147.74227954016516</c:v>
                </c:pt>
                <c:pt idx="3">
                  <c:v>-118.08998891373528</c:v>
                </c:pt>
                <c:pt idx="4">
                  <c:v>-143.23099927661659</c:v>
                </c:pt>
                <c:pt idx="5">
                  <c:v>-160.06321548043388</c:v>
                </c:pt>
                <c:pt idx="6">
                  <c:v>-189.49644055022162</c:v>
                </c:pt>
                <c:pt idx="7">
                  <c:v>-233.55629278190409</c:v>
                </c:pt>
                <c:pt idx="8">
                  <c:v>-294.49041080273264</c:v>
                </c:pt>
                <c:pt idx="9">
                  <c:v>-446.03293507012694</c:v>
                </c:pt>
                <c:pt idx="10">
                  <c:v>-649.11333701799606</c:v>
                </c:pt>
                <c:pt idx="11">
                  <c:v>-937.9008584317304</c:v>
                </c:pt>
                <c:pt idx="12">
                  <c:v>-1160.539217416107</c:v>
                </c:pt>
                <c:pt idx="13">
                  <c:v>-1234.2004601199028</c:v>
                </c:pt>
                <c:pt idx="14">
                  <c:v>-1249.593743259308</c:v>
                </c:pt>
                <c:pt idx="15">
                  <c:v>-1155.1733018856658</c:v>
                </c:pt>
                <c:pt idx="16">
                  <c:v>-1100.2950691067147</c:v>
                </c:pt>
                <c:pt idx="17">
                  <c:v>-1207.8204150315808</c:v>
                </c:pt>
                <c:pt idx="18">
                  <c:v>-1290.2861369409109</c:v>
                </c:pt>
              </c:numCache>
            </c:numRef>
          </c:val>
        </c:ser>
        <c:ser>
          <c:idx val="0"/>
          <c:order val="3"/>
          <c:tx>
            <c:v>Net income</c:v>
          </c:tx>
          <c:spPr>
            <a:solidFill>
              <a:schemeClr val="bg2">
                <a:lumMod val="75000"/>
              </a:schemeClr>
            </a:solidFill>
            <a:ln w="25400">
              <a:noFill/>
            </a:ln>
          </c:spPr>
          <c:invertIfNegative val="0"/>
          <c:cat>
            <c:strRef>
              <c:f>'4qtr rolling BoP (BOM)'!$O$2:$AK$2</c:f>
              <c:strCache>
                <c:ptCount val="17"/>
                <c:pt idx="0">
                  <c:v>Q4-08</c:v>
                </c:pt>
                <c:pt idx="1">
                  <c:v>Q1-09</c:v>
                </c:pt>
                <c:pt idx="2">
                  <c:v>Q2-09</c:v>
                </c:pt>
                <c:pt idx="3">
                  <c:v>Q3-09</c:v>
                </c:pt>
                <c:pt idx="4">
                  <c:v>Q4-09</c:v>
                </c:pt>
                <c:pt idx="5">
                  <c:v>Q1-10</c:v>
                </c:pt>
                <c:pt idx="6">
                  <c:v>Q2-10</c:v>
                </c:pt>
                <c:pt idx="7">
                  <c:v>Q3-10</c:v>
                </c:pt>
                <c:pt idx="8">
                  <c:v>Q4-10</c:v>
                </c:pt>
                <c:pt idx="9">
                  <c:v>Q1-11</c:v>
                </c:pt>
                <c:pt idx="10">
                  <c:v>Q2-11</c:v>
                </c:pt>
                <c:pt idx="11">
                  <c:v>Q3-11</c:v>
                </c:pt>
                <c:pt idx="12">
                  <c:v>Q4-11</c:v>
                </c:pt>
                <c:pt idx="13">
                  <c:v>Q1-12</c:v>
                </c:pt>
                <c:pt idx="14">
                  <c:v>Q2-12</c:v>
                </c:pt>
                <c:pt idx="15">
                  <c:v>Q3-12</c:v>
                </c:pt>
                <c:pt idx="16">
                  <c:v>Q4-12</c:v>
                </c:pt>
              </c:strCache>
            </c:strRef>
          </c:cat>
          <c:val>
            <c:numRef>
              <c:f>'4qtr rolling BoP (BOM)'!$U$18:$AM$18</c:f>
              <c:numCache>
                <c:formatCode>0.0</c:formatCode>
                <c:ptCount val="19"/>
                <c:pt idx="0">
                  <c:v>-172.74693998109223</c:v>
                </c:pt>
                <c:pt idx="1">
                  <c:v>-136.90247450770681</c:v>
                </c:pt>
                <c:pt idx="2">
                  <c:v>-132.66910732285535</c:v>
                </c:pt>
                <c:pt idx="3">
                  <c:v>-150.40466725648463</c:v>
                </c:pt>
                <c:pt idx="4">
                  <c:v>-195.43296969014492</c:v>
                </c:pt>
                <c:pt idx="5">
                  <c:v>-232.01289339497683</c:v>
                </c:pt>
                <c:pt idx="6">
                  <c:v>-297.14261967834057</c:v>
                </c:pt>
                <c:pt idx="7">
                  <c:v>-319.44247248596071</c:v>
                </c:pt>
                <c:pt idx="8">
                  <c:v>-598.84791848871112</c:v>
                </c:pt>
                <c:pt idx="9">
                  <c:v>-655.17903224107408</c:v>
                </c:pt>
                <c:pt idx="10">
                  <c:v>-723.58215430925134</c:v>
                </c:pt>
                <c:pt idx="11">
                  <c:v>-822.85819752725502</c:v>
                </c:pt>
                <c:pt idx="12">
                  <c:v>-843.35308868738935</c:v>
                </c:pt>
                <c:pt idx="13">
                  <c:v>-899.49290018142437</c:v>
                </c:pt>
                <c:pt idx="14">
                  <c:v>-967.68408738799712</c:v>
                </c:pt>
                <c:pt idx="15">
                  <c:v>-1045.3945943844594</c:v>
                </c:pt>
                <c:pt idx="16">
                  <c:v>-948.09791971456309</c:v>
                </c:pt>
                <c:pt idx="17">
                  <c:v>-935.0609902993906</c:v>
                </c:pt>
                <c:pt idx="18">
                  <c:v>-960.56548438347738</c:v>
                </c:pt>
              </c:numCache>
            </c:numRef>
          </c:val>
        </c:ser>
        <c:ser>
          <c:idx val="4"/>
          <c:order val="4"/>
          <c:tx>
            <c:v>Current transfers</c:v>
          </c:tx>
          <c:invertIfNegative val="0"/>
          <c:cat>
            <c:strRef>
              <c:f>'4qtr rolling BoP (BOM)'!$O$2:$AK$2</c:f>
              <c:strCache>
                <c:ptCount val="17"/>
                <c:pt idx="0">
                  <c:v>Q4-08</c:v>
                </c:pt>
                <c:pt idx="1">
                  <c:v>Q1-09</c:v>
                </c:pt>
                <c:pt idx="2">
                  <c:v>Q2-09</c:v>
                </c:pt>
                <c:pt idx="3">
                  <c:v>Q3-09</c:v>
                </c:pt>
                <c:pt idx="4">
                  <c:v>Q4-09</c:v>
                </c:pt>
                <c:pt idx="5">
                  <c:v>Q1-10</c:v>
                </c:pt>
                <c:pt idx="6">
                  <c:v>Q2-10</c:v>
                </c:pt>
                <c:pt idx="7">
                  <c:v>Q3-10</c:v>
                </c:pt>
                <c:pt idx="8">
                  <c:v>Q4-10</c:v>
                </c:pt>
                <c:pt idx="9">
                  <c:v>Q1-11</c:v>
                </c:pt>
                <c:pt idx="10">
                  <c:v>Q2-11</c:v>
                </c:pt>
                <c:pt idx="11">
                  <c:v>Q3-11</c:v>
                </c:pt>
                <c:pt idx="12">
                  <c:v>Q4-11</c:v>
                </c:pt>
                <c:pt idx="13">
                  <c:v>Q1-12</c:v>
                </c:pt>
                <c:pt idx="14">
                  <c:v>Q2-12</c:v>
                </c:pt>
                <c:pt idx="15">
                  <c:v>Q3-12</c:v>
                </c:pt>
                <c:pt idx="16">
                  <c:v>Q4-12</c:v>
                </c:pt>
              </c:strCache>
            </c:strRef>
          </c:cat>
          <c:val>
            <c:numRef>
              <c:f>'4qtr rolling BoP (BOM)'!$U$19:$AM$19</c:f>
              <c:numCache>
                <c:formatCode>0.0</c:formatCode>
                <c:ptCount val="19"/>
                <c:pt idx="0">
                  <c:v>220.68382510903058</c:v>
                </c:pt>
                <c:pt idx="1">
                  <c:v>217.23066491818253</c:v>
                </c:pt>
                <c:pt idx="2">
                  <c:v>194.10914520180211</c:v>
                </c:pt>
                <c:pt idx="3">
                  <c:v>170.40583228930166</c:v>
                </c:pt>
                <c:pt idx="4">
                  <c:v>185.65592392388942</c:v>
                </c:pt>
                <c:pt idx="5">
                  <c:v>195.38296816277608</c:v>
                </c:pt>
                <c:pt idx="6">
                  <c:v>189.24158237829516</c:v>
                </c:pt>
                <c:pt idx="7">
                  <c:v>194.53635587308307</c:v>
                </c:pt>
                <c:pt idx="8">
                  <c:v>187.00026436209441</c:v>
                </c:pt>
                <c:pt idx="9">
                  <c:v>205.28708153475077</c:v>
                </c:pt>
                <c:pt idx="10">
                  <c:v>232.95705560356163</c:v>
                </c:pt>
                <c:pt idx="11">
                  <c:v>249.50604684674681</c:v>
                </c:pt>
                <c:pt idx="12">
                  <c:v>238.16128152742621</c:v>
                </c:pt>
                <c:pt idx="13">
                  <c:v>252.98451872113606</c:v>
                </c:pt>
                <c:pt idx="14">
                  <c:v>274.0823341977158</c:v>
                </c:pt>
                <c:pt idx="15">
                  <c:v>240.69125278954317</c:v>
                </c:pt>
                <c:pt idx="16">
                  <c:v>239.38882403030874</c:v>
                </c:pt>
                <c:pt idx="17">
                  <c:v>188.13574568165353</c:v>
                </c:pt>
                <c:pt idx="18">
                  <c:v>132.84165825875363</c:v>
                </c:pt>
              </c:numCache>
            </c:numRef>
          </c:val>
        </c:ser>
        <c:dLbls>
          <c:showLegendKey val="0"/>
          <c:showVal val="0"/>
          <c:showCatName val="0"/>
          <c:showSerName val="0"/>
          <c:showPercent val="0"/>
          <c:showBubbleSize val="0"/>
        </c:dLbls>
        <c:gapWidth val="75"/>
        <c:overlap val="100"/>
        <c:axId val="281492480"/>
        <c:axId val="281506560"/>
      </c:barChart>
      <c:lineChart>
        <c:grouping val="standard"/>
        <c:varyColors val="0"/>
        <c:ser>
          <c:idx val="2"/>
          <c:order val="0"/>
          <c:tx>
            <c:v>Current account balance</c:v>
          </c:tx>
          <c:spPr>
            <a:ln w="25400">
              <a:solidFill>
                <a:srgbClr val="000000"/>
              </a:solidFill>
              <a:prstDash val="solid"/>
            </a:ln>
          </c:spPr>
          <c:marker>
            <c:symbol val="none"/>
          </c:marker>
          <c:cat>
            <c:strRef>
              <c:f>'4qtr rolling BoP (BOM)'!$U$2:$AM$2</c:f>
              <c:strCache>
                <c:ptCount val="19"/>
                <c:pt idx="0">
                  <c:v>Q4-08</c:v>
                </c:pt>
                <c:pt idx="1">
                  <c:v>Q1-09</c:v>
                </c:pt>
                <c:pt idx="2">
                  <c:v>Q2-09</c:v>
                </c:pt>
                <c:pt idx="3">
                  <c:v>Q3-09</c:v>
                </c:pt>
                <c:pt idx="4">
                  <c:v>Q4-09</c:v>
                </c:pt>
                <c:pt idx="5">
                  <c:v>Q1-10</c:v>
                </c:pt>
                <c:pt idx="6">
                  <c:v>Q2-10</c:v>
                </c:pt>
                <c:pt idx="7">
                  <c:v>Q3-10</c:v>
                </c:pt>
                <c:pt idx="8">
                  <c:v>Q4-10</c:v>
                </c:pt>
                <c:pt idx="9">
                  <c:v>Q1-11</c:v>
                </c:pt>
                <c:pt idx="10">
                  <c:v>Q2-11</c:v>
                </c:pt>
                <c:pt idx="11">
                  <c:v>Q3-11</c:v>
                </c:pt>
                <c:pt idx="12">
                  <c:v>Q4-11</c:v>
                </c:pt>
                <c:pt idx="13">
                  <c:v>Q1-12</c:v>
                </c:pt>
                <c:pt idx="14">
                  <c:v>Q2-12</c:v>
                </c:pt>
                <c:pt idx="15">
                  <c:v>Q3-12</c:v>
                </c:pt>
                <c:pt idx="16">
                  <c:v>Q4-12</c:v>
                </c:pt>
                <c:pt idx="17">
                  <c:v>Q1-13</c:v>
                </c:pt>
                <c:pt idx="18">
                  <c:v>Q2-13</c:v>
                </c:pt>
              </c:strCache>
            </c:strRef>
          </c:cat>
          <c:val>
            <c:numRef>
              <c:f>'4qtr rolling BoP (BOM)'!$U$21:$AM$21</c:f>
              <c:numCache>
                <c:formatCode>0.0</c:formatCode>
                <c:ptCount val="19"/>
                <c:pt idx="0">
                  <c:v>-690.11223915909261</c:v>
                </c:pt>
                <c:pt idx="1">
                  <c:v>-718.45997398503289</c:v>
                </c:pt>
                <c:pt idx="2">
                  <c:v>-649.40266949286126</c:v>
                </c:pt>
                <c:pt idx="3">
                  <c:v>-494.59066463680068</c:v>
                </c:pt>
                <c:pt idx="4">
                  <c:v>-341.78322424284408</c:v>
                </c:pt>
                <c:pt idx="5">
                  <c:v>-395.25440448067866</c:v>
                </c:pt>
                <c:pt idx="6">
                  <c:v>-396.1216272728384</c:v>
                </c:pt>
                <c:pt idx="7">
                  <c:v>-523.61889588308281</c:v>
                </c:pt>
                <c:pt idx="8">
                  <c:v>-886.70514242935053</c:v>
                </c:pt>
                <c:pt idx="9">
                  <c:v>-1214.0409803625801</c:v>
                </c:pt>
                <c:pt idx="10">
                  <c:v>-1728.0121342236844</c:v>
                </c:pt>
                <c:pt idx="11">
                  <c:v>-2495.723631086239</c:v>
                </c:pt>
                <c:pt idx="12">
                  <c:v>-2758.6200578149401</c:v>
                </c:pt>
                <c:pt idx="13">
                  <c:v>-3060.5372203725055</c:v>
                </c:pt>
                <c:pt idx="14">
                  <c:v>-3161.6905220217941</c:v>
                </c:pt>
                <c:pt idx="15">
                  <c:v>-3391.4246270787853</c:v>
                </c:pt>
                <c:pt idx="16">
                  <c:v>-3362.3254448868415</c:v>
                </c:pt>
                <c:pt idx="17">
                  <c:v>-3359.1210839079413</c:v>
                </c:pt>
                <c:pt idx="18">
                  <c:v>-3679.5718776381782</c:v>
                </c:pt>
              </c:numCache>
            </c:numRef>
          </c:val>
          <c:smooth val="0"/>
        </c:ser>
        <c:dLbls>
          <c:showLegendKey val="0"/>
          <c:showVal val="0"/>
          <c:showCatName val="0"/>
          <c:showSerName val="0"/>
          <c:showPercent val="0"/>
          <c:showBubbleSize val="0"/>
        </c:dLbls>
        <c:marker val="1"/>
        <c:smooth val="0"/>
        <c:axId val="281492480"/>
        <c:axId val="281506560"/>
      </c:lineChart>
      <c:catAx>
        <c:axId val="281492480"/>
        <c:scaling>
          <c:orientation val="minMax"/>
        </c:scaling>
        <c:delete val="0"/>
        <c:axPos val="b"/>
        <c:numFmt formatCode="General" sourceLinked="1"/>
        <c:majorTickMark val="none"/>
        <c:minorTickMark val="none"/>
        <c:tickLblPos val="low"/>
        <c:spPr>
          <a:ln w="3175">
            <a:solidFill>
              <a:srgbClr val="000000"/>
            </a:solidFill>
            <a:prstDash val="solid"/>
          </a:ln>
        </c:spPr>
        <c:txPr>
          <a:bodyPr rot="0" vert="horz"/>
          <a:lstStyle/>
          <a:p>
            <a:pPr>
              <a:defRPr/>
            </a:pPr>
            <a:endParaRPr lang="en-US"/>
          </a:p>
        </c:txPr>
        <c:crossAx val="281506560"/>
        <c:crosses val="autoZero"/>
        <c:auto val="1"/>
        <c:lblAlgn val="ctr"/>
        <c:lblOffset val="400"/>
        <c:tickLblSkip val="2"/>
        <c:tickMarkSkip val="2"/>
        <c:noMultiLvlLbl val="0"/>
      </c:catAx>
      <c:valAx>
        <c:axId val="281506560"/>
        <c:scaling>
          <c:orientation val="minMax"/>
        </c:scaling>
        <c:delete val="0"/>
        <c:axPos val="l"/>
        <c:numFmt formatCode="0" sourceLinked="0"/>
        <c:majorTickMark val="none"/>
        <c:minorTickMark val="none"/>
        <c:tickLblPos val="nextTo"/>
        <c:spPr>
          <a:ln w="3175">
            <a:solidFill>
              <a:srgbClr val="000000"/>
            </a:solidFill>
          </a:ln>
        </c:spPr>
        <c:txPr>
          <a:bodyPr rot="0" vert="horz"/>
          <a:lstStyle/>
          <a:p>
            <a:pPr>
              <a:defRPr/>
            </a:pPr>
            <a:endParaRPr lang="en-US"/>
          </a:p>
        </c:txPr>
        <c:crossAx val="281492480"/>
        <c:crosses val="autoZero"/>
        <c:crossBetween val="between"/>
      </c:valAx>
      <c:spPr>
        <a:noFill/>
        <a:ln w="25400">
          <a:noFill/>
        </a:ln>
      </c:spPr>
    </c:plotArea>
    <c:legend>
      <c:legendPos val="b"/>
      <c:layout>
        <c:manualLayout>
          <c:xMode val="edge"/>
          <c:yMode val="edge"/>
          <c:x val="8.7492941760658291E-2"/>
          <c:y val="0.46876103745817677"/>
          <c:w val="0.531222245867914"/>
          <c:h val="0.33096223994365009"/>
        </c:manualLayout>
      </c:layout>
      <c:overlay val="0"/>
      <c:spPr>
        <a:noFill/>
        <a:ln w="25400">
          <a:noFill/>
        </a:ln>
      </c:spPr>
    </c:legend>
    <c:plotVisOnly val="1"/>
    <c:dispBlanksAs val="zero"/>
    <c:showDLblsOverMax val="0"/>
  </c:chart>
  <c:spPr>
    <a:solidFill>
      <a:srgbClr val="FFFFFF"/>
    </a:solidFill>
    <a:ln w="9525">
      <a:noFill/>
    </a:ln>
  </c:spPr>
  <c:txPr>
    <a:bodyPr/>
    <a:lstStyle/>
    <a:p>
      <a:pPr>
        <a:defRPr sz="600" b="0" i="0" u="none" strike="noStrike" baseline="0">
          <a:solidFill>
            <a:srgbClr val="000000"/>
          </a:solidFill>
          <a:latin typeface="+mn-lt"/>
          <a:ea typeface="Arial"/>
          <a:cs typeface="Arial"/>
        </a:defRPr>
      </a:pPr>
      <a:endParaRPr lang="en-US"/>
    </a:p>
  </c:txPr>
  <c:externalData r:id="rId1">
    <c:autoUpdate val="0"/>
  </c:externalData>
  <c:userShapes r:id="rId2"/>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975240594925636"/>
          <c:y val="6.5069040283008098E-2"/>
          <c:w val="0.85805314960629919"/>
          <c:h val="0.75316330023964351"/>
        </c:manualLayout>
      </c:layout>
      <c:barChart>
        <c:barDir val="col"/>
        <c:grouping val="clustered"/>
        <c:varyColors val="0"/>
        <c:ser>
          <c:idx val="2"/>
          <c:order val="2"/>
          <c:tx>
            <c:v>Net FDI Inflow (Left Axis)</c:v>
          </c:tx>
          <c:invertIfNegative val="0"/>
          <c:cat>
            <c:strRef>
              <c:f>'Raw BoP (BoM Analytic)quarterly'!$Z$2:$AM$2</c:f>
              <c:strCache>
                <c:ptCount val="14"/>
                <c:pt idx="0">
                  <c:v>Q1-10</c:v>
                </c:pt>
                <c:pt idx="1">
                  <c:v>Q2-10</c:v>
                </c:pt>
                <c:pt idx="2">
                  <c:v>Q3-10</c:v>
                </c:pt>
                <c:pt idx="3">
                  <c:v>Q4-10</c:v>
                </c:pt>
                <c:pt idx="4">
                  <c:v>Q1-11</c:v>
                </c:pt>
                <c:pt idx="5">
                  <c:v>Q2-11</c:v>
                </c:pt>
                <c:pt idx="6">
                  <c:v>Q3-11</c:v>
                </c:pt>
                <c:pt idx="7">
                  <c:v>Q4-11</c:v>
                </c:pt>
                <c:pt idx="8">
                  <c:v>Q1-12</c:v>
                </c:pt>
                <c:pt idx="9">
                  <c:v>Q2-12</c:v>
                </c:pt>
                <c:pt idx="10">
                  <c:v>Q3-12</c:v>
                </c:pt>
                <c:pt idx="11">
                  <c:v>Q4-12</c:v>
                </c:pt>
                <c:pt idx="12">
                  <c:v>Q1-13</c:v>
                </c:pt>
                <c:pt idx="13">
                  <c:v>Q2-13</c:v>
                </c:pt>
              </c:strCache>
            </c:strRef>
          </c:cat>
          <c:val>
            <c:numRef>
              <c:f>'Raw BoP (BoM Analytic)quarterly'!$Z$38:$AM$38</c:f>
              <c:numCache>
                <c:formatCode>0.0</c:formatCode>
                <c:ptCount val="14"/>
                <c:pt idx="0">
                  <c:v>194.18155122688978</c:v>
                </c:pt>
                <c:pt idx="1">
                  <c:v>426.46476698264894</c:v>
                </c:pt>
                <c:pt idx="2">
                  <c:v>440.96190462886585</c:v>
                </c:pt>
                <c:pt idx="3">
                  <c:v>568.08745638124242</c:v>
                </c:pt>
                <c:pt idx="4">
                  <c:v>1052.5728842163542</c:v>
                </c:pt>
                <c:pt idx="5">
                  <c:v>1349.8880214107235</c:v>
                </c:pt>
                <c:pt idx="6">
                  <c:v>1321.7823060177618</c:v>
                </c:pt>
                <c:pt idx="7">
                  <c:v>895.85733933009658</c:v>
                </c:pt>
                <c:pt idx="8">
                  <c:v>1263.2850112448659</c:v>
                </c:pt>
                <c:pt idx="9">
                  <c:v>1222.8158315569829</c:v>
                </c:pt>
                <c:pt idx="10">
                  <c:v>1298.529580888581</c:v>
                </c:pt>
                <c:pt idx="11">
                  <c:v>623.13702903851447</c:v>
                </c:pt>
                <c:pt idx="12">
                  <c:v>868.08423443216691</c:v>
                </c:pt>
                <c:pt idx="13">
                  <c:v>577.31552842486826</c:v>
                </c:pt>
              </c:numCache>
            </c:numRef>
          </c:val>
        </c:ser>
        <c:ser>
          <c:idx val="3"/>
          <c:order val="3"/>
          <c:tx>
            <c:v>Net Portfolio Inflow (Left Axis)</c:v>
          </c:tx>
          <c:invertIfNegative val="0"/>
          <c:cat>
            <c:strRef>
              <c:f>'Raw BoP (BoM Analytic)quarterly'!$Z$2:$AM$2</c:f>
              <c:strCache>
                <c:ptCount val="14"/>
                <c:pt idx="0">
                  <c:v>Q1-10</c:v>
                </c:pt>
                <c:pt idx="1">
                  <c:v>Q2-10</c:v>
                </c:pt>
                <c:pt idx="2">
                  <c:v>Q3-10</c:v>
                </c:pt>
                <c:pt idx="3">
                  <c:v>Q4-10</c:v>
                </c:pt>
                <c:pt idx="4">
                  <c:v>Q1-11</c:v>
                </c:pt>
                <c:pt idx="5">
                  <c:v>Q2-11</c:v>
                </c:pt>
                <c:pt idx="6">
                  <c:v>Q3-11</c:v>
                </c:pt>
                <c:pt idx="7">
                  <c:v>Q4-11</c:v>
                </c:pt>
                <c:pt idx="8">
                  <c:v>Q1-12</c:v>
                </c:pt>
                <c:pt idx="9">
                  <c:v>Q2-12</c:v>
                </c:pt>
                <c:pt idx="10">
                  <c:v>Q3-12</c:v>
                </c:pt>
                <c:pt idx="11">
                  <c:v>Q4-12</c:v>
                </c:pt>
                <c:pt idx="12">
                  <c:v>Q1-13</c:v>
                </c:pt>
                <c:pt idx="13">
                  <c:v>Q2-13</c:v>
                </c:pt>
              </c:strCache>
            </c:strRef>
          </c:cat>
          <c:val>
            <c:numRef>
              <c:f>'Raw BoP (BoM Analytic)quarterly'!$Z$39:$AM$39</c:f>
              <c:numCache>
                <c:formatCode>0.0</c:formatCode>
                <c:ptCount val="14"/>
                <c:pt idx="0">
                  <c:v>-76.596719596962913</c:v>
                </c:pt>
                <c:pt idx="1">
                  <c:v>-77.24551006145461</c:v>
                </c:pt>
                <c:pt idx="2">
                  <c:v>8.1909561524231052</c:v>
                </c:pt>
                <c:pt idx="3">
                  <c:v>1039.9197538239493</c:v>
                </c:pt>
                <c:pt idx="4">
                  <c:v>-17.954471630369738</c:v>
                </c:pt>
                <c:pt idx="5">
                  <c:v>-6.3264005286013365</c:v>
                </c:pt>
                <c:pt idx="6">
                  <c:v>9.8240294922074316</c:v>
                </c:pt>
                <c:pt idx="7">
                  <c:v>91.442556841718044</c:v>
                </c:pt>
                <c:pt idx="8">
                  <c:v>582.21741178154355</c:v>
                </c:pt>
                <c:pt idx="9">
                  <c:v>26.636311464565981</c:v>
                </c:pt>
                <c:pt idx="10">
                  <c:v>259.7313291719081</c:v>
                </c:pt>
                <c:pt idx="11">
                  <c:v>1456.831408248026</c:v>
                </c:pt>
                <c:pt idx="12">
                  <c:v>7.9626278907231534</c:v>
                </c:pt>
                <c:pt idx="13">
                  <c:v>-23.637797141844541</c:v>
                </c:pt>
              </c:numCache>
            </c:numRef>
          </c:val>
        </c:ser>
        <c:dLbls>
          <c:showLegendKey val="0"/>
          <c:showVal val="0"/>
          <c:showCatName val="0"/>
          <c:showSerName val="0"/>
          <c:showPercent val="0"/>
          <c:showBubbleSize val="0"/>
        </c:dLbls>
        <c:gapWidth val="150"/>
        <c:axId val="281540864"/>
        <c:axId val="281563136"/>
      </c:barChart>
      <c:lineChart>
        <c:grouping val="standard"/>
        <c:varyColors val="0"/>
        <c:ser>
          <c:idx val="1"/>
          <c:order val="1"/>
          <c:tx>
            <c:v>Capital/Financial Account Balance (Left Axis)</c:v>
          </c:tx>
          <c:spPr>
            <a:ln w="22225"/>
          </c:spPr>
          <c:marker>
            <c:symbol val="none"/>
          </c:marker>
          <c:cat>
            <c:strRef>
              <c:f>'Raw BoP (BoM Analytic)quarterly'!$Z$2:$AM$2</c:f>
              <c:strCache>
                <c:ptCount val="14"/>
                <c:pt idx="0">
                  <c:v>Q1-10</c:v>
                </c:pt>
                <c:pt idx="1">
                  <c:v>Q2-10</c:v>
                </c:pt>
                <c:pt idx="2">
                  <c:v>Q3-10</c:v>
                </c:pt>
                <c:pt idx="3">
                  <c:v>Q4-10</c:v>
                </c:pt>
                <c:pt idx="4">
                  <c:v>Q1-11</c:v>
                </c:pt>
                <c:pt idx="5">
                  <c:v>Q2-11</c:v>
                </c:pt>
                <c:pt idx="6">
                  <c:v>Q3-11</c:v>
                </c:pt>
                <c:pt idx="7">
                  <c:v>Q4-11</c:v>
                </c:pt>
                <c:pt idx="8">
                  <c:v>Q1-12</c:v>
                </c:pt>
                <c:pt idx="9">
                  <c:v>Q2-12</c:v>
                </c:pt>
                <c:pt idx="10">
                  <c:v>Q3-12</c:v>
                </c:pt>
                <c:pt idx="11">
                  <c:v>Q4-12</c:v>
                </c:pt>
                <c:pt idx="12">
                  <c:v>Q1-13</c:v>
                </c:pt>
                <c:pt idx="13">
                  <c:v>Q2-13</c:v>
                </c:pt>
              </c:strCache>
            </c:strRef>
          </c:cat>
          <c:val>
            <c:numRef>
              <c:f>'Raw BoP (BoM Analytic)quarterly'!$Z$35:$AM$35</c:f>
              <c:numCache>
                <c:formatCode>0.0</c:formatCode>
                <c:ptCount val="14"/>
                <c:pt idx="0">
                  <c:v>144.66610361303771</c:v>
                </c:pt>
                <c:pt idx="1">
                  <c:v>176.49184101121512</c:v>
                </c:pt>
                <c:pt idx="2">
                  <c:v>315.74284180946984</c:v>
                </c:pt>
                <c:pt idx="3">
                  <c:v>1106.8395048626351</c:v>
                </c:pt>
                <c:pt idx="4">
                  <c:v>545.50727444472557</c:v>
                </c:pt>
                <c:pt idx="5">
                  <c:v>973.69283858870654</c:v>
                </c:pt>
                <c:pt idx="6">
                  <c:v>715.63476349333143</c:v>
                </c:pt>
                <c:pt idx="7">
                  <c:v>629.3591912230554</c:v>
                </c:pt>
                <c:pt idx="8">
                  <c:v>1862.8894070139775</c:v>
                </c:pt>
                <c:pt idx="9">
                  <c:v>182.53167082791174</c:v>
                </c:pt>
                <c:pt idx="10">
                  <c:v>863.84376664707725</c:v>
                </c:pt>
                <c:pt idx="11">
                  <c:v>2020.2166563487965</c:v>
                </c:pt>
                <c:pt idx="12">
                  <c:v>475.26269647186336</c:v>
                </c:pt>
                <c:pt idx="13">
                  <c:v>437.60561115211385</c:v>
                </c:pt>
              </c:numCache>
            </c:numRef>
          </c:val>
          <c:smooth val="0"/>
        </c:ser>
        <c:dLbls>
          <c:showLegendKey val="0"/>
          <c:showVal val="0"/>
          <c:showCatName val="0"/>
          <c:showSerName val="0"/>
          <c:showPercent val="0"/>
          <c:showBubbleSize val="0"/>
        </c:dLbls>
        <c:marker val="1"/>
        <c:smooth val="0"/>
        <c:axId val="281540864"/>
        <c:axId val="281563136"/>
      </c:lineChart>
      <c:lineChart>
        <c:grouping val="standard"/>
        <c:varyColors val="0"/>
        <c:ser>
          <c:idx val="0"/>
          <c:order val="0"/>
          <c:tx>
            <c:v>Current Account Deficit (Right Axis)</c:v>
          </c:tx>
          <c:spPr>
            <a:ln w="22225">
              <a:prstDash val="sysDash"/>
            </a:ln>
          </c:spPr>
          <c:marker>
            <c:symbol val="none"/>
          </c:marker>
          <c:cat>
            <c:strRef>
              <c:f>'Raw BoP (BoM Analytic)quarterly'!$Z$2:$AM$2</c:f>
              <c:strCache>
                <c:ptCount val="14"/>
                <c:pt idx="0">
                  <c:v>Q1-10</c:v>
                </c:pt>
                <c:pt idx="1">
                  <c:v>Q2-10</c:v>
                </c:pt>
                <c:pt idx="2">
                  <c:v>Q3-10</c:v>
                </c:pt>
                <c:pt idx="3">
                  <c:v>Q4-10</c:v>
                </c:pt>
                <c:pt idx="4">
                  <c:v>Q1-11</c:v>
                </c:pt>
                <c:pt idx="5">
                  <c:v>Q2-11</c:v>
                </c:pt>
                <c:pt idx="6">
                  <c:v>Q3-11</c:v>
                </c:pt>
                <c:pt idx="7">
                  <c:v>Q4-11</c:v>
                </c:pt>
                <c:pt idx="8">
                  <c:v>Q1-12</c:v>
                </c:pt>
                <c:pt idx="9">
                  <c:v>Q2-12</c:v>
                </c:pt>
                <c:pt idx="10">
                  <c:v>Q3-12</c:v>
                </c:pt>
                <c:pt idx="11">
                  <c:v>Q4-12</c:v>
                </c:pt>
                <c:pt idx="12">
                  <c:v>Q1-13</c:v>
                </c:pt>
                <c:pt idx="13">
                  <c:v>Q2-13</c:v>
                </c:pt>
              </c:strCache>
            </c:strRef>
          </c:cat>
          <c:val>
            <c:numRef>
              <c:f>'Raw BoP (BoM Analytic)quarterly'!$Z$5:$AM$5</c:f>
              <c:numCache>
                <c:formatCode>0.0</c:formatCode>
                <c:ptCount val="14"/>
                <c:pt idx="0">
                  <c:v>-145.08445496470259</c:v>
                </c:pt>
                <c:pt idx="1">
                  <c:v>-61.808067791923094</c:v>
                </c:pt>
                <c:pt idx="2">
                  <c:v>-192.93970951957135</c:v>
                </c:pt>
                <c:pt idx="3">
                  <c:v>-486.87291015315287</c:v>
                </c:pt>
                <c:pt idx="4">
                  <c:v>-472.42029289793197</c:v>
                </c:pt>
                <c:pt idx="5">
                  <c:v>-575.77922165302834</c:v>
                </c:pt>
                <c:pt idx="6">
                  <c:v>-960.65120638212511</c:v>
                </c:pt>
                <c:pt idx="7">
                  <c:v>-749.76933688185341</c:v>
                </c:pt>
                <c:pt idx="8">
                  <c:v>-774.33745545549311</c:v>
                </c:pt>
                <c:pt idx="9">
                  <c:v>-676.93252330231917</c:v>
                </c:pt>
                <c:pt idx="10">
                  <c:v>-1190.3853114391172</c:v>
                </c:pt>
                <c:pt idx="11">
                  <c:v>-720.6701546899094</c:v>
                </c:pt>
                <c:pt idx="12">
                  <c:v>-771.13309447659515</c:v>
                </c:pt>
                <c:pt idx="13">
                  <c:v>-997.38331703255403</c:v>
                </c:pt>
              </c:numCache>
            </c:numRef>
          </c:val>
          <c:smooth val="0"/>
        </c:ser>
        <c:dLbls>
          <c:showLegendKey val="0"/>
          <c:showVal val="0"/>
          <c:showCatName val="0"/>
          <c:showSerName val="0"/>
          <c:showPercent val="0"/>
          <c:showBubbleSize val="0"/>
        </c:dLbls>
        <c:marker val="1"/>
        <c:smooth val="0"/>
        <c:axId val="281566208"/>
        <c:axId val="281564672"/>
      </c:lineChart>
      <c:catAx>
        <c:axId val="281540864"/>
        <c:scaling>
          <c:orientation val="minMax"/>
        </c:scaling>
        <c:delete val="0"/>
        <c:axPos val="b"/>
        <c:numFmt formatCode="General" sourceLinked="0"/>
        <c:majorTickMark val="out"/>
        <c:minorTickMark val="none"/>
        <c:tickLblPos val="nextTo"/>
        <c:txPr>
          <a:bodyPr/>
          <a:lstStyle/>
          <a:p>
            <a:pPr>
              <a:defRPr sz="600"/>
            </a:pPr>
            <a:endParaRPr lang="en-US"/>
          </a:p>
        </c:txPr>
        <c:crossAx val="281563136"/>
        <c:crosses val="autoZero"/>
        <c:auto val="1"/>
        <c:lblAlgn val="ctr"/>
        <c:lblOffset val="100"/>
        <c:noMultiLvlLbl val="0"/>
      </c:catAx>
      <c:valAx>
        <c:axId val="281563136"/>
        <c:scaling>
          <c:orientation val="minMax"/>
          <c:min val="0"/>
        </c:scaling>
        <c:delete val="0"/>
        <c:axPos val="l"/>
        <c:majorGridlines>
          <c:spPr>
            <a:ln>
              <a:noFill/>
            </a:ln>
          </c:spPr>
        </c:majorGridlines>
        <c:numFmt formatCode="0" sourceLinked="0"/>
        <c:majorTickMark val="out"/>
        <c:minorTickMark val="none"/>
        <c:tickLblPos val="nextTo"/>
        <c:txPr>
          <a:bodyPr/>
          <a:lstStyle/>
          <a:p>
            <a:pPr>
              <a:defRPr sz="700"/>
            </a:pPr>
            <a:endParaRPr lang="en-US"/>
          </a:p>
        </c:txPr>
        <c:crossAx val="281540864"/>
        <c:crosses val="autoZero"/>
        <c:crossBetween val="between"/>
      </c:valAx>
      <c:valAx>
        <c:axId val="281564672"/>
        <c:scaling>
          <c:orientation val="maxMin"/>
          <c:min val="-2500"/>
        </c:scaling>
        <c:delete val="0"/>
        <c:axPos val="r"/>
        <c:numFmt formatCode="0" sourceLinked="0"/>
        <c:majorTickMark val="out"/>
        <c:minorTickMark val="none"/>
        <c:tickLblPos val="nextTo"/>
        <c:txPr>
          <a:bodyPr/>
          <a:lstStyle/>
          <a:p>
            <a:pPr>
              <a:defRPr sz="700">
                <a:solidFill>
                  <a:sysClr val="windowText" lastClr="000000"/>
                </a:solidFill>
              </a:defRPr>
            </a:pPr>
            <a:endParaRPr lang="en-US"/>
          </a:p>
        </c:txPr>
        <c:crossAx val="281566208"/>
        <c:crosses val="max"/>
        <c:crossBetween val="between"/>
      </c:valAx>
      <c:catAx>
        <c:axId val="281566208"/>
        <c:scaling>
          <c:orientation val="minMax"/>
        </c:scaling>
        <c:delete val="1"/>
        <c:axPos val="t"/>
        <c:numFmt formatCode="General" sourceLinked="1"/>
        <c:majorTickMark val="out"/>
        <c:minorTickMark val="none"/>
        <c:tickLblPos val="nextTo"/>
        <c:crossAx val="281564672"/>
        <c:crosses val="autoZero"/>
        <c:auto val="1"/>
        <c:lblAlgn val="ctr"/>
        <c:lblOffset val="100"/>
        <c:noMultiLvlLbl val="0"/>
      </c:catAx>
    </c:plotArea>
    <c:legend>
      <c:legendPos val="r"/>
      <c:layout>
        <c:manualLayout>
          <c:xMode val="edge"/>
          <c:yMode val="edge"/>
          <c:x val="8.6090274899848052E-2"/>
          <c:y val="6.4391190231655834E-2"/>
          <c:w val="0.46725178460972633"/>
          <c:h val="0.352734139939825"/>
        </c:manualLayout>
      </c:layout>
      <c:overlay val="0"/>
    </c:legend>
    <c:plotVisOnly val="1"/>
    <c:dispBlanksAs val="gap"/>
    <c:showDLblsOverMax val="0"/>
  </c:chart>
  <c:spPr>
    <a:ln>
      <a:noFill/>
    </a:ln>
  </c:spPr>
  <c:txPr>
    <a:bodyPr/>
    <a:lstStyle/>
    <a:p>
      <a:pPr>
        <a:defRPr sz="700"/>
      </a:pPr>
      <a:endParaRPr lang="en-US"/>
    </a:p>
  </c:txPr>
  <c:externalData r:id="rId1">
    <c:autoUpdate val="0"/>
  </c:externalData>
  <c:userShapes r:id="rId2"/>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35811968926098"/>
          <c:y val="5.1416576210249434E-2"/>
          <c:w val="0.85439938757655365"/>
          <c:h val="0.77398413287141354"/>
        </c:manualLayout>
      </c:layout>
      <c:areaChart>
        <c:grouping val="standard"/>
        <c:varyColors val="0"/>
        <c:ser>
          <c:idx val="1"/>
          <c:order val="1"/>
          <c:tx>
            <c:v>Gross Internatinal Reserve (millions USD, Left Axis)</c:v>
          </c:tx>
          <c:spPr>
            <a:solidFill>
              <a:srgbClr val="92D050"/>
            </a:solidFill>
          </c:spPr>
          <c:cat>
            <c:numRef>
              <c:f>'Mnth BoM data'!$FZ$1:$HQ$1</c:f>
              <c:numCache>
                <c:formatCode>mmm\-yy</c:formatCode>
                <c:ptCount val="44"/>
                <c:pt idx="0">
                  <c:v>40179</c:v>
                </c:pt>
                <c:pt idx="1">
                  <c:v>40210</c:v>
                </c:pt>
                <c:pt idx="2">
                  <c:v>40238</c:v>
                </c:pt>
                <c:pt idx="3">
                  <c:v>40269</c:v>
                </c:pt>
                <c:pt idx="4">
                  <c:v>40299</c:v>
                </c:pt>
                <c:pt idx="5">
                  <c:v>40330</c:v>
                </c:pt>
                <c:pt idx="6">
                  <c:v>40360</c:v>
                </c:pt>
                <c:pt idx="7">
                  <c:v>40391</c:v>
                </c:pt>
                <c:pt idx="8">
                  <c:v>40422</c:v>
                </c:pt>
                <c:pt idx="9">
                  <c:v>40452</c:v>
                </c:pt>
                <c:pt idx="10">
                  <c:v>40483</c:v>
                </c:pt>
                <c:pt idx="11">
                  <c:v>40513</c:v>
                </c:pt>
                <c:pt idx="12">
                  <c:v>40544</c:v>
                </c:pt>
                <c:pt idx="13">
                  <c:v>40575</c:v>
                </c:pt>
                <c:pt idx="14">
                  <c:v>40603</c:v>
                </c:pt>
                <c:pt idx="15">
                  <c:v>40634</c:v>
                </c:pt>
                <c:pt idx="16">
                  <c:v>40664</c:v>
                </c:pt>
                <c:pt idx="17">
                  <c:v>40695</c:v>
                </c:pt>
                <c:pt idx="18">
                  <c:v>40725</c:v>
                </c:pt>
                <c:pt idx="19">
                  <c:v>40756</c:v>
                </c:pt>
                <c:pt idx="20">
                  <c:v>40787</c:v>
                </c:pt>
                <c:pt idx="21">
                  <c:v>40817</c:v>
                </c:pt>
                <c:pt idx="22">
                  <c:v>40848</c:v>
                </c:pt>
                <c:pt idx="23">
                  <c:v>40878</c:v>
                </c:pt>
                <c:pt idx="24">
                  <c:v>40909</c:v>
                </c:pt>
                <c:pt idx="25">
                  <c:v>40940</c:v>
                </c:pt>
                <c:pt idx="26">
                  <c:v>40969</c:v>
                </c:pt>
                <c:pt idx="27">
                  <c:v>41000</c:v>
                </c:pt>
                <c:pt idx="28">
                  <c:v>41030</c:v>
                </c:pt>
                <c:pt idx="29">
                  <c:v>41061</c:v>
                </c:pt>
                <c:pt idx="30">
                  <c:v>41091</c:v>
                </c:pt>
                <c:pt idx="31">
                  <c:v>41122</c:v>
                </c:pt>
                <c:pt idx="32">
                  <c:v>41153</c:v>
                </c:pt>
                <c:pt idx="33">
                  <c:v>41183</c:v>
                </c:pt>
                <c:pt idx="34">
                  <c:v>41214</c:v>
                </c:pt>
                <c:pt idx="35">
                  <c:v>41244</c:v>
                </c:pt>
                <c:pt idx="36">
                  <c:v>41275</c:v>
                </c:pt>
                <c:pt idx="37">
                  <c:v>41306</c:v>
                </c:pt>
                <c:pt idx="38">
                  <c:v>41334</c:v>
                </c:pt>
                <c:pt idx="39">
                  <c:v>41365</c:v>
                </c:pt>
                <c:pt idx="40">
                  <c:v>41395</c:v>
                </c:pt>
                <c:pt idx="41">
                  <c:v>41426</c:v>
                </c:pt>
                <c:pt idx="42">
                  <c:v>41456</c:v>
                </c:pt>
                <c:pt idx="43">
                  <c:v>41487</c:v>
                </c:pt>
              </c:numCache>
            </c:numRef>
          </c:cat>
          <c:val>
            <c:numRef>
              <c:f>'net reserves'!$B$134:$B$178</c:f>
              <c:numCache>
                <c:formatCode>#,##0.00</c:formatCode>
                <c:ptCount val="45"/>
                <c:pt idx="0">
                  <c:v>1302.4633099999999</c:v>
                </c:pt>
                <c:pt idx="1">
                  <c:v>1270.9241999999999</c:v>
                </c:pt>
                <c:pt idx="2">
                  <c:v>1304.7697700000001</c:v>
                </c:pt>
                <c:pt idx="3">
                  <c:v>1406.9630199999999</c:v>
                </c:pt>
                <c:pt idx="4">
                  <c:v>1384.4966100000001</c:v>
                </c:pt>
                <c:pt idx="5">
                  <c:v>1421.49532</c:v>
                </c:pt>
                <c:pt idx="6">
                  <c:v>1475.5937999999999</c:v>
                </c:pt>
                <c:pt idx="7">
                  <c:v>1608.6494099999998</c:v>
                </c:pt>
                <c:pt idx="8">
                  <c:v>1659.0532499999986</c:v>
                </c:pt>
                <c:pt idx="9">
                  <c:v>1847.49116</c:v>
                </c:pt>
                <c:pt idx="10">
                  <c:v>1888.31645</c:v>
                </c:pt>
                <c:pt idx="11">
                  <c:v>2287.9511000000039</c:v>
                </c:pt>
                <c:pt idx="12">
                  <c:v>2329.1013400000002</c:v>
                </c:pt>
                <c:pt idx="13">
                  <c:v>2319.3624500000005</c:v>
                </c:pt>
                <c:pt idx="14">
                  <c:v>2343.5052999999998</c:v>
                </c:pt>
                <c:pt idx="15">
                  <c:v>2328.3578200000002</c:v>
                </c:pt>
                <c:pt idx="16">
                  <c:v>2414.46281</c:v>
                </c:pt>
                <c:pt idx="17">
                  <c:v>2541.6228399999973</c:v>
                </c:pt>
                <c:pt idx="18">
                  <c:v>2664.1452799999997</c:v>
                </c:pt>
                <c:pt idx="19">
                  <c:v>2616.8379000000027</c:v>
                </c:pt>
                <c:pt idx="20">
                  <c:v>2606.0138999999999</c:v>
                </c:pt>
                <c:pt idx="21">
                  <c:v>2638.48936</c:v>
                </c:pt>
                <c:pt idx="22">
                  <c:v>2487.4283699999987</c:v>
                </c:pt>
                <c:pt idx="23">
                  <c:v>2450.5914157000002</c:v>
                </c:pt>
                <c:pt idx="24">
                  <c:v>2380.9021243999996</c:v>
                </c:pt>
                <c:pt idx="25">
                  <c:v>2465.1953621000002</c:v>
                </c:pt>
                <c:pt idx="26">
                  <c:v>2904.617130200003</c:v>
                </c:pt>
                <c:pt idx="27">
                  <c:v>2922.741806</c:v>
                </c:pt>
                <c:pt idx="28">
                  <c:v>2874.7147261099999</c:v>
                </c:pt>
                <c:pt idx="29">
                  <c:v>2908.1638599999997</c:v>
                </c:pt>
                <c:pt idx="30">
                  <c:v>2800.7564499999967</c:v>
                </c:pt>
                <c:pt idx="31">
                  <c:v>2749.59636</c:v>
                </c:pt>
                <c:pt idx="32">
                  <c:v>2903.7584299999967</c:v>
                </c:pt>
                <c:pt idx="33">
                  <c:v>2676.8048599999997</c:v>
                </c:pt>
                <c:pt idx="34">
                  <c:v>2675.1016600000003</c:v>
                </c:pt>
                <c:pt idx="35">
                  <c:v>4125.8068200000034</c:v>
                </c:pt>
                <c:pt idx="36">
                  <c:v>4080.9073599999992</c:v>
                </c:pt>
                <c:pt idx="37">
                  <c:v>4011.7722100000001</c:v>
                </c:pt>
                <c:pt idx="38">
                  <c:v>3796.568267402919</c:v>
                </c:pt>
                <c:pt idx="39">
                  <c:v>3512.3383700000022</c:v>
                </c:pt>
                <c:pt idx="40">
                  <c:v>3387.6911500000024</c:v>
                </c:pt>
                <c:pt idx="41">
                  <c:v>3107.4729299999999</c:v>
                </c:pt>
                <c:pt idx="42">
                  <c:v>3012.6998599999997</c:v>
                </c:pt>
                <c:pt idx="43">
                  <c:v>2725.4575800000002</c:v>
                </c:pt>
                <c:pt idx="44">
                  <c:v>2679.6317100000028</c:v>
                </c:pt>
              </c:numCache>
            </c:numRef>
          </c:val>
        </c:ser>
        <c:dLbls>
          <c:showLegendKey val="0"/>
          <c:showVal val="0"/>
          <c:showCatName val="0"/>
          <c:showSerName val="0"/>
          <c:showPercent val="0"/>
          <c:showBubbleSize val="0"/>
        </c:dLbls>
        <c:axId val="281595264"/>
        <c:axId val="281597056"/>
      </c:areaChart>
      <c:lineChart>
        <c:grouping val="standard"/>
        <c:varyColors val="0"/>
        <c:ser>
          <c:idx val="0"/>
          <c:order val="0"/>
          <c:tx>
            <c:v>Exchange Rate (MNT/USD, Right Axis)</c:v>
          </c:tx>
          <c:spPr>
            <a:ln w="22225">
              <a:prstDash val="sysDash"/>
            </a:ln>
          </c:spPr>
          <c:marker>
            <c:symbol val="none"/>
          </c:marker>
          <c:cat>
            <c:numRef>
              <c:f>'Mnth BoM data'!$FZ$1:$HR$1</c:f>
              <c:numCache>
                <c:formatCode>mmm\-yy</c:formatCode>
                <c:ptCount val="45"/>
                <c:pt idx="0">
                  <c:v>40179</c:v>
                </c:pt>
                <c:pt idx="1">
                  <c:v>40210</c:v>
                </c:pt>
                <c:pt idx="2">
                  <c:v>40238</c:v>
                </c:pt>
                <c:pt idx="3">
                  <c:v>40269</c:v>
                </c:pt>
                <c:pt idx="4">
                  <c:v>40299</c:v>
                </c:pt>
                <c:pt idx="5">
                  <c:v>40330</c:v>
                </c:pt>
                <c:pt idx="6">
                  <c:v>40360</c:v>
                </c:pt>
                <c:pt idx="7">
                  <c:v>40391</c:v>
                </c:pt>
                <c:pt idx="8">
                  <c:v>40422</c:v>
                </c:pt>
                <c:pt idx="9">
                  <c:v>40452</c:v>
                </c:pt>
                <c:pt idx="10">
                  <c:v>40483</c:v>
                </c:pt>
                <c:pt idx="11">
                  <c:v>40513</c:v>
                </c:pt>
                <c:pt idx="12">
                  <c:v>40544</c:v>
                </c:pt>
                <c:pt idx="13">
                  <c:v>40575</c:v>
                </c:pt>
                <c:pt idx="14">
                  <c:v>40603</c:v>
                </c:pt>
                <c:pt idx="15">
                  <c:v>40634</c:v>
                </c:pt>
                <c:pt idx="16">
                  <c:v>40664</c:v>
                </c:pt>
                <c:pt idx="17">
                  <c:v>40695</c:v>
                </c:pt>
                <c:pt idx="18">
                  <c:v>40725</c:v>
                </c:pt>
                <c:pt idx="19">
                  <c:v>40756</c:v>
                </c:pt>
                <c:pt idx="20">
                  <c:v>40787</c:v>
                </c:pt>
                <c:pt idx="21">
                  <c:v>40817</c:v>
                </c:pt>
                <c:pt idx="22">
                  <c:v>40848</c:v>
                </c:pt>
                <c:pt idx="23">
                  <c:v>40878</c:v>
                </c:pt>
                <c:pt idx="24">
                  <c:v>40909</c:v>
                </c:pt>
                <c:pt idx="25">
                  <c:v>40940</c:v>
                </c:pt>
                <c:pt idx="26">
                  <c:v>40969</c:v>
                </c:pt>
                <c:pt idx="27">
                  <c:v>41000</c:v>
                </c:pt>
                <c:pt idx="28">
                  <c:v>41030</c:v>
                </c:pt>
                <c:pt idx="29">
                  <c:v>41061</c:v>
                </c:pt>
                <c:pt idx="30">
                  <c:v>41091</c:v>
                </c:pt>
                <c:pt idx="31">
                  <c:v>41122</c:v>
                </c:pt>
                <c:pt idx="32">
                  <c:v>41153</c:v>
                </c:pt>
                <c:pt idx="33">
                  <c:v>41183</c:v>
                </c:pt>
                <c:pt idx="34">
                  <c:v>41214</c:v>
                </c:pt>
                <c:pt idx="35">
                  <c:v>41244</c:v>
                </c:pt>
                <c:pt idx="36">
                  <c:v>41275</c:v>
                </c:pt>
                <c:pt idx="37">
                  <c:v>41306</c:v>
                </c:pt>
                <c:pt idx="38">
                  <c:v>41334</c:v>
                </c:pt>
                <c:pt idx="39">
                  <c:v>41365</c:v>
                </c:pt>
                <c:pt idx="40">
                  <c:v>41395</c:v>
                </c:pt>
                <c:pt idx="41">
                  <c:v>41426</c:v>
                </c:pt>
                <c:pt idx="42">
                  <c:v>41456</c:v>
                </c:pt>
                <c:pt idx="43">
                  <c:v>41487</c:v>
                </c:pt>
                <c:pt idx="44">
                  <c:v>41518</c:v>
                </c:pt>
              </c:numCache>
            </c:numRef>
          </c:cat>
          <c:val>
            <c:numRef>
              <c:f>'BoM mnth exch rate'!$C$149:$C$193</c:f>
              <c:numCache>
                <c:formatCode>0.0</c:formatCode>
                <c:ptCount val="45"/>
                <c:pt idx="0">
                  <c:v>1455.7</c:v>
                </c:pt>
                <c:pt idx="1">
                  <c:v>1449.82</c:v>
                </c:pt>
                <c:pt idx="2">
                  <c:v>1367.1</c:v>
                </c:pt>
                <c:pt idx="3">
                  <c:v>1372.46</c:v>
                </c:pt>
                <c:pt idx="4">
                  <c:v>1384.85</c:v>
                </c:pt>
                <c:pt idx="5">
                  <c:v>1368.6499999999999</c:v>
                </c:pt>
                <c:pt idx="6">
                  <c:v>1353.49</c:v>
                </c:pt>
                <c:pt idx="7" formatCode="#,##0.0">
                  <c:v>1301.8</c:v>
                </c:pt>
                <c:pt idx="8">
                  <c:v>1325.59</c:v>
                </c:pt>
                <c:pt idx="9">
                  <c:v>1283.3799999999999</c:v>
                </c:pt>
                <c:pt idx="10">
                  <c:v>1246.6899999999998</c:v>
                </c:pt>
                <c:pt idx="11">
                  <c:v>1256.47</c:v>
                </c:pt>
                <c:pt idx="12">
                  <c:v>1245.46</c:v>
                </c:pt>
                <c:pt idx="13">
                  <c:v>1254.51</c:v>
                </c:pt>
                <c:pt idx="14">
                  <c:v>1195.27</c:v>
                </c:pt>
                <c:pt idx="15">
                  <c:v>1258.47</c:v>
                </c:pt>
                <c:pt idx="16">
                  <c:v>1245.3499999999999</c:v>
                </c:pt>
                <c:pt idx="17">
                  <c:v>1258.6399999999999</c:v>
                </c:pt>
                <c:pt idx="18" formatCode="#,##0.0">
                  <c:v>1251.25</c:v>
                </c:pt>
                <c:pt idx="19" formatCode="#,##0.0">
                  <c:v>1248.6699999999998</c:v>
                </c:pt>
                <c:pt idx="20" formatCode="#,##0.0">
                  <c:v>1285.6399999999999</c:v>
                </c:pt>
                <c:pt idx="21" formatCode="#,##0.0">
                  <c:v>1297.6699999999998</c:v>
                </c:pt>
                <c:pt idx="22" formatCode="#,##0.0">
                  <c:v>1340.9</c:v>
                </c:pt>
                <c:pt idx="23" formatCode="#,##0.0">
                  <c:v>1396.37</c:v>
                </c:pt>
                <c:pt idx="24" formatCode="#,##0.0">
                  <c:v>1366.3</c:v>
                </c:pt>
                <c:pt idx="25" formatCode="#,##0.0">
                  <c:v>1340.1899999999998</c:v>
                </c:pt>
                <c:pt idx="26" formatCode="#,##0.0">
                  <c:v>1318.8</c:v>
                </c:pt>
                <c:pt idx="27" formatCode="#,##0.0">
                  <c:v>1316.11</c:v>
                </c:pt>
                <c:pt idx="28" formatCode="#,##0.0">
                  <c:v>1316</c:v>
                </c:pt>
                <c:pt idx="29">
                  <c:v>1342.23</c:v>
                </c:pt>
                <c:pt idx="30">
                  <c:v>1349.1</c:v>
                </c:pt>
                <c:pt idx="31">
                  <c:v>1381.99</c:v>
                </c:pt>
                <c:pt idx="32" formatCode="#,##0.0">
                  <c:v>1394.47</c:v>
                </c:pt>
                <c:pt idx="33" formatCode="#,##0.0">
                  <c:v>1397.28</c:v>
                </c:pt>
                <c:pt idx="34" formatCode="#,##0.0">
                  <c:v>1397.28</c:v>
                </c:pt>
                <c:pt idx="35">
                  <c:v>1392.1</c:v>
                </c:pt>
                <c:pt idx="36">
                  <c:v>1392.56</c:v>
                </c:pt>
                <c:pt idx="37">
                  <c:v>1402.1499999999999</c:v>
                </c:pt>
                <c:pt idx="38">
                  <c:v>1410.32</c:v>
                </c:pt>
                <c:pt idx="39">
                  <c:v>1436.12</c:v>
                </c:pt>
                <c:pt idx="40">
                  <c:v>1442.2</c:v>
                </c:pt>
                <c:pt idx="41">
                  <c:v>1446.1699999999998</c:v>
                </c:pt>
                <c:pt idx="42">
                  <c:v>1499.6</c:v>
                </c:pt>
                <c:pt idx="43">
                  <c:v>1616.98</c:v>
                </c:pt>
                <c:pt idx="44">
                  <c:v>1646.48</c:v>
                </c:pt>
              </c:numCache>
            </c:numRef>
          </c:val>
          <c:smooth val="0"/>
        </c:ser>
        <c:dLbls>
          <c:showLegendKey val="0"/>
          <c:showVal val="0"/>
          <c:showCatName val="0"/>
          <c:showSerName val="0"/>
          <c:showPercent val="0"/>
          <c:showBubbleSize val="0"/>
        </c:dLbls>
        <c:marker val="1"/>
        <c:smooth val="0"/>
        <c:axId val="281604480"/>
        <c:axId val="281598592"/>
      </c:lineChart>
      <c:dateAx>
        <c:axId val="281595264"/>
        <c:scaling>
          <c:orientation val="minMax"/>
          <c:max val="41518"/>
          <c:min val="40483"/>
        </c:scaling>
        <c:delete val="0"/>
        <c:axPos val="b"/>
        <c:numFmt formatCode="mmm\-yy" sourceLinked="1"/>
        <c:majorTickMark val="out"/>
        <c:minorTickMark val="none"/>
        <c:tickLblPos val="nextTo"/>
        <c:crossAx val="281597056"/>
        <c:crosses val="autoZero"/>
        <c:auto val="1"/>
        <c:lblOffset val="100"/>
        <c:baseTimeUnit val="months"/>
      </c:dateAx>
      <c:valAx>
        <c:axId val="281597056"/>
        <c:scaling>
          <c:orientation val="minMax"/>
          <c:max val="4500"/>
          <c:min val="1000"/>
        </c:scaling>
        <c:delete val="0"/>
        <c:axPos val="l"/>
        <c:majorGridlines>
          <c:spPr>
            <a:ln>
              <a:noFill/>
            </a:ln>
          </c:spPr>
        </c:majorGridlines>
        <c:numFmt formatCode="#,##0" sourceLinked="0"/>
        <c:majorTickMark val="out"/>
        <c:minorTickMark val="none"/>
        <c:tickLblPos val="nextTo"/>
        <c:crossAx val="281595264"/>
        <c:crosses val="autoZero"/>
        <c:crossBetween val="between"/>
      </c:valAx>
      <c:valAx>
        <c:axId val="281598592"/>
        <c:scaling>
          <c:orientation val="minMax"/>
          <c:min val="1100"/>
        </c:scaling>
        <c:delete val="0"/>
        <c:axPos val="r"/>
        <c:numFmt formatCode="0" sourceLinked="0"/>
        <c:majorTickMark val="out"/>
        <c:minorTickMark val="none"/>
        <c:tickLblPos val="nextTo"/>
        <c:crossAx val="281604480"/>
        <c:crosses val="max"/>
        <c:crossBetween val="between"/>
      </c:valAx>
      <c:dateAx>
        <c:axId val="281604480"/>
        <c:scaling>
          <c:orientation val="minMax"/>
        </c:scaling>
        <c:delete val="1"/>
        <c:axPos val="b"/>
        <c:numFmt formatCode="mmm\-yy" sourceLinked="1"/>
        <c:majorTickMark val="out"/>
        <c:minorTickMark val="none"/>
        <c:tickLblPos val="nextTo"/>
        <c:crossAx val="281598592"/>
        <c:crosses val="autoZero"/>
        <c:auto val="1"/>
        <c:lblOffset val="100"/>
        <c:baseTimeUnit val="months"/>
      </c:dateAx>
    </c:plotArea>
    <c:legend>
      <c:legendPos val="r"/>
      <c:layout>
        <c:manualLayout>
          <c:xMode val="edge"/>
          <c:yMode val="edge"/>
          <c:x val="0.13562420280921311"/>
          <c:y val="5.1859956236323862E-2"/>
          <c:w val="0.48679265091863516"/>
          <c:h val="0.31202539567345788"/>
        </c:manualLayout>
      </c:layout>
      <c:overlay val="0"/>
    </c:legend>
    <c:plotVisOnly val="1"/>
    <c:dispBlanksAs val="gap"/>
    <c:showDLblsOverMax val="0"/>
  </c:chart>
  <c:spPr>
    <a:ln>
      <a:noFill/>
    </a:ln>
  </c:spPr>
  <c:txPr>
    <a:bodyPr/>
    <a:lstStyle/>
    <a:p>
      <a:pPr>
        <a:defRPr sz="600"/>
      </a:pPr>
      <a:endParaRPr lang="en-US"/>
    </a:p>
  </c:txPr>
  <c:externalData r:id="rId1">
    <c:autoUpdate val="0"/>
  </c:externalData>
  <c:userShapes r:id="rId2"/>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1058280177885772E-2"/>
          <c:y val="0.19322834645669307"/>
          <c:w val="0.50379152160876062"/>
          <c:h val="0.71939721517861188"/>
        </c:manualLayout>
      </c:layout>
      <c:pieChart>
        <c:varyColors val="1"/>
        <c:ser>
          <c:idx val="0"/>
          <c:order val="0"/>
          <c:dPt>
            <c:idx val="0"/>
            <c:bubble3D val="0"/>
            <c:explosion val="15"/>
          </c:dPt>
          <c:dLbls>
            <c:dLbl>
              <c:idx val="5"/>
              <c:layout>
                <c:manualLayout>
                  <c:x val="7.0850876578113189E-2"/>
                  <c:y val="2.6611504070465815E-3"/>
                </c:manualLayout>
              </c:layout>
              <c:showLegendKey val="0"/>
              <c:showVal val="1"/>
              <c:showCatName val="0"/>
              <c:showSerName val="0"/>
              <c:showPercent val="0"/>
              <c:showBubbleSize val="0"/>
              <c:extLst>
                <c:ext xmlns:c15="http://schemas.microsoft.com/office/drawing/2012/chart" uri="{CE6537A1-D6FC-4f65-9D91-7224C49458BB}">
                  <c15:layout/>
                </c:ext>
              </c:extLst>
            </c:dLbl>
            <c:numFmt formatCode="#,##0" sourceLinked="0"/>
            <c:spPr>
              <a:noFill/>
              <a:ln>
                <a:noFill/>
              </a:ln>
              <a:effectLst/>
            </c:spPr>
            <c:txPr>
              <a:bodyPr/>
              <a:lstStyle/>
              <a:p>
                <a:pPr>
                  <a:defRPr sz="800"/>
                </a:pPr>
                <a:endParaRPr lang="en-US"/>
              </a:p>
            </c:txPr>
            <c:showLegendKey val="0"/>
            <c:showVal val="1"/>
            <c:showCatName val="0"/>
            <c:showSerName val="0"/>
            <c:showPercent val="0"/>
            <c:showBubbleSize val="0"/>
            <c:showLeaderLines val="1"/>
            <c:extLst>
              <c:ext xmlns:c15="http://schemas.microsoft.com/office/drawing/2012/chart" uri="{CE6537A1-D6FC-4f65-9D91-7224C49458BB}">
                <c15:layout/>
              </c:ext>
            </c:extLst>
          </c:dLbls>
          <c:cat>
            <c:strRef>
              <c:f>('App 2'!$A$93,'App 2'!$A$100,'App 2'!$A$121,'App 2'!$A$128,'App 2'!$A$142,'App 2'!$A$147)</c:f>
              <c:strCache>
                <c:ptCount val="6"/>
                <c:pt idx="0">
                  <c:v>Foreign direct investment in Mongolia </c:v>
                </c:pt>
                <c:pt idx="1">
                  <c:v>Portfolio investment </c:v>
                </c:pt>
                <c:pt idx="2">
                  <c:v>Trade credits </c:v>
                </c:pt>
                <c:pt idx="3">
                  <c:v>Loans </c:v>
                </c:pt>
                <c:pt idx="4">
                  <c:v>Currency and deposits </c:v>
                </c:pt>
                <c:pt idx="5">
                  <c:v>Other liabilities</c:v>
                </c:pt>
              </c:strCache>
            </c:strRef>
          </c:cat>
          <c:val>
            <c:numRef>
              <c:f>('App 2'!$N$93,'App 2'!$N$100,'App 2'!$N$121,'App 2'!$N$128,'App 2'!$N$142,'App 2'!$N$147)</c:f>
              <c:numCache>
                <c:formatCode>0.0</c:formatCode>
                <c:ptCount val="6"/>
                <c:pt idx="0">
                  <c:v>15014.754149043325</c:v>
                </c:pt>
                <c:pt idx="1">
                  <c:v>2673.7350167556901</c:v>
                </c:pt>
                <c:pt idx="2">
                  <c:v>261.44014933948216</c:v>
                </c:pt>
                <c:pt idx="3">
                  <c:v>3838.9384360670356</c:v>
                </c:pt>
                <c:pt idx="4">
                  <c:v>202.58693617548965</c:v>
                </c:pt>
                <c:pt idx="5">
                  <c:v>496.57049999999964</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6310583580613256"/>
          <c:y val="0.21323902308821571"/>
          <c:w val="0.34520276953511381"/>
          <c:h val="0.67521686907780609"/>
        </c:manualLayout>
      </c:layout>
      <c:overlay val="0"/>
      <c:txPr>
        <a:bodyPr/>
        <a:lstStyle/>
        <a:p>
          <a:pPr>
            <a:defRPr sz="700"/>
          </a:pPr>
          <a:endParaRPr lang="en-US"/>
        </a:p>
      </c:txPr>
    </c:legend>
    <c:plotVisOnly val="1"/>
    <c:dispBlanksAs val="zero"/>
    <c:showDLblsOverMax val="0"/>
  </c:chart>
  <c:spPr>
    <a:ln>
      <a:noFill/>
    </a:ln>
  </c:spPr>
  <c:txPr>
    <a:bodyPr/>
    <a:lstStyle/>
    <a:p>
      <a:pPr>
        <a:defRPr sz="900"/>
      </a:pPr>
      <a:endParaRPr lang="en-US"/>
    </a:p>
  </c:tx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1754215654550025E-2"/>
          <c:y val="0.11000015171513966"/>
          <c:w val="0.85801747384316684"/>
          <c:h val="0.64460364419765448"/>
        </c:manualLayout>
      </c:layout>
      <c:barChart>
        <c:barDir val="col"/>
        <c:grouping val="clustered"/>
        <c:varyColors val="0"/>
        <c:ser>
          <c:idx val="0"/>
          <c:order val="0"/>
          <c:tx>
            <c:strRef>
              <c:f>Sheet1!$A$13</c:f>
              <c:strCache>
                <c:ptCount val="1"/>
                <c:pt idx="0">
                  <c:v>Exports to China, in percent of total country exports</c:v>
                </c:pt>
              </c:strCache>
            </c:strRef>
          </c:tx>
          <c:invertIfNegative val="0"/>
          <c:dLbls>
            <c:dLbl>
              <c:idx val="0"/>
              <c:layout>
                <c:manualLayout>
                  <c:x val="9.299244101277094E-4"/>
                  <c:y val="4.0113735783027234E-4"/>
                </c:manualLayout>
              </c:layout>
              <c:tx>
                <c:rich>
                  <a:bodyPr/>
                  <a:lstStyle/>
                  <a:p>
                    <a:r>
                      <a:rPr lang="en-US" sz="600" b="1"/>
                      <a:t>88.9</a:t>
                    </a:r>
                    <a:endParaRPr lang="en-US" sz="800" b="1"/>
                  </a:p>
                </c:rich>
              </c:tx>
              <c:dLblPos val="outEnd"/>
              <c:showLegendKey val="0"/>
              <c:showVal val="1"/>
              <c:showCatName val="0"/>
              <c:showSerName val="0"/>
              <c:showPercent val="0"/>
              <c:showBubbleSize val="0"/>
            </c:dLbl>
            <c:dLbl>
              <c:idx val="1"/>
              <c:layout/>
              <c:showLegendKey val="0"/>
              <c:showVal val="1"/>
              <c:showCatName val="0"/>
              <c:showSerName val="0"/>
              <c:showPercent val="0"/>
              <c:showBubbleSize val="0"/>
            </c:dLbl>
            <c:dLbl>
              <c:idx val="2"/>
              <c:layout/>
              <c:showLegendKey val="0"/>
              <c:showVal val="1"/>
              <c:showCatName val="0"/>
              <c:showSerName val="0"/>
              <c:showPercent val="0"/>
              <c:showBubbleSize val="0"/>
            </c:dLbl>
            <c:dLbl>
              <c:idx val="3"/>
              <c:layout/>
              <c:showLegendKey val="0"/>
              <c:showVal val="1"/>
              <c:showCatName val="0"/>
              <c:showSerName val="0"/>
              <c:showPercent val="0"/>
              <c:showBubbleSize val="0"/>
            </c:dLbl>
            <c:dLbl>
              <c:idx val="4"/>
              <c:layout/>
              <c:showLegendKey val="0"/>
              <c:showVal val="1"/>
              <c:showCatName val="0"/>
              <c:showSerName val="0"/>
              <c:showPercent val="0"/>
              <c:showBubbleSize val="0"/>
            </c:dLbl>
            <c:dLbl>
              <c:idx val="5"/>
              <c:layout/>
              <c:showLegendKey val="0"/>
              <c:showVal val="1"/>
              <c:showCatName val="0"/>
              <c:showSerName val="0"/>
              <c:showPercent val="0"/>
              <c:showBubbleSize val="0"/>
            </c:dLbl>
            <c:dLbl>
              <c:idx val="6"/>
              <c:layout/>
              <c:showLegendKey val="0"/>
              <c:showVal val="1"/>
              <c:showCatName val="0"/>
              <c:showSerName val="0"/>
              <c:showPercent val="0"/>
              <c:showBubbleSize val="0"/>
            </c:dLbl>
            <c:dLbl>
              <c:idx val="7"/>
              <c:layout/>
              <c:showLegendKey val="0"/>
              <c:showVal val="1"/>
              <c:showCatName val="0"/>
              <c:showSerName val="0"/>
              <c:showPercent val="0"/>
              <c:showBubbleSize val="0"/>
            </c:dLbl>
            <c:numFmt formatCode="#,##0.0" sourceLinked="0"/>
            <c:txPr>
              <a:bodyPr/>
              <a:lstStyle/>
              <a:p>
                <a:pPr>
                  <a:defRPr sz="600"/>
                </a:pPr>
                <a:endParaRPr lang="en-US"/>
              </a:p>
            </c:txPr>
            <c:dLblPos val="inBase"/>
            <c:showLegendKey val="0"/>
            <c:showVal val="1"/>
            <c:showCatName val="0"/>
            <c:showSerName val="0"/>
            <c:showPercent val="0"/>
            <c:showBubbleSize val="0"/>
            <c:showLeaderLines val="0"/>
          </c:dLbls>
          <c:cat>
            <c:strRef>
              <c:f>Sheet1!$A$14:$A$21</c:f>
              <c:strCache>
                <c:ptCount val="8"/>
                <c:pt idx="0">
                  <c:v>Mongolia</c:v>
                </c:pt>
                <c:pt idx="1">
                  <c:v>Lao PDR</c:v>
                </c:pt>
                <c:pt idx="2">
                  <c:v>Malaysia</c:v>
                </c:pt>
                <c:pt idx="3">
                  <c:v>Philippines</c:v>
                </c:pt>
                <c:pt idx="4">
                  <c:v>Thailand</c:v>
                </c:pt>
                <c:pt idx="5">
                  <c:v>Indonesia</c:v>
                </c:pt>
                <c:pt idx="6">
                  <c:v>Vietnam</c:v>
                </c:pt>
                <c:pt idx="7">
                  <c:v>Cambodia</c:v>
                </c:pt>
              </c:strCache>
            </c:strRef>
          </c:cat>
          <c:val>
            <c:numRef>
              <c:f>Sheet1!$B$14:$B$21</c:f>
              <c:numCache>
                <c:formatCode>General</c:formatCode>
                <c:ptCount val="8"/>
                <c:pt idx="0">
                  <c:v>88.879870532811083</c:v>
                </c:pt>
                <c:pt idx="1">
                  <c:v>21.477622585974956</c:v>
                </c:pt>
                <c:pt idx="2">
                  <c:v>12.637759472817134</c:v>
                </c:pt>
                <c:pt idx="3">
                  <c:v>11.844510641407545</c:v>
                </c:pt>
                <c:pt idx="4">
                  <c:v>11.715936134497978</c:v>
                </c:pt>
                <c:pt idx="5">
                  <c:v>11.397757231638716</c:v>
                </c:pt>
                <c:pt idx="6">
                  <c:v>11.181190486935332</c:v>
                </c:pt>
                <c:pt idx="7">
                  <c:v>2.5185048969178228</c:v>
                </c:pt>
              </c:numCache>
            </c:numRef>
          </c:val>
        </c:ser>
        <c:dLbls>
          <c:showLegendKey val="0"/>
          <c:showVal val="0"/>
          <c:showCatName val="0"/>
          <c:showSerName val="0"/>
          <c:showPercent val="0"/>
          <c:showBubbleSize val="0"/>
        </c:dLbls>
        <c:gapWidth val="150"/>
        <c:axId val="226084736"/>
        <c:axId val="226086272"/>
      </c:barChart>
      <c:catAx>
        <c:axId val="226084736"/>
        <c:scaling>
          <c:orientation val="minMax"/>
        </c:scaling>
        <c:delete val="0"/>
        <c:axPos val="b"/>
        <c:majorTickMark val="out"/>
        <c:minorTickMark val="none"/>
        <c:tickLblPos val="nextTo"/>
        <c:txPr>
          <a:bodyPr rot="-5400000" vert="horz"/>
          <a:lstStyle/>
          <a:p>
            <a:pPr>
              <a:defRPr sz="600" b="0" i="0">
                <a:latin typeface="Calibri"/>
                <a:ea typeface="Calibri"/>
                <a:cs typeface="Calibri"/>
              </a:defRPr>
            </a:pPr>
            <a:endParaRPr lang="en-US"/>
          </a:p>
        </c:txPr>
        <c:crossAx val="226086272"/>
        <c:crosses val="autoZero"/>
        <c:auto val="1"/>
        <c:lblAlgn val="ctr"/>
        <c:lblOffset val="100"/>
        <c:noMultiLvlLbl val="0"/>
      </c:catAx>
      <c:valAx>
        <c:axId val="226086272"/>
        <c:scaling>
          <c:orientation val="minMax"/>
          <c:max val="25"/>
        </c:scaling>
        <c:delete val="0"/>
        <c:axPos val="l"/>
        <c:numFmt formatCode="General" sourceLinked="1"/>
        <c:majorTickMark val="out"/>
        <c:minorTickMark val="none"/>
        <c:tickLblPos val="nextTo"/>
        <c:txPr>
          <a:bodyPr/>
          <a:lstStyle/>
          <a:p>
            <a:pPr>
              <a:defRPr sz="700" b="0" i="0">
                <a:latin typeface="Calibri"/>
                <a:ea typeface="Calibri"/>
                <a:cs typeface="Calibri"/>
              </a:defRPr>
            </a:pPr>
            <a:endParaRPr lang="en-US"/>
          </a:p>
        </c:txPr>
        <c:crossAx val="226084736"/>
        <c:crosses val="autoZero"/>
        <c:crossBetween val="between"/>
      </c:valAx>
    </c:plotArea>
    <c:plotVisOnly val="1"/>
    <c:dispBlanksAs val="gap"/>
    <c:showDLblsOverMax val="0"/>
  </c:chart>
  <c:spPr>
    <a:ln w="9525">
      <a:noFill/>
    </a:ln>
  </c:spPr>
  <c:txPr>
    <a:bodyPr/>
    <a:lstStyle/>
    <a:p>
      <a:pPr>
        <a:defRPr sz="700">
          <a:latin typeface="Calibri"/>
          <a:ea typeface="Calibri"/>
          <a:cs typeface="Calibri"/>
        </a:defRPr>
      </a:pPr>
      <a:endParaRPr lang="en-US"/>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6562418145276071E-2"/>
          <c:y val="2.9324088435410907E-2"/>
          <c:w val="0.90044203849518878"/>
          <c:h val="0.90004228638086903"/>
        </c:manualLayout>
      </c:layout>
      <c:lineChart>
        <c:grouping val="standard"/>
        <c:varyColors val="0"/>
        <c:ser>
          <c:idx val="0"/>
          <c:order val="0"/>
          <c:tx>
            <c:v>10 Year Chinggis Bonds</c:v>
          </c:tx>
          <c:spPr>
            <a:ln w="22225"/>
          </c:spPr>
          <c:marker>
            <c:symbol val="none"/>
          </c:marker>
          <c:cat>
            <c:numRef>
              <c:f>'131007'!$C$7:$C$226</c:f>
              <c:numCache>
                <c:formatCode>m/d/yyyy</c:formatCode>
                <c:ptCount val="220"/>
                <c:pt idx="0">
                  <c:v>41551</c:v>
                </c:pt>
                <c:pt idx="1">
                  <c:v>41550</c:v>
                </c:pt>
                <c:pt idx="2">
                  <c:v>41549</c:v>
                </c:pt>
                <c:pt idx="3">
                  <c:v>41548</c:v>
                </c:pt>
                <c:pt idx="4">
                  <c:v>41547</c:v>
                </c:pt>
                <c:pt idx="5">
                  <c:v>41544</c:v>
                </c:pt>
                <c:pt idx="6">
                  <c:v>41543</c:v>
                </c:pt>
                <c:pt idx="7">
                  <c:v>41542</c:v>
                </c:pt>
                <c:pt idx="8">
                  <c:v>41541</c:v>
                </c:pt>
                <c:pt idx="9">
                  <c:v>41540</c:v>
                </c:pt>
                <c:pt idx="10">
                  <c:v>41537</c:v>
                </c:pt>
                <c:pt idx="11">
                  <c:v>41536</c:v>
                </c:pt>
                <c:pt idx="12">
                  <c:v>41535</c:v>
                </c:pt>
                <c:pt idx="13">
                  <c:v>41534</c:v>
                </c:pt>
                <c:pt idx="14">
                  <c:v>41533</c:v>
                </c:pt>
                <c:pt idx="15">
                  <c:v>41530</c:v>
                </c:pt>
                <c:pt idx="16">
                  <c:v>41529</c:v>
                </c:pt>
                <c:pt idx="17">
                  <c:v>41528</c:v>
                </c:pt>
                <c:pt idx="18">
                  <c:v>41527</c:v>
                </c:pt>
                <c:pt idx="19">
                  <c:v>41526</c:v>
                </c:pt>
                <c:pt idx="20">
                  <c:v>41523</c:v>
                </c:pt>
                <c:pt idx="21">
                  <c:v>41522</c:v>
                </c:pt>
                <c:pt idx="22">
                  <c:v>41521</c:v>
                </c:pt>
                <c:pt idx="23">
                  <c:v>41520</c:v>
                </c:pt>
                <c:pt idx="24">
                  <c:v>41519</c:v>
                </c:pt>
                <c:pt idx="25">
                  <c:v>41516</c:v>
                </c:pt>
                <c:pt idx="26">
                  <c:v>41515</c:v>
                </c:pt>
                <c:pt idx="27">
                  <c:v>41514</c:v>
                </c:pt>
                <c:pt idx="28">
                  <c:v>41513</c:v>
                </c:pt>
                <c:pt idx="29">
                  <c:v>41512</c:v>
                </c:pt>
                <c:pt idx="30">
                  <c:v>41509</c:v>
                </c:pt>
                <c:pt idx="31">
                  <c:v>41508</c:v>
                </c:pt>
                <c:pt idx="32">
                  <c:v>41507</c:v>
                </c:pt>
                <c:pt idx="33">
                  <c:v>41506</c:v>
                </c:pt>
                <c:pt idx="34">
                  <c:v>41505</c:v>
                </c:pt>
                <c:pt idx="35">
                  <c:v>41502</c:v>
                </c:pt>
                <c:pt idx="36">
                  <c:v>41501</c:v>
                </c:pt>
                <c:pt idx="37">
                  <c:v>41500</c:v>
                </c:pt>
                <c:pt idx="38">
                  <c:v>41499</c:v>
                </c:pt>
                <c:pt idx="39">
                  <c:v>41498</c:v>
                </c:pt>
                <c:pt idx="40">
                  <c:v>41495</c:v>
                </c:pt>
                <c:pt idx="41">
                  <c:v>41494</c:v>
                </c:pt>
                <c:pt idx="42">
                  <c:v>41493</c:v>
                </c:pt>
                <c:pt idx="43">
                  <c:v>41492</c:v>
                </c:pt>
                <c:pt idx="44">
                  <c:v>41491</c:v>
                </c:pt>
                <c:pt idx="45">
                  <c:v>41488</c:v>
                </c:pt>
                <c:pt idx="46">
                  <c:v>41487</c:v>
                </c:pt>
                <c:pt idx="47">
                  <c:v>41486</c:v>
                </c:pt>
                <c:pt idx="48">
                  <c:v>41485</c:v>
                </c:pt>
                <c:pt idx="49">
                  <c:v>41484</c:v>
                </c:pt>
                <c:pt idx="50">
                  <c:v>41481</c:v>
                </c:pt>
                <c:pt idx="51">
                  <c:v>41480</c:v>
                </c:pt>
                <c:pt idx="52">
                  <c:v>41479</c:v>
                </c:pt>
                <c:pt idx="53">
                  <c:v>41478</c:v>
                </c:pt>
                <c:pt idx="54">
                  <c:v>41477</c:v>
                </c:pt>
                <c:pt idx="55">
                  <c:v>41474</c:v>
                </c:pt>
                <c:pt idx="56">
                  <c:v>41473</c:v>
                </c:pt>
                <c:pt idx="57">
                  <c:v>41472</c:v>
                </c:pt>
                <c:pt idx="58">
                  <c:v>41471</c:v>
                </c:pt>
                <c:pt idx="59">
                  <c:v>41470</c:v>
                </c:pt>
                <c:pt idx="60">
                  <c:v>41467</c:v>
                </c:pt>
                <c:pt idx="61">
                  <c:v>41466</c:v>
                </c:pt>
                <c:pt idx="62">
                  <c:v>41465</c:v>
                </c:pt>
                <c:pt idx="63">
                  <c:v>41464</c:v>
                </c:pt>
                <c:pt idx="64">
                  <c:v>41463</c:v>
                </c:pt>
                <c:pt idx="65">
                  <c:v>41460</c:v>
                </c:pt>
                <c:pt idx="66">
                  <c:v>41459</c:v>
                </c:pt>
                <c:pt idx="67">
                  <c:v>41458</c:v>
                </c:pt>
                <c:pt idx="68">
                  <c:v>41457</c:v>
                </c:pt>
                <c:pt idx="69">
                  <c:v>41456</c:v>
                </c:pt>
                <c:pt idx="70">
                  <c:v>41453</c:v>
                </c:pt>
                <c:pt idx="71">
                  <c:v>41452</c:v>
                </c:pt>
                <c:pt idx="72">
                  <c:v>41451</c:v>
                </c:pt>
                <c:pt idx="73">
                  <c:v>41450</c:v>
                </c:pt>
                <c:pt idx="74">
                  <c:v>41449</c:v>
                </c:pt>
                <c:pt idx="75">
                  <c:v>41446</c:v>
                </c:pt>
                <c:pt idx="76">
                  <c:v>41445</c:v>
                </c:pt>
                <c:pt idx="77">
                  <c:v>41444</c:v>
                </c:pt>
                <c:pt idx="78">
                  <c:v>41443</c:v>
                </c:pt>
                <c:pt idx="79">
                  <c:v>41442</c:v>
                </c:pt>
                <c:pt idx="80">
                  <c:v>41439</c:v>
                </c:pt>
                <c:pt idx="81">
                  <c:v>41438</c:v>
                </c:pt>
                <c:pt idx="82">
                  <c:v>41437</c:v>
                </c:pt>
                <c:pt idx="83">
                  <c:v>41436</c:v>
                </c:pt>
                <c:pt idx="84">
                  <c:v>41435</c:v>
                </c:pt>
                <c:pt idx="85">
                  <c:v>41432</c:v>
                </c:pt>
                <c:pt idx="86">
                  <c:v>41431</c:v>
                </c:pt>
                <c:pt idx="87">
                  <c:v>41430</c:v>
                </c:pt>
                <c:pt idx="88">
                  <c:v>41429</c:v>
                </c:pt>
                <c:pt idx="89">
                  <c:v>41428</c:v>
                </c:pt>
                <c:pt idx="90">
                  <c:v>41425</c:v>
                </c:pt>
                <c:pt idx="91">
                  <c:v>41424</c:v>
                </c:pt>
                <c:pt idx="92">
                  <c:v>41423</c:v>
                </c:pt>
                <c:pt idx="93">
                  <c:v>41422</c:v>
                </c:pt>
                <c:pt idx="94">
                  <c:v>41421</c:v>
                </c:pt>
                <c:pt idx="95">
                  <c:v>41418</c:v>
                </c:pt>
                <c:pt idx="96">
                  <c:v>41417</c:v>
                </c:pt>
                <c:pt idx="97">
                  <c:v>41416</c:v>
                </c:pt>
                <c:pt idx="98">
                  <c:v>41415</c:v>
                </c:pt>
                <c:pt idx="99">
                  <c:v>41414</c:v>
                </c:pt>
                <c:pt idx="100">
                  <c:v>41411</c:v>
                </c:pt>
                <c:pt idx="101">
                  <c:v>41410</c:v>
                </c:pt>
                <c:pt idx="102">
                  <c:v>41409</c:v>
                </c:pt>
                <c:pt idx="103">
                  <c:v>41408</c:v>
                </c:pt>
                <c:pt idx="104">
                  <c:v>41407</c:v>
                </c:pt>
                <c:pt idx="105">
                  <c:v>41404</c:v>
                </c:pt>
                <c:pt idx="106">
                  <c:v>41403</c:v>
                </c:pt>
                <c:pt idx="107">
                  <c:v>41402</c:v>
                </c:pt>
                <c:pt idx="108">
                  <c:v>41401</c:v>
                </c:pt>
                <c:pt idx="109">
                  <c:v>41400</c:v>
                </c:pt>
                <c:pt idx="110">
                  <c:v>41397</c:v>
                </c:pt>
                <c:pt idx="111">
                  <c:v>41396</c:v>
                </c:pt>
                <c:pt idx="112">
                  <c:v>41395</c:v>
                </c:pt>
                <c:pt idx="113">
                  <c:v>41394</c:v>
                </c:pt>
                <c:pt idx="114">
                  <c:v>41393</c:v>
                </c:pt>
                <c:pt idx="115">
                  <c:v>41390</c:v>
                </c:pt>
                <c:pt idx="116">
                  <c:v>41389</c:v>
                </c:pt>
                <c:pt idx="117">
                  <c:v>41388</c:v>
                </c:pt>
                <c:pt idx="118">
                  <c:v>41387</c:v>
                </c:pt>
                <c:pt idx="119">
                  <c:v>41386</c:v>
                </c:pt>
                <c:pt idx="120">
                  <c:v>41383</c:v>
                </c:pt>
                <c:pt idx="121">
                  <c:v>41382</c:v>
                </c:pt>
                <c:pt idx="122">
                  <c:v>41381</c:v>
                </c:pt>
                <c:pt idx="123">
                  <c:v>41380</c:v>
                </c:pt>
                <c:pt idx="124">
                  <c:v>41379</c:v>
                </c:pt>
                <c:pt idx="125">
                  <c:v>41376</c:v>
                </c:pt>
                <c:pt idx="126">
                  <c:v>41375</c:v>
                </c:pt>
                <c:pt idx="127">
                  <c:v>41374</c:v>
                </c:pt>
                <c:pt idx="128">
                  <c:v>41373</c:v>
                </c:pt>
                <c:pt idx="129">
                  <c:v>41372</c:v>
                </c:pt>
                <c:pt idx="130">
                  <c:v>41369</c:v>
                </c:pt>
                <c:pt idx="131">
                  <c:v>41368</c:v>
                </c:pt>
                <c:pt idx="132">
                  <c:v>41367</c:v>
                </c:pt>
                <c:pt idx="133">
                  <c:v>41366</c:v>
                </c:pt>
                <c:pt idx="134">
                  <c:v>41365</c:v>
                </c:pt>
                <c:pt idx="135">
                  <c:v>41362</c:v>
                </c:pt>
                <c:pt idx="136">
                  <c:v>41361</c:v>
                </c:pt>
                <c:pt idx="137">
                  <c:v>41360</c:v>
                </c:pt>
                <c:pt idx="138">
                  <c:v>41359</c:v>
                </c:pt>
                <c:pt idx="139">
                  <c:v>41358</c:v>
                </c:pt>
                <c:pt idx="140">
                  <c:v>41355</c:v>
                </c:pt>
                <c:pt idx="141">
                  <c:v>41354</c:v>
                </c:pt>
                <c:pt idx="142">
                  <c:v>41353</c:v>
                </c:pt>
                <c:pt idx="143">
                  <c:v>41352</c:v>
                </c:pt>
                <c:pt idx="144">
                  <c:v>41351</c:v>
                </c:pt>
                <c:pt idx="145">
                  <c:v>41348</c:v>
                </c:pt>
                <c:pt idx="146">
                  <c:v>41347</c:v>
                </c:pt>
                <c:pt idx="147">
                  <c:v>41346</c:v>
                </c:pt>
                <c:pt idx="148">
                  <c:v>41345</c:v>
                </c:pt>
                <c:pt idx="149">
                  <c:v>41344</c:v>
                </c:pt>
                <c:pt idx="150">
                  <c:v>41341</c:v>
                </c:pt>
                <c:pt idx="151">
                  <c:v>41340</c:v>
                </c:pt>
                <c:pt idx="152">
                  <c:v>41339</c:v>
                </c:pt>
                <c:pt idx="153">
                  <c:v>41338</c:v>
                </c:pt>
                <c:pt idx="154">
                  <c:v>41337</c:v>
                </c:pt>
                <c:pt idx="155">
                  <c:v>41334</c:v>
                </c:pt>
                <c:pt idx="156">
                  <c:v>41333</c:v>
                </c:pt>
                <c:pt idx="157">
                  <c:v>41332</c:v>
                </c:pt>
                <c:pt idx="158">
                  <c:v>41331</c:v>
                </c:pt>
                <c:pt idx="159">
                  <c:v>41330</c:v>
                </c:pt>
                <c:pt idx="160">
                  <c:v>41327</c:v>
                </c:pt>
                <c:pt idx="161">
                  <c:v>41326</c:v>
                </c:pt>
                <c:pt idx="162">
                  <c:v>41325</c:v>
                </c:pt>
                <c:pt idx="163">
                  <c:v>41324</c:v>
                </c:pt>
                <c:pt idx="164">
                  <c:v>41323</c:v>
                </c:pt>
                <c:pt idx="165">
                  <c:v>41320</c:v>
                </c:pt>
                <c:pt idx="166">
                  <c:v>41319</c:v>
                </c:pt>
                <c:pt idx="167">
                  <c:v>41318</c:v>
                </c:pt>
                <c:pt idx="168">
                  <c:v>41317</c:v>
                </c:pt>
                <c:pt idx="169">
                  <c:v>41316</c:v>
                </c:pt>
                <c:pt idx="170">
                  <c:v>41313</c:v>
                </c:pt>
                <c:pt idx="171">
                  <c:v>41312</c:v>
                </c:pt>
                <c:pt idx="172">
                  <c:v>41311</c:v>
                </c:pt>
                <c:pt idx="173">
                  <c:v>41310</c:v>
                </c:pt>
                <c:pt idx="174">
                  <c:v>41309</c:v>
                </c:pt>
                <c:pt idx="175">
                  <c:v>41306</c:v>
                </c:pt>
                <c:pt idx="176">
                  <c:v>41305</c:v>
                </c:pt>
                <c:pt idx="177">
                  <c:v>41304</c:v>
                </c:pt>
                <c:pt idx="178">
                  <c:v>41303</c:v>
                </c:pt>
                <c:pt idx="179">
                  <c:v>41302</c:v>
                </c:pt>
                <c:pt idx="180">
                  <c:v>41299</c:v>
                </c:pt>
                <c:pt idx="181">
                  <c:v>41298</c:v>
                </c:pt>
                <c:pt idx="182">
                  <c:v>41297</c:v>
                </c:pt>
                <c:pt idx="183">
                  <c:v>41296</c:v>
                </c:pt>
                <c:pt idx="184">
                  <c:v>41295</c:v>
                </c:pt>
                <c:pt idx="185">
                  <c:v>41292</c:v>
                </c:pt>
                <c:pt idx="186">
                  <c:v>41291</c:v>
                </c:pt>
                <c:pt idx="187">
                  <c:v>41290</c:v>
                </c:pt>
                <c:pt idx="188">
                  <c:v>41289</c:v>
                </c:pt>
                <c:pt idx="189">
                  <c:v>41288</c:v>
                </c:pt>
                <c:pt idx="190">
                  <c:v>41285</c:v>
                </c:pt>
                <c:pt idx="191">
                  <c:v>41284</c:v>
                </c:pt>
                <c:pt idx="192">
                  <c:v>41283</c:v>
                </c:pt>
                <c:pt idx="193">
                  <c:v>41282</c:v>
                </c:pt>
                <c:pt idx="194">
                  <c:v>41281</c:v>
                </c:pt>
                <c:pt idx="195">
                  <c:v>41278</c:v>
                </c:pt>
                <c:pt idx="196">
                  <c:v>41277</c:v>
                </c:pt>
                <c:pt idx="197">
                  <c:v>41276</c:v>
                </c:pt>
                <c:pt idx="198">
                  <c:v>41275</c:v>
                </c:pt>
                <c:pt idx="199">
                  <c:v>41274</c:v>
                </c:pt>
                <c:pt idx="200">
                  <c:v>41271</c:v>
                </c:pt>
                <c:pt idx="201">
                  <c:v>41270</c:v>
                </c:pt>
                <c:pt idx="202">
                  <c:v>41269</c:v>
                </c:pt>
                <c:pt idx="203">
                  <c:v>41268</c:v>
                </c:pt>
                <c:pt idx="204">
                  <c:v>41267</c:v>
                </c:pt>
                <c:pt idx="205">
                  <c:v>41264</c:v>
                </c:pt>
                <c:pt idx="206">
                  <c:v>41263</c:v>
                </c:pt>
                <c:pt idx="207">
                  <c:v>41262</c:v>
                </c:pt>
                <c:pt idx="208">
                  <c:v>41261</c:v>
                </c:pt>
                <c:pt idx="209">
                  <c:v>41260</c:v>
                </c:pt>
                <c:pt idx="210">
                  <c:v>41257</c:v>
                </c:pt>
                <c:pt idx="211">
                  <c:v>41256</c:v>
                </c:pt>
                <c:pt idx="212">
                  <c:v>41255</c:v>
                </c:pt>
                <c:pt idx="213">
                  <c:v>41254</c:v>
                </c:pt>
                <c:pt idx="214">
                  <c:v>41253</c:v>
                </c:pt>
                <c:pt idx="215">
                  <c:v>41250</c:v>
                </c:pt>
                <c:pt idx="216">
                  <c:v>41249</c:v>
                </c:pt>
                <c:pt idx="217">
                  <c:v>41248</c:v>
                </c:pt>
                <c:pt idx="218">
                  <c:v>41247</c:v>
                </c:pt>
                <c:pt idx="219">
                  <c:v>41246</c:v>
                </c:pt>
              </c:numCache>
            </c:numRef>
          </c:cat>
          <c:val>
            <c:numRef>
              <c:f>'131007'!$D$7:$D$226</c:f>
              <c:numCache>
                <c:formatCode>0.000_ </c:formatCode>
                <c:ptCount val="220"/>
                <c:pt idx="0">
                  <c:v>7.2489999999999997</c:v>
                </c:pt>
                <c:pt idx="1">
                  <c:v>7.2530000000000001</c:v>
                </c:pt>
                <c:pt idx="2">
                  <c:v>7.2569999999999997</c:v>
                </c:pt>
                <c:pt idx="3">
                  <c:v>7.2960000000000003</c:v>
                </c:pt>
                <c:pt idx="4">
                  <c:v>7.2450000000000001</c:v>
                </c:pt>
                <c:pt idx="5">
                  <c:v>7.23</c:v>
                </c:pt>
                <c:pt idx="6">
                  <c:v>7.2290000000000001</c:v>
                </c:pt>
                <c:pt idx="7">
                  <c:v>7.2530000000000001</c:v>
                </c:pt>
                <c:pt idx="8">
                  <c:v>7.2430000000000003</c:v>
                </c:pt>
                <c:pt idx="9">
                  <c:v>7.2560000000000002</c:v>
                </c:pt>
                <c:pt idx="10">
                  <c:v>7.2110000000000003</c:v>
                </c:pt>
                <c:pt idx="11">
                  <c:v>7.1760000000000002</c:v>
                </c:pt>
                <c:pt idx="12">
                  <c:v>7.7269999999999985</c:v>
                </c:pt>
                <c:pt idx="13">
                  <c:v>7.8049999999999944</c:v>
                </c:pt>
                <c:pt idx="14">
                  <c:v>7.8390000000000004</c:v>
                </c:pt>
                <c:pt idx="15">
                  <c:v>7.9859999999999998</c:v>
                </c:pt>
                <c:pt idx="16">
                  <c:v>8</c:v>
                </c:pt>
                <c:pt idx="17">
                  <c:v>8.088000000000001</c:v>
                </c:pt>
                <c:pt idx="18">
                  <c:v>8.1870000000000012</c:v>
                </c:pt>
                <c:pt idx="19">
                  <c:v>8.1980000000000004</c:v>
                </c:pt>
                <c:pt idx="20">
                  <c:v>8.3040000000000003</c:v>
                </c:pt>
                <c:pt idx="21">
                  <c:v>8.2840000000000007</c:v>
                </c:pt>
                <c:pt idx="22">
                  <c:v>8.2680000000000007</c:v>
                </c:pt>
                <c:pt idx="23">
                  <c:v>8.2249999999999996</c:v>
                </c:pt>
                <c:pt idx="24">
                  <c:v>8.0950000000000006</c:v>
                </c:pt>
                <c:pt idx="25">
                  <c:v>8.1020000000000003</c:v>
                </c:pt>
                <c:pt idx="26">
                  <c:v>8</c:v>
                </c:pt>
                <c:pt idx="27">
                  <c:v>7.9320000000000004</c:v>
                </c:pt>
                <c:pt idx="28">
                  <c:v>7.8929999999999945</c:v>
                </c:pt>
                <c:pt idx="29">
                  <c:v>7.7130000000000001</c:v>
                </c:pt>
                <c:pt idx="30">
                  <c:v>7.6169999999999956</c:v>
                </c:pt>
                <c:pt idx="31">
                  <c:v>7.614999999999994</c:v>
                </c:pt>
                <c:pt idx="32">
                  <c:v>7.5709999999999997</c:v>
                </c:pt>
                <c:pt idx="33">
                  <c:v>7.5519999999999996</c:v>
                </c:pt>
                <c:pt idx="34">
                  <c:v>7.3330000000000002</c:v>
                </c:pt>
                <c:pt idx="35">
                  <c:v>7.242</c:v>
                </c:pt>
                <c:pt idx="36">
                  <c:v>7.1539999999999955</c:v>
                </c:pt>
                <c:pt idx="37">
                  <c:v>7.085</c:v>
                </c:pt>
                <c:pt idx="38">
                  <c:v>7.05</c:v>
                </c:pt>
                <c:pt idx="39">
                  <c:v>7.048</c:v>
                </c:pt>
                <c:pt idx="40">
                  <c:v>7.0419999999999998</c:v>
                </c:pt>
                <c:pt idx="41">
                  <c:v>7.0439999999999996</c:v>
                </c:pt>
                <c:pt idx="42">
                  <c:v>6.992</c:v>
                </c:pt>
                <c:pt idx="43">
                  <c:v>7.0019999999999998</c:v>
                </c:pt>
                <c:pt idx="44">
                  <c:v>7.0060000000000002</c:v>
                </c:pt>
                <c:pt idx="45">
                  <c:v>7.0279999999999943</c:v>
                </c:pt>
                <c:pt idx="46">
                  <c:v>7.0060000000000002</c:v>
                </c:pt>
                <c:pt idx="47">
                  <c:v>7.0339999999999998</c:v>
                </c:pt>
                <c:pt idx="48">
                  <c:v>7.0369999999999999</c:v>
                </c:pt>
                <c:pt idx="49">
                  <c:v>7.02</c:v>
                </c:pt>
                <c:pt idx="50">
                  <c:v>7.0069999999999997</c:v>
                </c:pt>
                <c:pt idx="51">
                  <c:v>7.01</c:v>
                </c:pt>
                <c:pt idx="52">
                  <c:v>6.9740000000000002</c:v>
                </c:pt>
                <c:pt idx="53">
                  <c:v>6.9649999999999945</c:v>
                </c:pt>
                <c:pt idx="54">
                  <c:v>6.657999999999995</c:v>
                </c:pt>
                <c:pt idx="55">
                  <c:v>6.7249999999999943</c:v>
                </c:pt>
                <c:pt idx="56">
                  <c:v>6.8169999999999975</c:v>
                </c:pt>
                <c:pt idx="57">
                  <c:v>6.9420000000000002</c:v>
                </c:pt>
                <c:pt idx="58">
                  <c:v>6.9219999999999997</c:v>
                </c:pt>
                <c:pt idx="59">
                  <c:v>6.9630000000000001</c:v>
                </c:pt>
                <c:pt idx="60">
                  <c:v>6.9559999999999995</c:v>
                </c:pt>
                <c:pt idx="61">
                  <c:v>6.968</c:v>
                </c:pt>
                <c:pt idx="62">
                  <c:v>6.9649999999999945</c:v>
                </c:pt>
                <c:pt idx="63">
                  <c:v>6.9829999999999997</c:v>
                </c:pt>
                <c:pt idx="64">
                  <c:v>7.0219999999999985</c:v>
                </c:pt>
                <c:pt idx="65">
                  <c:v>6.8659999999999943</c:v>
                </c:pt>
                <c:pt idx="66">
                  <c:v>6.7859999999999996</c:v>
                </c:pt>
                <c:pt idx="67">
                  <c:v>6.73</c:v>
                </c:pt>
                <c:pt idx="68">
                  <c:v>6.6979999999999951</c:v>
                </c:pt>
                <c:pt idx="69">
                  <c:v>6.7409999999999997</c:v>
                </c:pt>
                <c:pt idx="70">
                  <c:v>6.7210000000000001</c:v>
                </c:pt>
                <c:pt idx="71">
                  <c:v>6.9139999999999997</c:v>
                </c:pt>
                <c:pt idx="72">
                  <c:v>7.1419999999999995</c:v>
                </c:pt>
                <c:pt idx="73">
                  <c:v>7.1749999999999945</c:v>
                </c:pt>
                <c:pt idx="74">
                  <c:v>7.3049999999999944</c:v>
                </c:pt>
                <c:pt idx="75">
                  <c:v>7.0549999999999944</c:v>
                </c:pt>
                <c:pt idx="76">
                  <c:v>6.9130000000000003</c:v>
                </c:pt>
                <c:pt idx="77">
                  <c:v>6.4989999999999997</c:v>
                </c:pt>
                <c:pt idx="78">
                  <c:v>6.5060000000000002</c:v>
                </c:pt>
                <c:pt idx="79">
                  <c:v>6.5410000000000004</c:v>
                </c:pt>
                <c:pt idx="80">
                  <c:v>6.6079999999999943</c:v>
                </c:pt>
                <c:pt idx="81">
                  <c:v>6.859</c:v>
                </c:pt>
                <c:pt idx="82">
                  <c:v>6.5780000000000003</c:v>
                </c:pt>
                <c:pt idx="83">
                  <c:v>6.6099999999999985</c:v>
                </c:pt>
                <c:pt idx="84">
                  <c:v>6.3289999999999944</c:v>
                </c:pt>
                <c:pt idx="85">
                  <c:v>6.1979999999999951</c:v>
                </c:pt>
                <c:pt idx="86">
                  <c:v>6.1589999999999945</c:v>
                </c:pt>
                <c:pt idx="87">
                  <c:v>6.1379999999999955</c:v>
                </c:pt>
                <c:pt idx="88">
                  <c:v>6.1159999999999943</c:v>
                </c:pt>
                <c:pt idx="89">
                  <c:v>6.0990000000000002</c:v>
                </c:pt>
                <c:pt idx="90">
                  <c:v>5.9829999999999997</c:v>
                </c:pt>
                <c:pt idx="91">
                  <c:v>5.9310000000000063</c:v>
                </c:pt>
                <c:pt idx="92">
                  <c:v>5.9429999999999996</c:v>
                </c:pt>
                <c:pt idx="93">
                  <c:v>5.6859999999999955</c:v>
                </c:pt>
                <c:pt idx="94">
                  <c:v>5.6599999999999975</c:v>
                </c:pt>
                <c:pt idx="95">
                  <c:v>5.6439999999999975</c:v>
                </c:pt>
                <c:pt idx="96">
                  <c:v>5.6310000000000002</c:v>
                </c:pt>
                <c:pt idx="97">
                  <c:v>5.6239999999999943</c:v>
                </c:pt>
                <c:pt idx="98">
                  <c:v>5.6390000000000002</c:v>
                </c:pt>
                <c:pt idx="99">
                  <c:v>5.6219999999999946</c:v>
                </c:pt>
                <c:pt idx="100">
                  <c:v>5.6169999999999956</c:v>
                </c:pt>
                <c:pt idx="101">
                  <c:v>5.6360000000000001</c:v>
                </c:pt>
                <c:pt idx="102">
                  <c:v>5.702</c:v>
                </c:pt>
                <c:pt idx="103">
                  <c:v>5.6749999999999945</c:v>
                </c:pt>
                <c:pt idx="104">
                  <c:v>5.6690000000000005</c:v>
                </c:pt>
                <c:pt idx="105">
                  <c:v>5.665999999999995</c:v>
                </c:pt>
                <c:pt idx="106">
                  <c:v>5.6519999999999975</c:v>
                </c:pt>
                <c:pt idx="107">
                  <c:v>5.7050000000000001</c:v>
                </c:pt>
                <c:pt idx="108">
                  <c:v>5.71</c:v>
                </c:pt>
                <c:pt idx="109">
                  <c:v>5.7539999999999996</c:v>
                </c:pt>
                <c:pt idx="110">
                  <c:v>5.7590000000000003</c:v>
                </c:pt>
                <c:pt idx="111">
                  <c:v>5.7859999999999996</c:v>
                </c:pt>
                <c:pt idx="112">
                  <c:v>5.798</c:v>
                </c:pt>
                <c:pt idx="113">
                  <c:v>5.8</c:v>
                </c:pt>
                <c:pt idx="114">
                  <c:v>5.8159999999999945</c:v>
                </c:pt>
                <c:pt idx="115">
                  <c:v>5.819</c:v>
                </c:pt>
                <c:pt idx="116">
                  <c:v>5.8129999999999944</c:v>
                </c:pt>
                <c:pt idx="117">
                  <c:v>5.8169999999999975</c:v>
                </c:pt>
                <c:pt idx="118">
                  <c:v>5.819</c:v>
                </c:pt>
                <c:pt idx="119">
                  <c:v>5.7919999999999998</c:v>
                </c:pt>
                <c:pt idx="120">
                  <c:v>5.758</c:v>
                </c:pt>
                <c:pt idx="121">
                  <c:v>5.7279999999999944</c:v>
                </c:pt>
                <c:pt idx="122">
                  <c:v>5.5739999999999998</c:v>
                </c:pt>
                <c:pt idx="123">
                  <c:v>5.53</c:v>
                </c:pt>
                <c:pt idx="124">
                  <c:v>5.4359999999999999</c:v>
                </c:pt>
                <c:pt idx="125">
                  <c:v>5.4459999999999997</c:v>
                </c:pt>
                <c:pt idx="126">
                  <c:v>5.4610000000000003</c:v>
                </c:pt>
                <c:pt idx="127">
                  <c:v>5.5339999999999998</c:v>
                </c:pt>
                <c:pt idx="128">
                  <c:v>5.7569999999999997</c:v>
                </c:pt>
                <c:pt idx="129">
                  <c:v>5.7830000000000004</c:v>
                </c:pt>
                <c:pt idx="130">
                  <c:v>5.8769999999999998</c:v>
                </c:pt>
                <c:pt idx="131">
                  <c:v>5.9740000000000002</c:v>
                </c:pt>
                <c:pt idx="132">
                  <c:v>5.9870000000000001</c:v>
                </c:pt>
                <c:pt idx="133">
                  <c:v>5.9710000000000063</c:v>
                </c:pt>
                <c:pt idx="134">
                  <c:v>5.9969999999999999</c:v>
                </c:pt>
                <c:pt idx="135">
                  <c:v>5.984</c:v>
                </c:pt>
                <c:pt idx="136">
                  <c:v>5.9889999999999999</c:v>
                </c:pt>
                <c:pt idx="137">
                  <c:v>5.9550000000000001</c:v>
                </c:pt>
                <c:pt idx="138">
                  <c:v>5.9889999999999999</c:v>
                </c:pt>
                <c:pt idx="139">
                  <c:v>6.0060000000000002</c:v>
                </c:pt>
                <c:pt idx="140">
                  <c:v>6.016</c:v>
                </c:pt>
                <c:pt idx="141">
                  <c:v>6.0190000000000001</c:v>
                </c:pt>
                <c:pt idx="142">
                  <c:v>6.0129999999999955</c:v>
                </c:pt>
                <c:pt idx="143">
                  <c:v>5.96</c:v>
                </c:pt>
                <c:pt idx="144">
                  <c:v>5.9530000000000003</c:v>
                </c:pt>
                <c:pt idx="145">
                  <c:v>5.9340000000000002</c:v>
                </c:pt>
                <c:pt idx="146">
                  <c:v>5.9370000000000003</c:v>
                </c:pt>
                <c:pt idx="147">
                  <c:v>5.8949999999999942</c:v>
                </c:pt>
                <c:pt idx="148">
                  <c:v>5.8870000000000005</c:v>
                </c:pt>
                <c:pt idx="149">
                  <c:v>5.824999999999994</c:v>
                </c:pt>
                <c:pt idx="150">
                  <c:v>5.8259999999999943</c:v>
                </c:pt>
                <c:pt idx="151">
                  <c:v>5.81</c:v>
                </c:pt>
                <c:pt idx="152">
                  <c:v>5.8159999999999945</c:v>
                </c:pt>
                <c:pt idx="153">
                  <c:v>5.8219999999999965</c:v>
                </c:pt>
                <c:pt idx="154">
                  <c:v>5.806</c:v>
                </c:pt>
                <c:pt idx="155">
                  <c:v>5.7869999999999999</c:v>
                </c:pt>
                <c:pt idx="156">
                  <c:v>5.7990000000000004</c:v>
                </c:pt>
                <c:pt idx="157">
                  <c:v>5.7869999999999999</c:v>
                </c:pt>
                <c:pt idx="158">
                  <c:v>5.6959999999999944</c:v>
                </c:pt>
                <c:pt idx="159">
                  <c:v>5.6779999999999955</c:v>
                </c:pt>
                <c:pt idx="160">
                  <c:v>5.6869999999999985</c:v>
                </c:pt>
                <c:pt idx="161">
                  <c:v>5.7190000000000003</c:v>
                </c:pt>
                <c:pt idx="162">
                  <c:v>5.6849999999999943</c:v>
                </c:pt>
                <c:pt idx="163">
                  <c:v>5.662999999999994</c:v>
                </c:pt>
                <c:pt idx="164">
                  <c:v>5.6370000000000005</c:v>
                </c:pt>
                <c:pt idx="165">
                  <c:v>5.6169999999999956</c:v>
                </c:pt>
                <c:pt idx="166">
                  <c:v>5.6129999999999942</c:v>
                </c:pt>
                <c:pt idx="167">
                  <c:v>5.7069999999999999</c:v>
                </c:pt>
                <c:pt idx="168">
                  <c:v>5.7069999999999999</c:v>
                </c:pt>
                <c:pt idx="169">
                  <c:v>5.7229999999999945</c:v>
                </c:pt>
                <c:pt idx="170">
                  <c:v>5.7089999999999996</c:v>
                </c:pt>
                <c:pt idx="171">
                  <c:v>5.7569999999999997</c:v>
                </c:pt>
                <c:pt idx="172">
                  <c:v>5.7629999999999955</c:v>
                </c:pt>
                <c:pt idx="173">
                  <c:v>5.7830000000000004</c:v>
                </c:pt>
                <c:pt idx="174">
                  <c:v>5.673</c:v>
                </c:pt>
                <c:pt idx="175">
                  <c:v>5.601</c:v>
                </c:pt>
                <c:pt idx="176">
                  <c:v>5.57</c:v>
                </c:pt>
                <c:pt idx="177">
                  <c:v>5.4470000000000001</c:v>
                </c:pt>
                <c:pt idx="178">
                  <c:v>5.4119999999999999</c:v>
                </c:pt>
                <c:pt idx="179">
                  <c:v>5.4039999999999999</c:v>
                </c:pt>
                <c:pt idx="180">
                  <c:v>5.399</c:v>
                </c:pt>
                <c:pt idx="181">
                  <c:v>5.3569999999999975</c:v>
                </c:pt>
                <c:pt idx="182">
                  <c:v>5.3639999999999946</c:v>
                </c:pt>
                <c:pt idx="183">
                  <c:v>5.3849999999999945</c:v>
                </c:pt>
                <c:pt idx="184">
                  <c:v>5.4</c:v>
                </c:pt>
                <c:pt idx="185">
                  <c:v>5.4109999999999996</c:v>
                </c:pt>
                <c:pt idx="186">
                  <c:v>5.4359999999999999</c:v>
                </c:pt>
                <c:pt idx="187">
                  <c:v>5.42</c:v>
                </c:pt>
                <c:pt idx="188">
                  <c:v>5.407</c:v>
                </c:pt>
                <c:pt idx="189">
                  <c:v>5.3710000000000004</c:v>
                </c:pt>
                <c:pt idx="190">
                  <c:v>5.3679999999999941</c:v>
                </c:pt>
                <c:pt idx="191">
                  <c:v>5.2379999999999995</c:v>
                </c:pt>
                <c:pt idx="192">
                  <c:v>5.1859999999999955</c:v>
                </c:pt>
                <c:pt idx="193">
                  <c:v>5.1269999999999945</c:v>
                </c:pt>
                <c:pt idx="194">
                  <c:v>5.0969999999999995</c:v>
                </c:pt>
                <c:pt idx="195">
                  <c:v>5.1029999999999944</c:v>
                </c:pt>
                <c:pt idx="196">
                  <c:v>5.2169999999999996</c:v>
                </c:pt>
                <c:pt idx="197">
                  <c:v>5.2830000000000004</c:v>
                </c:pt>
                <c:pt idx="198">
                  <c:v>5.4119999999999999</c:v>
                </c:pt>
                <c:pt idx="199">
                  <c:v>5.375</c:v>
                </c:pt>
                <c:pt idx="200">
                  <c:v>5.3739999999999997</c:v>
                </c:pt>
                <c:pt idx="201">
                  <c:v>5.3879999999999955</c:v>
                </c:pt>
                <c:pt idx="202">
                  <c:v>5.3849999999999945</c:v>
                </c:pt>
                <c:pt idx="203">
                  <c:v>5.3929999999999945</c:v>
                </c:pt>
                <c:pt idx="204">
                  <c:v>5.39</c:v>
                </c:pt>
                <c:pt idx="205">
                  <c:v>5.3879999999999955</c:v>
                </c:pt>
                <c:pt idx="206">
                  <c:v>5.383</c:v>
                </c:pt>
                <c:pt idx="207">
                  <c:v>5.4269999999999996</c:v>
                </c:pt>
                <c:pt idx="208">
                  <c:v>5.4169999999999998</c:v>
                </c:pt>
                <c:pt idx="209">
                  <c:v>5.4039999999999999</c:v>
                </c:pt>
                <c:pt idx="210">
                  <c:v>5.4050000000000002</c:v>
                </c:pt>
                <c:pt idx="211">
                  <c:v>5.4130000000000003</c:v>
                </c:pt>
                <c:pt idx="212">
                  <c:v>5.4089999999999998</c:v>
                </c:pt>
                <c:pt idx="213">
                  <c:v>5.4119999999999999</c:v>
                </c:pt>
                <c:pt idx="214">
                  <c:v>5.4059999999999997</c:v>
                </c:pt>
                <c:pt idx="215">
                  <c:v>5.3780000000000001</c:v>
                </c:pt>
                <c:pt idx="216">
                  <c:v>5.3780000000000001</c:v>
                </c:pt>
                <c:pt idx="217">
                  <c:v>5.622999999999994</c:v>
                </c:pt>
                <c:pt idx="218">
                  <c:v>5.242</c:v>
                </c:pt>
                <c:pt idx="219">
                  <c:v>5.1469999999999985</c:v>
                </c:pt>
              </c:numCache>
            </c:numRef>
          </c:val>
          <c:smooth val="0"/>
        </c:ser>
        <c:ser>
          <c:idx val="1"/>
          <c:order val="1"/>
          <c:tx>
            <c:v>5 Year Chinggis Bonds</c:v>
          </c:tx>
          <c:spPr>
            <a:ln w="22225"/>
          </c:spPr>
          <c:marker>
            <c:symbol val="none"/>
          </c:marker>
          <c:cat>
            <c:numRef>
              <c:f>'131007'!$C$7:$C$226</c:f>
              <c:numCache>
                <c:formatCode>m/d/yyyy</c:formatCode>
                <c:ptCount val="220"/>
                <c:pt idx="0">
                  <c:v>41551</c:v>
                </c:pt>
                <c:pt idx="1">
                  <c:v>41550</c:v>
                </c:pt>
                <c:pt idx="2">
                  <c:v>41549</c:v>
                </c:pt>
                <c:pt idx="3">
                  <c:v>41548</c:v>
                </c:pt>
                <c:pt idx="4">
                  <c:v>41547</c:v>
                </c:pt>
                <c:pt idx="5">
                  <c:v>41544</c:v>
                </c:pt>
                <c:pt idx="6">
                  <c:v>41543</c:v>
                </c:pt>
                <c:pt idx="7">
                  <c:v>41542</c:v>
                </c:pt>
                <c:pt idx="8">
                  <c:v>41541</c:v>
                </c:pt>
                <c:pt idx="9">
                  <c:v>41540</c:v>
                </c:pt>
                <c:pt idx="10">
                  <c:v>41537</c:v>
                </c:pt>
                <c:pt idx="11">
                  <c:v>41536</c:v>
                </c:pt>
                <c:pt idx="12">
                  <c:v>41535</c:v>
                </c:pt>
                <c:pt idx="13">
                  <c:v>41534</c:v>
                </c:pt>
                <c:pt idx="14">
                  <c:v>41533</c:v>
                </c:pt>
                <c:pt idx="15">
                  <c:v>41530</c:v>
                </c:pt>
                <c:pt idx="16">
                  <c:v>41529</c:v>
                </c:pt>
                <c:pt idx="17">
                  <c:v>41528</c:v>
                </c:pt>
                <c:pt idx="18">
                  <c:v>41527</c:v>
                </c:pt>
                <c:pt idx="19">
                  <c:v>41526</c:v>
                </c:pt>
                <c:pt idx="20">
                  <c:v>41523</c:v>
                </c:pt>
                <c:pt idx="21">
                  <c:v>41522</c:v>
                </c:pt>
                <c:pt idx="22">
                  <c:v>41521</c:v>
                </c:pt>
                <c:pt idx="23">
                  <c:v>41520</c:v>
                </c:pt>
                <c:pt idx="24">
                  <c:v>41519</c:v>
                </c:pt>
                <c:pt idx="25">
                  <c:v>41516</c:v>
                </c:pt>
                <c:pt idx="26">
                  <c:v>41515</c:v>
                </c:pt>
                <c:pt idx="27">
                  <c:v>41514</c:v>
                </c:pt>
                <c:pt idx="28">
                  <c:v>41513</c:v>
                </c:pt>
                <c:pt idx="29">
                  <c:v>41512</c:v>
                </c:pt>
                <c:pt idx="30">
                  <c:v>41509</c:v>
                </c:pt>
                <c:pt idx="31">
                  <c:v>41508</c:v>
                </c:pt>
                <c:pt idx="32">
                  <c:v>41507</c:v>
                </c:pt>
                <c:pt idx="33">
                  <c:v>41506</c:v>
                </c:pt>
                <c:pt idx="34">
                  <c:v>41505</c:v>
                </c:pt>
                <c:pt idx="35">
                  <c:v>41502</c:v>
                </c:pt>
                <c:pt idx="36">
                  <c:v>41501</c:v>
                </c:pt>
                <c:pt idx="37">
                  <c:v>41500</c:v>
                </c:pt>
                <c:pt idx="38">
                  <c:v>41499</c:v>
                </c:pt>
                <c:pt idx="39">
                  <c:v>41498</c:v>
                </c:pt>
                <c:pt idx="40">
                  <c:v>41495</c:v>
                </c:pt>
                <c:pt idx="41">
                  <c:v>41494</c:v>
                </c:pt>
                <c:pt idx="42">
                  <c:v>41493</c:v>
                </c:pt>
                <c:pt idx="43">
                  <c:v>41492</c:v>
                </c:pt>
                <c:pt idx="44">
                  <c:v>41491</c:v>
                </c:pt>
                <c:pt idx="45">
                  <c:v>41488</c:v>
                </c:pt>
                <c:pt idx="46">
                  <c:v>41487</c:v>
                </c:pt>
                <c:pt idx="47">
                  <c:v>41486</c:v>
                </c:pt>
                <c:pt idx="48">
                  <c:v>41485</c:v>
                </c:pt>
                <c:pt idx="49">
                  <c:v>41484</c:v>
                </c:pt>
                <c:pt idx="50">
                  <c:v>41481</c:v>
                </c:pt>
                <c:pt idx="51">
                  <c:v>41480</c:v>
                </c:pt>
                <c:pt idx="52">
                  <c:v>41479</c:v>
                </c:pt>
                <c:pt idx="53">
                  <c:v>41478</c:v>
                </c:pt>
                <c:pt idx="54">
                  <c:v>41477</c:v>
                </c:pt>
                <c:pt idx="55">
                  <c:v>41474</c:v>
                </c:pt>
                <c:pt idx="56">
                  <c:v>41473</c:v>
                </c:pt>
                <c:pt idx="57">
                  <c:v>41472</c:v>
                </c:pt>
                <c:pt idx="58">
                  <c:v>41471</c:v>
                </c:pt>
                <c:pt idx="59">
                  <c:v>41470</c:v>
                </c:pt>
                <c:pt idx="60">
                  <c:v>41467</c:v>
                </c:pt>
                <c:pt idx="61">
                  <c:v>41466</c:v>
                </c:pt>
                <c:pt idx="62">
                  <c:v>41465</c:v>
                </c:pt>
                <c:pt idx="63">
                  <c:v>41464</c:v>
                </c:pt>
                <c:pt idx="64">
                  <c:v>41463</c:v>
                </c:pt>
                <c:pt idx="65">
                  <c:v>41460</c:v>
                </c:pt>
                <c:pt idx="66">
                  <c:v>41459</c:v>
                </c:pt>
                <c:pt idx="67">
                  <c:v>41458</c:v>
                </c:pt>
                <c:pt idx="68">
                  <c:v>41457</c:v>
                </c:pt>
                <c:pt idx="69">
                  <c:v>41456</c:v>
                </c:pt>
                <c:pt idx="70">
                  <c:v>41453</c:v>
                </c:pt>
                <c:pt idx="71">
                  <c:v>41452</c:v>
                </c:pt>
                <c:pt idx="72">
                  <c:v>41451</c:v>
                </c:pt>
                <c:pt idx="73">
                  <c:v>41450</c:v>
                </c:pt>
                <c:pt idx="74">
                  <c:v>41449</c:v>
                </c:pt>
                <c:pt idx="75">
                  <c:v>41446</c:v>
                </c:pt>
                <c:pt idx="76">
                  <c:v>41445</c:v>
                </c:pt>
                <c:pt idx="77">
                  <c:v>41444</c:v>
                </c:pt>
                <c:pt idx="78">
                  <c:v>41443</c:v>
                </c:pt>
                <c:pt idx="79">
                  <c:v>41442</c:v>
                </c:pt>
                <c:pt idx="80">
                  <c:v>41439</c:v>
                </c:pt>
                <c:pt idx="81">
                  <c:v>41438</c:v>
                </c:pt>
                <c:pt idx="82">
                  <c:v>41437</c:v>
                </c:pt>
                <c:pt idx="83">
                  <c:v>41436</c:v>
                </c:pt>
                <c:pt idx="84">
                  <c:v>41435</c:v>
                </c:pt>
                <c:pt idx="85">
                  <c:v>41432</c:v>
                </c:pt>
                <c:pt idx="86">
                  <c:v>41431</c:v>
                </c:pt>
                <c:pt idx="87">
                  <c:v>41430</c:v>
                </c:pt>
                <c:pt idx="88">
                  <c:v>41429</c:v>
                </c:pt>
                <c:pt idx="89">
                  <c:v>41428</c:v>
                </c:pt>
                <c:pt idx="90">
                  <c:v>41425</c:v>
                </c:pt>
                <c:pt idx="91">
                  <c:v>41424</c:v>
                </c:pt>
                <c:pt idx="92">
                  <c:v>41423</c:v>
                </c:pt>
                <c:pt idx="93">
                  <c:v>41422</c:v>
                </c:pt>
                <c:pt idx="94">
                  <c:v>41421</c:v>
                </c:pt>
                <c:pt idx="95">
                  <c:v>41418</c:v>
                </c:pt>
                <c:pt idx="96">
                  <c:v>41417</c:v>
                </c:pt>
                <c:pt idx="97">
                  <c:v>41416</c:v>
                </c:pt>
                <c:pt idx="98">
                  <c:v>41415</c:v>
                </c:pt>
                <c:pt idx="99">
                  <c:v>41414</c:v>
                </c:pt>
                <c:pt idx="100">
                  <c:v>41411</c:v>
                </c:pt>
                <c:pt idx="101">
                  <c:v>41410</c:v>
                </c:pt>
                <c:pt idx="102">
                  <c:v>41409</c:v>
                </c:pt>
                <c:pt idx="103">
                  <c:v>41408</c:v>
                </c:pt>
                <c:pt idx="104">
                  <c:v>41407</c:v>
                </c:pt>
                <c:pt idx="105">
                  <c:v>41404</c:v>
                </c:pt>
                <c:pt idx="106">
                  <c:v>41403</c:v>
                </c:pt>
                <c:pt idx="107">
                  <c:v>41402</c:v>
                </c:pt>
                <c:pt idx="108">
                  <c:v>41401</c:v>
                </c:pt>
                <c:pt idx="109">
                  <c:v>41400</c:v>
                </c:pt>
                <c:pt idx="110">
                  <c:v>41397</c:v>
                </c:pt>
                <c:pt idx="111">
                  <c:v>41396</c:v>
                </c:pt>
                <c:pt idx="112">
                  <c:v>41395</c:v>
                </c:pt>
                <c:pt idx="113">
                  <c:v>41394</c:v>
                </c:pt>
                <c:pt idx="114">
                  <c:v>41393</c:v>
                </c:pt>
                <c:pt idx="115">
                  <c:v>41390</c:v>
                </c:pt>
                <c:pt idx="116">
                  <c:v>41389</c:v>
                </c:pt>
                <c:pt idx="117">
                  <c:v>41388</c:v>
                </c:pt>
                <c:pt idx="118">
                  <c:v>41387</c:v>
                </c:pt>
                <c:pt idx="119">
                  <c:v>41386</c:v>
                </c:pt>
                <c:pt idx="120">
                  <c:v>41383</c:v>
                </c:pt>
                <c:pt idx="121">
                  <c:v>41382</c:v>
                </c:pt>
                <c:pt idx="122">
                  <c:v>41381</c:v>
                </c:pt>
                <c:pt idx="123">
                  <c:v>41380</c:v>
                </c:pt>
                <c:pt idx="124">
                  <c:v>41379</c:v>
                </c:pt>
                <c:pt idx="125">
                  <c:v>41376</c:v>
                </c:pt>
                <c:pt idx="126">
                  <c:v>41375</c:v>
                </c:pt>
                <c:pt idx="127">
                  <c:v>41374</c:v>
                </c:pt>
                <c:pt idx="128">
                  <c:v>41373</c:v>
                </c:pt>
                <c:pt idx="129">
                  <c:v>41372</c:v>
                </c:pt>
                <c:pt idx="130">
                  <c:v>41369</c:v>
                </c:pt>
                <c:pt idx="131">
                  <c:v>41368</c:v>
                </c:pt>
                <c:pt idx="132">
                  <c:v>41367</c:v>
                </c:pt>
                <c:pt idx="133">
                  <c:v>41366</c:v>
                </c:pt>
                <c:pt idx="134">
                  <c:v>41365</c:v>
                </c:pt>
                <c:pt idx="135">
                  <c:v>41362</c:v>
                </c:pt>
                <c:pt idx="136">
                  <c:v>41361</c:v>
                </c:pt>
                <c:pt idx="137">
                  <c:v>41360</c:v>
                </c:pt>
                <c:pt idx="138">
                  <c:v>41359</c:v>
                </c:pt>
                <c:pt idx="139">
                  <c:v>41358</c:v>
                </c:pt>
                <c:pt idx="140">
                  <c:v>41355</c:v>
                </c:pt>
                <c:pt idx="141">
                  <c:v>41354</c:v>
                </c:pt>
                <c:pt idx="142">
                  <c:v>41353</c:v>
                </c:pt>
                <c:pt idx="143">
                  <c:v>41352</c:v>
                </c:pt>
                <c:pt idx="144">
                  <c:v>41351</c:v>
                </c:pt>
                <c:pt idx="145">
                  <c:v>41348</c:v>
                </c:pt>
                <c:pt idx="146">
                  <c:v>41347</c:v>
                </c:pt>
                <c:pt idx="147">
                  <c:v>41346</c:v>
                </c:pt>
                <c:pt idx="148">
                  <c:v>41345</c:v>
                </c:pt>
                <c:pt idx="149">
                  <c:v>41344</c:v>
                </c:pt>
                <c:pt idx="150">
                  <c:v>41341</c:v>
                </c:pt>
                <c:pt idx="151">
                  <c:v>41340</c:v>
                </c:pt>
                <c:pt idx="152">
                  <c:v>41339</c:v>
                </c:pt>
                <c:pt idx="153">
                  <c:v>41338</c:v>
                </c:pt>
                <c:pt idx="154">
                  <c:v>41337</c:v>
                </c:pt>
                <c:pt idx="155">
                  <c:v>41334</c:v>
                </c:pt>
                <c:pt idx="156">
                  <c:v>41333</c:v>
                </c:pt>
                <c:pt idx="157">
                  <c:v>41332</c:v>
                </c:pt>
                <c:pt idx="158">
                  <c:v>41331</c:v>
                </c:pt>
                <c:pt idx="159">
                  <c:v>41330</c:v>
                </c:pt>
                <c:pt idx="160">
                  <c:v>41327</c:v>
                </c:pt>
                <c:pt idx="161">
                  <c:v>41326</c:v>
                </c:pt>
                <c:pt idx="162">
                  <c:v>41325</c:v>
                </c:pt>
                <c:pt idx="163">
                  <c:v>41324</c:v>
                </c:pt>
                <c:pt idx="164">
                  <c:v>41323</c:v>
                </c:pt>
                <c:pt idx="165">
                  <c:v>41320</c:v>
                </c:pt>
                <c:pt idx="166">
                  <c:v>41319</c:v>
                </c:pt>
                <c:pt idx="167">
                  <c:v>41318</c:v>
                </c:pt>
                <c:pt idx="168">
                  <c:v>41317</c:v>
                </c:pt>
                <c:pt idx="169">
                  <c:v>41316</c:v>
                </c:pt>
                <c:pt idx="170">
                  <c:v>41313</c:v>
                </c:pt>
                <c:pt idx="171">
                  <c:v>41312</c:v>
                </c:pt>
                <c:pt idx="172">
                  <c:v>41311</c:v>
                </c:pt>
                <c:pt idx="173">
                  <c:v>41310</c:v>
                </c:pt>
                <c:pt idx="174">
                  <c:v>41309</c:v>
                </c:pt>
                <c:pt idx="175">
                  <c:v>41306</c:v>
                </c:pt>
                <c:pt idx="176">
                  <c:v>41305</c:v>
                </c:pt>
                <c:pt idx="177">
                  <c:v>41304</c:v>
                </c:pt>
                <c:pt idx="178">
                  <c:v>41303</c:v>
                </c:pt>
                <c:pt idx="179">
                  <c:v>41302</c:v>
                </c:pt>
                <c:pt idx="180">
                  <c:v>41299</c:v>
                </c:pt>
                <c:pt idx="181">
                  <c:v>41298</c:v>
                </c:pt>
                <c:pt idx="182">
                  <c:v>41297</c:v>
                </c:pt>
                <c:pt idx="183">
                  <c:v>41296</c:v>
                </c:pt>
                <c:pt idx="184">
                  <c:v>41295</c:v>
                </c:pt>
                <c:pt idx="185">
                  <c:v>41292</c:v>
                </c:pt>
                <c:pt idx="186">
                  <c:v>41291</c:v>
                </c:pt>
                <c:pt idx="187">
                  <c:v>41290</c:v>
                </c:pt>
                <c:pt idx="188">
                  <c:v>41289</c:v>
                </c:pt>
                <c:pt idx="189">
                  <c:v>41288</c:v>
                </c:pt>
                <c:pt idx="190">
                  <c:v>41285</c:v>
                </c:pt>
                <c:pt idx="191">
                  <c:v>41284</c:v>
                </c:pt>
                <c:pt idx="192">
                  <c:v>41283</c:v>
                </c:pt>
                <c:pt idx="193">
                  <c:v>41282</c:v>
                </c:pt>
                <c:pt idx="194">
                  <c:v>41281</c:v>
                </c:pt>
                <c:pt idx="195">
                  <c:v>41278</c:v>
                </c:pt>
                <c:pt idx="196">
                  <c:v>41277</c:v>
                </c:pt>
                <c:pt idx="197">
                  <c:v>41276</c:v>
                </c:pt>
                <c:pt idx="198">
                  <c:v>41275</c:v>
                </c:pt>
                <c:pt idx="199">
                  <c:v>41274</c:v>
                </c:pt>
                <c:pt idx="200">
                  <c:v>41271</c:v>
                </c:pt>
                <c:pt idx="201">
                  <c:v>41270</c:v>
                </c:pt>
                <c:pt idx="202">
                  <c:v>41269</c:v>
                </c:pt>
                <c:pt idx="203">
                  <c:v>41268</c:v>
                </c:pt>
                <c:pt idx="204">
                  <c:v>41267</c:v>
                </c:pt>
                <c:pt idx="205">
                  <c:v>41264</c:v>
                </c:pt>
                <c:pt idx="206">
                  <c:v>41263</c:v>
                </c:pt>
                <c:pt idx="207">
                  <c:v>41262</c:v>
                </c:pt>
                <c:pt idx="208">
                  <c:v>41261</c:v>
                </c:pt>
                <c:pt idx="209">
                  <c:v>41260</c:v>
                </c:pt>
                <c:pt idx="210">
                  <c:v>41257</c:v>
                </c:pt>
                <c:pt idx="211">
                  <c:v>41256</c:v>
                </c:pt>
                <c:pt idx="212">
                  <c:v>41255</c:v>
                </c:pt>
                <c:pt idx="213">
                  <c:v>41254</c:v>
                </c:pt>
                <c:pt idx="214">
                  <c:v>41253</c:v>
                </c:pt>
                <c:pt idx="215">
                  <c:v>41250</c:v>
                </c:pt>
                <c:pt idx="216">
                  <c:v>41249</c:v>
                </c:pt>
                <c:pt idx="217">
                  <c:v>41248</c:v>
                </c:pt>
                <c:pt idx="218">
                  <c:v>41247</c:v>
                </c:pt>
                <c:pt idx="219">
                  <c:v>41246</c:v>
                </c:pt>
              </c:numCache>
            </c:numRef>
          </c:cat>
          <c:val>
            <c:numRef>
              <c:f>'131007'!$E$7:$E$226</c:f>
              <c:numCache>
                <c:formatCode>0.000_ </c:formatCode>
                <c:ptCount val="220"/>
                <c:pt idx="0">
                  <c:v>6.3380000000000001</c:v>
                </c:pt>
                <c:pt idx="1">
                  <c:v>6.3879999999999955</c:v>
                </c:pt>
                <c:pt idx="2">
                  <c:v>6.3890000000000002</c:v>
                </c:pt>
                <c:pt idx="3">
                  <c:v>6.335</c:v>
                </c:pt>
                <c:pt idx="4">
                  <c:v>6.3879999999999955</c:v>
                </c:pt>
                <c:pt idx="5">
                  <c:v>6.3239999999999945</c:v>
                </c:pt>
                <c:pt idx="6">
                  <c:v>6.3029999999999955</c:v>
                </c:pt>
                <c:pt idx="7">
                  <c:v>5.9610000000000003</c:v>
                </c:pt>
                <c:pt idx="8">
                  <c:v>6.016</c:v>
                </c:pt>
                <c:pt idx="9">
                  <c:v>6.2249999999999943</c:v>
                </c:pt>
                <c:pt idx="10">
                  <c:v>6.2530000000000001</c:v>
                </c:pt>
                <c:pt idx="11">
                  <c:v>6.03</c:v>
                </c:pt>
                <c:pt idx="12">
                  <c:v>6.5169999999999995</c:v>
                </c:pt>
                <c:pt idx="13">
                  <c:v>6.6839999999999975</c:v>
                </c:pt>
                <c:pt idx="14">
                  <c:v>6.8369999999999997</c:v>
                </c:pt>
                <c:pt idx="15">
                  <c:v>7.3010000000000002</c:v>
                </c:pt>
                <c:pt idx="16">
                  <c:v>7.3010000000000002</c:v>
                </c:pt>
                <c:pt idx="17">
                  <c:v>7.3010000000000002</c:v>
                </c:pt>
                <c:pt idx="18">
                  <c:v>7.3010000000000002</c:v>
                </c:pt>
                <c:pt idx="19">
                  <c:v>7.3010000000000002</c:v>
                </c:pt>
                <c:pt idx="20">
                  <c:v>7.3010000000000002</c:v>
                </c:pt>
                <c:pt idx="21">
                  <c:v>7.1890000000000001</c:v>
                </c:pt>
                <c:pt idx="22">
                  <c:v>7.1</c:v>
                </c:pt>
                <c:pt idx="23">
                  <c:v>6.8939999999999975</c:v>
                </c:pt>
                <c:pt idx="24">
                  <c:v>6.681</c:v>
                </c:pt>
                <c:pt idx="25">
                  <c:v>6.681</c:v>
                </c:pt>
                <c:pt idx="26">
                  <c:v>6.7329999999999997</c:v>
                </c:pt>
                <c:pt idx="27">
                  <c:v>6.7489999999999997</c:v>
                </c:pt>
                <c:pt idx="28">
                  <c:v>6.6969999999999965</c:v>
                </c:pt>
                <c:pt idx="29">
                  <c:v>6.6</c:v>
                </c:pt>
                <c:pt idx="30">
                  <c:v>6.6039999999999965</c:v>
                </c:pt>
                <c:pt idx="31">
                  <c:v>6.5739999999999998</c:v>
                </c:pt>
                <c:pt idx="32">
                  <c:v>6.492</c:v>
                </c:pt>
                <c:pt idx="33">
                  <c:v>6.492</c:v>
                </c:pt>
                <c:pt idx="34">
                  <c:v>6.024999999999995</c:v>
                </c:pt>
                <c:pt idx="35">
                  <c:v>6.016</c:v>
                </c:pt>
                <c:pt idx="36">
                  <c:v>6.0330000000000004</c:v>
                </c:pt>
                <c:pt idx="37">
                  <c:v>6.0060000000000002</c:v>
                </c:pt>
                <c:pt idx="38">
                  <c:v>6.0129999999999955</c:v>
                </c:pt>
                <c:pt idx="39">
                  <c:v>5.9859999999999998</c:v>
                </c:pt>
                <c:pt idx="40">
                  <c:v>5.9809999999999999</c:v>
                </c:pt>
                <c:pt idx="41">
                  <c:v>5.9749999999999996</c:v>
                </c:pt>
                <c:pt idx="42">
                  <c:v>5.9720000000000004</c:v>
                </c:pt>
                <c:pt idx="43">
                  <c:v>5.9210000000000003</c:v>
                </c:pt>
                <c:pt idx="44">
                  <c:v>5.9779999999999998</c:v>
                </c:pt>
                <c:pt idx="45">
                  <c:v>6.0289999999999955</c:v>
                </c:pt>
                <c:pt idx="46">
                  <c:v>5.9770000000000003</c:v>
                </c:pt>
                <c:pt idx="47">
                  <c:v>5.9850000000000003</c:v>
                </c:pt>
                <c:pt idx="48">
                  <c:v>5.9669999999999996</c:v>
                </c:pt>
                <c:pt idx="49">
                  <c:v>5.8929999999999945</c:v>
                </c:pt>
                <c:pt idx="50">
                  <c:v>5.9180000000000001</c:v>
                </c:pt>
                <c:pt idx="51">
                  <c:v>6.0129999999999955</c:v>
                </c:pt>
                <c:pt idx="52">
                  <c:v>5.7649999999999944</c:v>
                </c:pt>
                <c:pt idx="53">
                  <c:v>5.8679999999999941</c:v>
                </c:pt>
                <c:pt idx="54">
                  <c:v>5.3639999999999946</c:v>
                </c:pt>
                <c:pt idx="55">
                  <c:v>5.4630000000000001</c:v>
                </c:pt>
                <c:pt idx="56">
                  <c:v>5.5129999999999955</c:v>
                </c:pt>
                <c:pt idx="57">
                  <c:v>5.6379999999999955</c:v>
                </c:pt>
                <c:pt idx="58">
                  <c:v>5.6379999999999955</c:v>
                </c:pt>
                <c:pt idx="59">
                  <c:v>5.6749999999999945</c:v>
                </c:pt>
                <c:pt idx="60">
                  <c:v>5.6199999999999966</c:v>
                </c:pt>
                <c:pt idx="61">
                  <c:v>5.624999999999992</c:v>
                </c:pt>
                <c:pt idx="62">
                  <c:v>5.654999999999994</c:v>
                </c:pt>
                <c:pt idx="63">
                  <c:v>5.6819999999999995</c:v>
                </c:pt>
                <c:pt idx="64">
                  <c:v>5.7889999999999997</c:v>
                </c:pt>
                <c:pt idx="65">
                  <c:v>5.6449999999999942</c:v>
                </c:pt>
                <c:pt idx="66">
                  <c:v>5.624999999999992</c:v>
                </c:pt>
                <c:pt idx="67">
                  <c:v>5.5890000000000004</c:v>
                </c:pt>
                <c:pt idx="68">
                  <c:v>5.6169999999999956</c:v>
                </c:pt>
                <c:pt idx="69">
                  <c:v>5.4300000000000024</c:v>
                </c:pt>
                <c:pt idx="70">
                  <c:v>5.4300000000000024</c:v>
                </c:pt>
                <c:pt idx="71">
                  <c:v>5.5519999999999996</c:v>
                </c:pt>
                <c:pt idx="72">
                  <c:v>6.0229999999999944</c:v>
                </c:pt>
                <c:pt idx="73">
                  <c:v>6.0419999999999998</c:v>
                </c:pt>
                <c:pt idx="74">
                  <c:v>5.8209999999999944</c:v>
                </c:pt>
                <c:pt idx="75">
                  <c:v>5.577</c:v>
                </c:pt>
                <c:pt idx="76">
                  <c:v>5.324999999999994</c:v>
                </c:pt>
                <c:pt idx="77">
                  <c:v>5.0209999999999955</c:v>
                </c:pt>
                <c:pt idx="78">
                  <c:v>5.024999999999995</c:v>
                </c:pt>
                <c:pt idx="79">
                  <c:v>5.0199999999999996</c:v>
                </c:pt>
                <c:pt idx="80">
                  <c:v>5.468</c:v>
                </c:pt>
                <c:pt idx="81">
                  <c:v>5.5869999999999997</c:v>
                </c:pt>
                <c:pt idx="82">
                  <c:v>5.3439999999999985</c:v>
                </c:pt>
                <c:pt idx="83">
                  <c:v>5.3979999999999944</c:v>
                </c:pt>
                <c:pt idx="84">
                  <c:v>5.3199999999999985</c:v>
                </c:pt>
                <c:pt idx="85">
                  <c:v>5.2530000000000001</c:v>
                </c:pt>
                <c:pt idx="86">
                  <c:v>5.2030000000000003</c:v>
                </c:pt>
                <c:pt idx="87">
                  <c:v>5.1749999999999945</c:v>
                </c:pt>
                <c:pt idx="88">
                  <c:v>5.0960000000000001</c:v>
                </c:pt>
                <c:pt idx="89">
                  <c:v>4.9450000000000003</c:v>
                </c:pt>
                <c:pt idx="90">
                  <c:v>4.7679999999999945</c:v>
                </c:pt>
                <c:pt idx="91">
                  <c:v>4.7560000000000002</c:v>
                </c:pt>
                <c:pt idx="92">
                  <c:v>4.734</c:v>
                </c:pt>
                <c:pt idx="93">
                  <c:v>4.4740000000000002</c:v>
                </c:pt>
                <c:pt idx="94">
                  <c:v>4.4219999999999997</c:v>
                </c:pt>
                <c:pt idx="95">
                  <c:v>4.3609999999999944</c:v>
                </c:pt>
                <c:pt idx="96">
                  <c:v>4.3490000000000002</c:v>
                </c:pt>
                <c:pt idx="97">
                  <c:v>4.383</c:v>
                </c:pt>
                <c:pt idx="98">
                  <c:v>4.375</c:v>
                </c:pt>
                <c:pt idx="99">
                  <c:v>4.28</c:v>
                </c:pt>
                <c:pt idx="100">
                  <c:v>4.3119999999999985</c:v>
                </c:pt>
                <c:pt idx="101">
                  <c:v>4.4800000000000004</c:v>
                </c:pt>
                <c:pt idx="102">
                  <c:v>4.5199999999999996</c:v>
                </c:pt>
                <c:pt idx="103">
                  <c:v>4.4939999999999998</c:v>
                </c:pt>
                <c:pt idx="104">
                  <c:v>4.4580000000000002</c:v>
                </c:pt>
                <c:pt idx="105">
                  <c:v>4.4370000000000003</c:v>
                </c:pt>
                <c:pt idx="106">
                  <c:v>4.4879999999999995</c:v>
                </c:pt>
                <c:pt idx="107">
                  <c:v>4.532</c:v>
                </c:pt>
                <c:pt idx="108">
                  <c:v>4.5490000000000004</c:v>
                </c:pt>
                <c:pt idx="109">
                  <c:v>4.5519999999999996</c:v>
                </c:pt>
                <c:pt idx="110">
                  <c:v>4.5619999999999985</c:v>
                </c:pt>
                <c:pt idx="111">
                  <c:v>4.593</c:v>
                </c:pt>
                <c:pt idx="112">
                  <c:v>4.662999999999994</c:v>
                </c:pt>
                <c:pt idx="113">
                  <c:v>4.6530000000000005</c:v>
                </c:pt>
                <c:pt idx="114">
                  <c:v>4.71</c:v>
                </c:pt>
                <c:pt idx="115">
                  <c:v>4.7089999999999996</c:v>
                </c:pt>
                <c:pt idx="116">
                  <c:v>4.7229999999999945</c:v>
                </c:pt>
                <c:pt idx="117">
                  <c:v>4.7309999999999999</c:v>
                </c:pt>
                <c:pt idx="118">
                  <c:v>4.7210000000000001</c:v>
                </c:pt>
                <c:pt idx="119">
                  <c:v>4.7169999999999996</c:v>
                </c:pt>
                <c:pt idx="120">
                  <c:v>4.7160000000000002</c:v>
                </c:pt>
                <c:pt idx="121">
                  <c:v>4.6099999999999985</c:v>
                </c:pt>
                <c:pt idx="122">
                  <c:v>4.4290000000000003</c:v>
                </c:pt>
                <c:pt idx="123">
                  <c:v>4.3029999999999955</c:v>
                </c:pt>
                <c:pt idx="124">
                  <c:v>4.2839999999999998</c:v>
                </c:pt>
                <c:pt idx="125">
                  <c:v>4.3239999999999945</c:v>
                </c:pt>
                <c:pt idx="126">
                  <c:v>4.3289999999999944</c:v>
                </c:pt>
                <c:pt idx="127">
                  <c:v>4.3629999999999942</c:v>
                </c:pt>
                <c:pt idx="128">
                  <c:v>4.508</c:v>
                </c:pt>
                <c:pt idx="129">
                  <c:v>4.585</c:v>
                </c:pt>
                <c:pt idx="130">
                  <c:v>4.6289999999999942</c:v>
                </c:pt>
                <c:pt idx="131">
                  <c:v>4.7309999999999999</c:v>
                </c:pt>
                <c:pt idx="132">
                  <c:v>4.7679999999999945</c:v>
                </c:pt>
                <c:pt idx="133">
                  <c:v>4.7669999999999995</c:v>
                </c:pt>
                <c:pt idx="134">
                  <c:v>4.7679999999999945</c:v>
                </c:pt>
                <c:pt idx="135">
                  <c:v>4.7679999999999945</c:v>
                </c:pt>
                <c:pt idx="136">
                  <c:v>4.7489999999999997</c:v>
                </c:pt>
                <c:pt idx="137">
                  <c:v>4.7149999999999945</c:v>
                </c:pt>
                <c:pt idx="138">
                  <c:v>4.734</c:v>
                </c:pt>
                <c:pt idx="139">
                  <c:v>4.7409999999999997</c:v>
                </c:pt>
                <c:pt idx="140">
                  <c:v>4.7519999999999998</c:v>
                </c:pt>
                <c:pt idx="141">
                  <c:v>4.7610000000000001</c:v>
                </c:pt>
                <c:pt idx="142">
                  <c:v>4.7549999999999955</c:v>
                </c:pt>
                <c:pt idx="143">
                  <c:v>4.7080000000000002</c:v>
                </c:pt>
                <c:pt idx="144">
                  <c:v>4.7290000000000001</c:v>
                </c:pt>
                <c:pt idx="145">
                  <c:v>4.6849999999999943</c:v>
                </c:pt>
                <c:pt idx="146">
                  <c:v>4.7050000000000001</c:v>
                </c:pt>
                <c:pt idx="147">
                  <c:v>4.6929999999999943</c:v>
                </c:pt>
                <c:pt idx="148">
                  <c:v>4.681</c:v>
                </c:pt>
                <c:pt idx="149">
                  <c:v>4.6760000000000002</c:v>
                </c:pt>
                <c:pt idx="150">
                  <c:v>4.6879999999999944</c:v>
                </c:pt>
                <c:pt idx="151">
                  <c:v>4.6760000000000002</c:v>
                </c:pt>
                <c:pt idx="152">
                  <c:v>4.681</c:v>
                </c:pt>
                <c:pt idx="153">
                  <c:v>4.6839999999999975</c:v>
                </c:pt>
                <c:pt idx="154">
                  <c:v>4.6749999999999945</c:v>
                </c:pt>
                <c:pt idx="155">
                  <c:v>4.6599999999999975</c:v>
                </c:pt>
                <c:pt idx="156">
                  <c:v>4.6739999999999995</c:v>
                </c:pt>
                <c:pt idx="157">
                  <c:v>4.7</c:v>
                </c:pt>
                <c:pt idx="158">
                  <c:v>4.6719999999999997</c:v>
                </c:pt>
                <c:pt idx="159">
                  <c:v>4.681</c:v>
                </c:pt>
                <c:pt idx="160">
                  <c:v>4.68</c:v>
                </c:pt>
                <c:pt idx="161">
                  <c:v>4.6779999999999955</c:v>
                </c:pt>
                <c:pt idx="162">
                  <c:v>4.5979999999999945</c:v>
                </c:pt>
                <c:pt idx="163">
                  <c:v>4.5990000000000002</c:v>
                </c:pt>
                <c:pt idx="164">
                  <c:v>4.662999999999994</c:v>
                </c:pt>
                <c:pt idx="165">
                  <c:v>4.7039999999999997</c:v>
                </c:pt>
                <c:pt idx="166">
                  <c:v>4.7679999999999945</c:v>
                </c:pt>
                <c:pt idx="167">
                  <c:v>4.8139999999999965</c:v>
                </c:pt>
                <c:pt idx="168">
                  <c:v>4.8019999999999996</c:v>
                </c:pt>
                <c:pt idx="169">
                  <c:v>4.8069999999999995</c:v>
                </c:pt>
                <c:pt idx="170">
                  <c:v>4.7620000000000005</c:v>
                </c:pt>
                <c:pt idx="171">
                  <c:v>4.7750000000000004</c:v>
                </c:pt>
                <c:pt idx="172">
                  <c:v>4.8090000000000002</c:v>
                </c:pt>
                <c:pt idx="173">
                  <c:v>4.8479999999999945</c:v>
                </c:pt>
                <c:pt idx="174">
                  <c:v>4.0669999999999975</c:v>
                </c:pt>
                <c:pt idx="175">
                  <c:v>4.0669999999999975</c:v>
                </c:pt>
                <c:pt idx="176">
                  <c:v>4.0669999999999975</c:v>
                </c:pt>
                <c:pt idx="177">
                  <c:v>4.0659999999999945</c:v>
                </c:pt>
                <c:pt idx="178">
                  <c:v>4.0839999999999996</c:v>
                </c:pt>
                <c:pt idx="179">
                  <c:v>4.0830000000000002</c:v>
                </c:pt>
                <c:pt idx="180">
                  <c:v>4.0880000000000001</c:v>
                </c:pt>
                <c:pt idx="181">
                  <c:v>4.0709999999999997</c:v>
                </c:pt>
                <c:pt idx="182">
                  <c:v>4.0659999999999945</c:v>
                </c:pt>
                <c:pt idx="183">
                  <c:v>4.0639999999999965</c:v>
                </c:pt>
                <c:pt idx="184">
                  <c:v>4.0739999999999998</c:v>
                </c:pt>
                <c:pt idx="185">
                  <c:v>4.0569999999999995</c:v>
                </c:pt>
                <c:pt idx="186">
                  <c:v>4.0639999999999965</c:v>
                </c:pt>
                <c:pt idx="187">
                  <c:v>4.0369999999999999</c:v>
                </c:pt>
                <c:pt idx="188">
                  <c:v>4.0890000000000004</c:v>
                </c:pt>
                <c:pt idx="189">
                  <c:v>4.07</c:v>
                </c:pt>
                <c:pt idx="190">
                  <c:v>4.069</c:v>
                </c:pt>
                <c:pt idx="191">
                  <c:v>4.1069999999999975</c:v>
                </c:pt>
                <c:pt idx="192">
                  <c:v>4.0819999999999999</c:v>
                </c:pt>
                <c:pt idx="193">
                  <c:v>4.0759999999999996</c:v>
                </c:pt>
                <c:pt idx="194">
                  <c:v>4.0529999999999955</c:v>
                </c:pt>
                <c:pt idx="195">
                  <c:v>4.0549999999999944</c:v>
                </c:pt>
                <c:pt idx="196">
                  <c:v>4.1599999999999975</c:v>
                </c:pt>
                <c:pt idx="197">
                  <c:v>4.2679999999999945</c:v>
                </c:pt>
                <c:pt idx="198">
                  <c:v>4.3839999999999995</c:v>
                </c:pt>
                <c:pt idx="199">
                  <c:v>4.3789999999999996</c:v>
                </c:pt>
                <c:pt idx="200">
                  <c:v>4.3609999999999944</c:v>
                </c:pt>
                <c:pt idx="201">
                  <c:v>4.3849999999999945</c:v>
                </c:pt>
                <c:pt idx="202">
                  <c:v>4.3789999999999996</c:v>
                </c:pt>
                <c:pt idx="203">
                  <c:v>4.3769999999999998</c:v>
                </c:pt>
                <c:pt idx="204">
                  <c:v>4.375</c:v>
                </c:pt>
                <c:pt idx="205">
                  <c:v>4.383</c:v>
                </c:pt>
                <c:pt idx="206">
                  <c:v>4.3760000000000003</c:v>
                </c:pt>
                <c:pt idx="207">
                  <c:v>4.3879999999999955</c:v>
                </c:pt>
                <c:pt idx="208">
                  <c:v>4.3879999999999955</c:v>
                </c:pt>
                <c:pt idx="209">
                  <c:v>4.359</c:v>
                </c:pt>
                <c:pt idx="210">
                  <c:v>4.3629999999999942</c:v>
                </c:pt>
                <c:pt idx="211">
                  <c:v>4.3639999999999946</c:v>
                </c:pt>
                <c:pt idx="212">
                  <c:v>4.37</c:v>
                </c:pt>
                <c:pt idx="213">
                  <c:v>4.3860000000000001</c:v>
                </c:pt>
                <c:pt idx="214">
                  <c:v>4.3819999999999997</c:v>
                </c:pt>
                <c:pt idx="215">
                  <c:v>4.3710000000000004</c:v>
                </c:pt>
                <c:pt idx="216">
                  <c:v>4.3939999999999975</c:v>
                </c:pt>
                <c:pt idx="217">
                  <c:v>4.7149999999999945</c:v>
                </c:pt>
                <c:pt idx="218">
                  <c:v>4.2669999999999995</c:v>
                </c:pt>
                <c:pt idx="219">
                  <c:v>4.1339999999999995</c:v>
                </c:pt>
              </c:numCache>
            </c:numRef>
          </c:val>
          <c:smooth val="0"/>
        </c:ser>
        <c:ser>
          <c:idx val="2"/>
          <c:order val="2"/>
          <c:tx>
            <c:v>5 Year DBM Bonds</c:v>
          </c:tx>
          <c:spPr>
            <a:ln w="22225">
              <a:solidFill>
                <a:schemeClr val="tx1"/>
              </a:solidFill>
              <a:prstDash val="sysDash"/>
            </a:ln>
          </c:spPr>
          <c:marker>
            <c:symbol val="none"/>
          </c:marker>
          <c:val>
            <c:numRef>
              <c:f>'131007'!$K$7:$K$226</c:f>
              <c:numCache>
                <c:formatCode>0.000_ </c:formatCode>
                <c:ptCount val="220"/>
                <c:pt idx="0">
                  <c:v>7.516</c:v>
                </c:pt>
                <c:pt idx="1">
                  <c:v>7.5339999999999998</c:v>
                </c:pt>
                <c:pt idx="2">
                  <c:v>7.5569999999999995</c:v>
                </c:pt>
                <c:pt idx="3">
                  <c:v>7.5419999999999998</c:v>
                </c:pt>
                <c:pt idx="4">
                  <c:v>7.4349999999999996</c:v>
                </c:pt>
                <c:pt idx="5">
                  <c:v>7.52</c:v>
                </c:pt>
                <c:pt idx="6">
                  <c:v>7.4859999999999998</c:v>
                </c:pt>
                <c:pt idx="7">
                  <c:v>7.492</c:v>
                </c:pt>
                <c:pt idx="8">
                  <c:v>7.5190000000000001</c:v>
                </c:pt>
                <c:pt idx="9">
                  <c:v>7.51</c:v>
                </c:pt>
                <c:pt idx="10">
                  <c:v>7.5090000000000003</c:v>
                </c:pt>
                <c:pt idx="11">
                  <c:v>7.4960000000000004</c:v>
                </c:pt>
                <c:pt idx="12">
                  <c:v>8.0080000000000009</c:v>
                </c:pt>
                <c:pt idx="13">
                  <c:v>8.3470000000000013</c:v>
                </c:pt>
                <c:pt idx="14">
                  <c:v>8.2620000000000005</c:v>
                </c:pt>
                <c:pt idx="15">
                  <c:v>8.6070000000000011</c:v>
                </c:pt>
                <c:pt idx="16">
                  <c:v>8.6550000000000047</c:v>
                </c:pt>
                <c:pt idx="17">
                  <c:v>8.7640000000000011</c:v>
                </c:pt>
                <c:pt idx="18">
                  <c:v>8.918000000000001</c:v>
                </c:pt>
                <c:pt idx="19">
                  <c:v>9.3960000000000008</c:v>
                </c:pt>
                <c:pt idx="20">
                  <c:v>9.4970000000000034</c:v>
                </c:pt>
                <c:pt idx="21">
                  <c:v>9.516</c:v>
                </c:pt>
                <c:pt idx="22">
                  <c:v>9.4870000000000001</c:v>
                </c:pt>
                <c:pt idx="23">
                  <c:v>8.9820000000000046</c:v>
                </c:pt>
                <c:pt idx="24">
                  <c:v>9.1020000000000003</c:v>
                </c:pt>
                <c:pt idx="25">
                  <c:v>9.0350000000000001</c:v>
                </c:pt>
                <c:pt idx="26">
                  <c:v>8.89</c:v>
                </c:pt>
                <c:pt idx="27">
                  <c:v>8.8050000000000068</c:v>
                </c:pt>
                <c:pt idx="28">
                  <c:v>8.66</c:v>
                </c:pt>
                <c:pt idx="29">
                  <c:v>8.516</c:v>
                </c:pt>
                <c:pt idx="30">
                  <c:v>8.4860000000000007</c:v>
                </c:pt>
                <c:pt idx="31">
                  <c:v>8.4510000000000005</c:v>
                </c:pt>
                <c:pt idx="32">
                  <c:v>8.136000000000001</c:v>
                </c:pt>
                <c:pt idx="33">
                  <c:v>8.0419999999999998</c:v>
                </c:pt>
                <c:pt idx="34">
                  <c:v>7.7590000000000003</c:v>
                </c:pt>
                <c:pt idx="35">
                  <c:v>7.6949999999999941</c:v>
                </c:pt>
                <c:pt idx="36">
                  <c:v>7.6219999999999946</c:v>
                </c:pt>
                <c:pt idx="37">
                  <c:v>7.5</c:v>
                </c:pt>
                <c:pt idx="38">
                  <c:v>7.5030000000000001</c:v>
                </c:pt>
                <c:pt idx="39">
                  <c:v>7.383</c:v>
                </c:pt>
                <c:pt idx="40">
                  <c:v>7.3569999999999975</c:v>
                </c:pt>
                <c:pt idx="41">
                  <c:v>7.2709999999999999</c:v>
                </c:pt>
                <c:pt idx="42">
                  <c:v>7.28</c:v>
                </c:pt>
                <c:pt idx="43">
                  <c:v>7.2809999999999997</c:v>
                </c:pt>
                <c:pt idx="44">
                  <c:v>7.1849999999999943</c:v>
                </c:pt>
                <c:pt idx="45">
                  <c:v>7.5</c:v>
                </c:pt>
                <c:pt idx="46">
                  <c:v>7.0619999999999985</c:v>
                </c:pt>
                <c:pt idx="47">
                  <c:v>7.0910000000000002</c:v>
                </c:pt>
                <c:pt idx="48">
                  <c:v>7.0759999999999996</c:v>
                </c:pt>
                <c:pt idx="49">
                  <c:v>6.98</c:v>
                </c:pt>
                <c:pt idx="50">
                  <c:v>7.1599999999999975</c:v>
                </c:pt>
                <c:pt idx="51">
                  <c:v>7.124999999999992</c:v>
                </c:pt>
                <c:pt idx="52">
                  <c:v>7.0739999999999998</c:v>
                </c:pt>
                <c:pt idx="53">
                  <c:v>7.0090000000000003</c:v>
                </c:pt>
                <c:pt idx="54">
                  <c:v>6.1029999999999944</c:v>
                </c:pt>
                <c:pt idx="55">
                  <c:v>6.2160000000000002</c:v>
                </c:pt>
                <c:pt idx="56">
                  <c:v>6.1859999999999955</c:v>
                </c:pt>
                <c:pt idx="57">
                  <c:v>6.3209999999999944</c:v>
                </c:pt>
                <c:pt idx="58">
                  <c:v>6.5069999999999997</c:v>
                </c:pt>
                <c:pt idx="59">
                  <c:v>6.4909999999999997</c:v>
                </c:pt>
                <c:pt idx="60">
                  <c:v>6.6569999999999965</c:v>
                </c:pt>
                <c:pt idx="61">
                  <c:v>6.6679999999999939</c:v>
                </c:pt>
                <c:pt idx="62">
                  <c:v>6.654999999999994</c:v>
                </c:pt>
                <c:pt idx="63">
                  <c:v>6.524999999999995</c:v>
                </c:pt>
                <c:pt idx="64">
                  <c:v>6.718</c:v>
                </c:pt>
                <c:pt idx="65">
                  <c:v>6.49</c:v>
                </c:pt>
                <c:pt idx="66">
                  <c:v>6.4239999999999995</c:v>
                </c:pt>
                <c:pt idx="67">
                  <c:v>6.2089999999999996</c:v>
                </c:pt>
                <c:pt idx="68">
                  <c:v>6.1849999999999943</c:v>
                </c:pt>
                <c:pt idx="69">
                  <c:v>6.3310000000000004</c:v>
                </c:pt>
                <c:pt idx="70">
                  <c:v>6.4710000000000063</c:v>
                </c:pt>
                <c:pt idx="71">
                  <c:v>6.665999999999995</c:v>
                </c:pt>
                <c:pt idx="72">
                  <c:v>6.5659999999999945</c:v>
                </c:pt>
                <c:pt idx="73">
                  <c:v>6.8279999999999941</c:v>
                </c:pt>
                <c:pt idx="74">
                  <c:v>6.8469999999999995</c:v>
                </c:pt>
                <c:pt idx="75">
                  <c:v>6.51</c:v>
                </c:pt>
                <c:pt idx="76">
                  <c:v>6.2690000000000001</c:v>
                </c:pt>
                <c:pt idx="77">
                  <c:v>5.8949999999999942</c:v>
                </c:pt>
                <c:pt idx="78">
                  <c:v>5.891</c:v>
                </c:pt>
                <c:pt idx="79">
                  <c:v>5.819</c:v>
                </c:pt>
                <c:pt idx="80">
                  <c:v>5.9749999999999996</c:v>
                </c:pt>
                <c:pt idx="81">
                  <c:v>6.0789999999999997</c:v>
                </c:pt>
                <c:pt idx="82">
                  <c:v>5.7119999999999997</c:v>
                </c:pt>
                <c:pt idx="83">
                  <c:v>5.859</c:v>
                </c:pt>
                <c:pt idx="84">
                  <c:v>5.5669999999999975</c:v>
                </c:pt>
                <c:pt idx="85">
                  <c:v>5.4649999999999945</c:v>
                </c:pt>
                <c:pt idx="86">
                  <c:v>5.423</c:v>
                </c:pt>
                <c:pt idx="87">
                  <c:v>5.4429999999999996</c:v>
                </c:pt>
                <c:pt idx="88">
                  <c:v>5.4740000000000002</c:v>
                </c:pt>
                <c:pt idx="89">
                  <c:v>5.4459999999999997</c:v>
                </c:pt>
                <c:pt idx="90">
                  <c:v>5.13</c:v>
                </c:pt>
                <c:pt idx="91">
                  <c:v>5.05</c:v>
                </c:pt>
                <c:pt idx="92">
                  <c:v>4.9879999999999995</c:v>
                </c:pt>
                <c:pt idx="93">
                  <c:v>4.8819999999999997</c:v>
                </c:pt>
                <c:pt idx="94">
                  <c:v>4.8639999999999946</c:v>
                </c:pt>
                <c:pt idx="95">
                  <c:v>4.8309999999999995</c:v>
                </c:pt>
                <c:pt idx="96">
                  <c:v>4.8169999999999975</c:v>
                </c:pt>
                <c:pt idx="97">
                  <c:v>4.8559999999999945</c:v>
                </c:pt>
                <c:pt idx="98">
                  <c:v>4.7880000000000003</c:v>
                </c:pt>
                <c:pt idx="99">
                  <c:v>4.6619999999999955</c:v>
                </c:pt>
                <c:pt idx="100">
                  <c:v>4.7080000000000002</c:v>
                </c:pt>
                <c:pt idx="101">
                  <c:v>4.7130000000000001</c:v>
                </c:pt>
                <c:pt idx="102">
                  <c:v>4.7309999999999999</c:v>
                </c:pt>
                <c:pt idx="103">
                  <c:v>4.74</c:v>
                </c:pt>
                <c:pt idx="104">
                  <c:v>4.7139999999999995</c:v>
                </c:pt>
                <c:pt idx="105">
                  <c:v>4.6929999999999943</c:v>
                </c:pt>
                <c:pt idx="106">
                  <c:v>4.726</c:v>
                </c:pt>
                <c:pt idx="107">
                  <c:v>4.7610000000000001</c:v>
                </c:pt>
                <c:pt idx="108">
                  <c:v>4.7549999999999955</c:v>
                </c:pt>
                <c:pt idx="109">
                  <c:v>4.7530000000000001</c:v>
                </c:pt>
                <c:pt idx="110">
                  <c:v>4.7639999999999985</c:v>
                </c:pt>
                <c:pt idx="111">
                  <c:v>4.7930000000000001</c:v>
                </c:pt>
                <c:pt idx="112">
                  <c:v>4.79</c:v>
                </c:pt>
                <c:pt idx="113">
                  <c:v>4.7699999999999996</c:v>
                </c:pt>
                <c:pt idx="114">
                  <c:v>4.7530000000000001</c:v>
                </c:pt>
                <c:pt idx="115">
                  <c:v>4.7229999999999945</c:v>
                </c:pt>
                <c:pt idx="116">
                  <c:v>4.7269999999999985</c:v>
                </c:pt>
                <c:pt idx="117">
                  <c:v>4.758</c:v>
                </c:pt>
                <c:pt idx="118">
                  <c:v>4.726</c:v>
                </c:pt>
                <c:pt idx="119">
                  <c:v>4.7320000000000002</c:v>
                </c:pt>
                <c:pt idx="120">
                  <c:v>4.7119999999999997</c:v>
                </c:pt>
                <c:pt idx="121">
                  <c:v>4.7130000000000001</c:v>
                </c:pt>
                <c:pt idx="122">
                  <c:v>4.6049999999999951</c:v>
                </c:pt>
                <c:pt idx="123">
                  <c:v>4.577</c:v>
                </c:pt>
                <c:pt idx="124">
                  <c:v>4.484</c:v>
                </c:pt>
                <c:pt idx="125">
                  <c:v>4.49</c:v>
                </c:pt>
                <c:pt idx="126">
                  <c:v>4.4969999999999999</c:v>
                </c:pt>
                <c:pt idx="127">
                  <c:v>4.6429999999999945</c:v>
                </c:pt>
                <c:pt idx="128">
                  <c:v>4.7649999999999944</c:v>
                </c:pt>
                <c:pt idx="129">
                  <c:v>4.7690000000000001</c:v>
                </c:pt>
                <c:pt idx="130">
                  <c:v>4.8330000000000002</c:v>
                </c:pt>
                <c:pt idx="131">
                  <c:v>4.9310000000000063</c:v>
                </c:pt>
                <c:pt idx="132">
                  <c:v>4.9429999999999996</c:v>
                </c:pt>
                <c:pt idx="133">
                  <c:v>4.968</c:v>
                </c:pt>
                <c:pt idx="134">
                  <c:v>4.9950000000000001</c:v>
                </c:pt>
                <c:pt idx="135">
                  <c:v>4.9939999999999998</c:v>
                </c:pt>
                <c:pt idx="136">
                  <c:v>4.9980000000000002</c:v>
                </c:pt>
                <c:pt idx="137">
                  <c:v>4.9669999999999996</c:v>
                </c:pt>
                <c:pt idx="138">
                  <c:v>4.9669999999999996</c:v>
                </c:pt>
                <c:pt idx="139">
                  <c:v>4.9589999999999996</c:v>
                </c:pt>
                <c:pt idx="140">
                  <c:v>4.9649999999999945</c:v>
                </c:pt>
                <c:pt idx="141">
                  <c:v>4.7969999999999997</c:v>
                </c:pt>
                <c:pt idx="142">
                  <c:v>4.79</c:v>
                </c:pt>
                <c:pt idx="143">
                  <c:v>4.7639999999999985</c:v>
                </c:pt>
                <c:pt idx="144">
                  <c:v>4.7620000000000005</c:v>
                </c:pt>
                <c:pt idx="145">
                  <c:v>4.7110000000000003</c:v>
                </c:pt>
                <c:pt idx="146">
                  <c:v>4.7050000000000001</c:v>
                </c:pt>
                <c:pt idx="147">
                  <c:v>4.5990000000000002</c:v>
                </c:pt>
                <c:pt idx="148">
                  <c:v>4.556</c:v>
                </c:pt>
                <c:pt idx="149">
                  <c:v>4.5289999999999955</c:v>
                </c:pt>
                <c:pt idx="150">
                  <c:v>4.4939999999999998</c:v>
                </c:pt>
                <c:pt idx="151">
                  <c:v>4.4980000000000002</c:v>
                </c:pt>
                <c:pt idx="152">
                  <c:v>4.5529999999999955</c:v>
                </c:pt>
                <c:pt idx="153">
                  <c:v>4.5410000000000004</c:v>
                </c:pt>
                <c:pt idx="154">
                  <c:v>4.4260000000000002</c:v>
                </c:pt>
                <c:pt idx="155">
                  <c:v>4.364999999999994</c:v>
                </c:pt>
                <c:pt idx="156">
                  <c:v>4.391</c:v>
                </c:pt>
                <c:pt idx="157">
                  <c:v>4.4089999999999998</c:v>
                </c:pt>
                <c:pt idx="158">
                  <c:v>4.3619999999999965</c:v>
                </c:pt>
                <c:pt idx="159">
                  <c:v>4.4000000000000004</c:v>
                </c:pt>
                <c:pt idx="160">
                  <c:v>4.4279999999999955</c:v>
                </c:pt>
                <c:pt idx="161">
                  <c:v>4.5720000000000001</c:v>
                </c:pt>
                <c:pt idx="162">
                  <c:v>4.5229999999999944</c:v>
                </c:pt>
                <c:pt idx="163">
                  <c:v>4.556</c:v>
                </c:pt>
                <c:pt idx="164">
                  <c:v>4.569</c:v>
                </c:pt>
                <c:pt idx="165">
                  <c:v>4.59</c:v>
                </c:pt>
                <c:pt idx="166">
                  <c:v>4.6479999999999944</c:v>
                </c:pt>
                <c:pt idx="167">
                  <c:v>4.6790000000000003</c:v>
                </c:pt>
                <c:pt idx="168">
                  <c:v>4.7409999999999997</c:v>
                </c:pt>
                <c:pt idx="169">
                  <c:v>4.7489999999999997</c:v>
                </c:pt>
                <c:pt idx="170">
                  <c:v>4.7590000000000003</c:v>
                </c:pt>
                <c:pt idx="171">
                  <c:v>4.91</c:v>
                </c:pt>
                <c:pt idx="172">
                  <c:v>4.9450000000000003</c:v>
                </c:pt>
                <c:pt idx="173">
                  <c:v>4.9649999999999945</c:v>
                </c:pt>
                <c:pt idx="174">
                  <c:v>4.968</c:v>
                </c:pt>
                <c:pt idx="175">
                  <c:v>4.8899999999999997</c:v>
                </c:pt>
                <c:pt idx="176">
                  <c:v>4.6829999999999945</c:v>
                </c:pt>
                <c:pt idx="177">
                  <c:v>4.4480000000000004</c:v>
                </c:pt>
                <c:pt idx="178">
                  <c:v>4.4260000000000002</c:v>
                </c:pt>
                <c:pt idx="179">
                  <c:v>4.4260000000000002</c:v>
                </c:pt>
                <c:pt idx="180">
                  <c:v>4.4260000000000002</c:v>
                </c:pt>
                <c:pt idx="181">
                  <c:v>4.4300000000000024</c:v>
                </c:pt>
                <c:pt idx="182">
                  <c:v>4.4340000000000002</c:v>
                </c:pt>
                <c:pt idx="183">
                  <c:v>4.4710000000000063</c:v>
                </c:pt>
                <c:pt idx="184">
                  <c:v>4.452</c:v>
                </c:pt>
                <c:pt idx="185">
                  <c:v>4.4660000000000002</c:v>
                </c:pt>
                <c:pt idx="186">
                  <c:v>4.5030000000000001</c:v>
                </c:pt>
                <c:pt idx="187">
                  <c:v>4.4580000000000002</c:v>
                </c:pt>
                <c:pt idx="188">
                  <c:v>4.4509999999999996</c:v>
                </c:pt>
                <c:pt idx="189">
                  <c:v>4.4589999999999996</c:v>
                </c:pt>
                <c:pt idx="190">
                  <c:v>4.444</c:v>
                </c:pt>
                <c:pt idx="191">
                  <c:v>4.359</c:v>
                </c:pt>
                <c:pt idx="192">
                  <c:v>4.3209999999999944</c:v>
                </c:pt>
                <c:pt idx="193">
                  <c:v>4.2679999999999945</c:v>
                </c:pt>
                <c:pt idx="194">
                  <c:v>4.2639999999999985</c:v>
                </c:pt>
                <c:pt idx="195">
                  <c:v>4.282</c:v>
                </c:pt>
                <c:pt idx="196">
                  <c:v>4.4329999999999998</c:v>
                </c:pt>
                <c:pt idx="197">
                  <c:v>4.5969999999999995</c:v>
                </c:pt>
                <c:pt idx="198">
                  <c:v>4.6959999999999944</c:v>
                </c:pt>
                <c:pt idx="199">
                  <c:v>4.6839999999999975</c:v>
                </c:pt>
                <c:pt idx="200">
                  <c:v>4.67</c:v>
                </c:pt>
                <c:pt idx="201">
                  <c:v>4.6989999999999945</c:v>
                </c:pt>
                <c:pt idx="202">
                  <c:v>4.6609999999999943</c:v>
                </c:pt>
                <c:pt idx="203">
                  <c:v>4.6779999999999955</c:v>
                </c:pt>
                <c:pt idx="204">
                  <c:v>4.726</c:v>
                </c:pt>
                <c:pt idx="205">
                  <c:v>4.7039999999999997</c:v>
                </c:pt>
                <c:pt idx="206">
                  <c:v>4.7080000000000002</c:v>
                </c:pt>
                <c:pt idx="207">
                  <c:v>4.7</c:v>
                </c:pt>
                <c:pt idx="208">
                  <c:v>4.7069999999999999</c:v>
                </c:pt>
                <c:pt idx="209">
                  <c:v>4.6710000000000003</c:v>
                </c:pt>
                <c:pt idx="210">
                  <c:v>4.673</c:v>
                </c:pt>
                <c:pt idx="211">
                  <c:v>4.6469999999999985</c:v>
                </c:pt>
                <c:pt idx="212">
                  <c:v>4.649</c:v>
                </c:pt>
                <c:pt idx="213">
                  <c:v>4.6899999999999995</c:v>
                </c:pt>
                <c:pt idx="214">
                  <c:v>4.6749999999999945</c:v>
                </c:pt>
                <c:pt idx="215">
                  <c:v>4.6839999999999975</c:v>
                </c:pt>
                <c:pt idx="216">
                  <c:v>4.74</c:v>
                </c:pt>
                <c:pt idx="217">
                  <c:v>5.08</c:v>
                </c:pt>
                <c:pt idx="218">
                  <c:v>4.2859999999999996</c:v>
                </c:pt>
                <c:pt idx="219">
                  <c:v>4.2329999999999997</c:v>
                </c:pt>
              </c:numCache>
            </c:numRef>
          </c:val>
          <c:smooth val="0"/>
        </c:ser>
        <c:dLbls>
          <c:showLegendKey val="0"/>
          <c:showVal val="0"/>
          <c:showCatName val="0"/>
          <c:showSerName val="0"/>
          <c:showPercent val="0"/>
          <c:showBubbleSize val="0"/>
        </c:dLbls>
        <c:marker val="1"/>
        <c:smooth val="0"/>
        <c:axId val="281996672"/>
        <c:axId val="282068096"/>
      </c:lineChart>
      <c:dateAx>
        <c:axId val="281996672"/>
        <c:scaling>
          <c:orientation val="minMax"/>
          <c:max val="41551"/>
          <c:min val="41244"/>
        </c:scaling>
        <c:delete val="0"/>
        <c:axPos val="b"/>
        <c:numFmt formatCode="m/d/yy;@" sourceLinked="0"/>
        <c:majorTickMark val="out"/>
        <c:minorTickMark val="none"/>
        <c:tickLblPos val="nextTo"/>
        <c:crossAx val="282068096"/>
        <c:crosses val="autoZero"/>
        <c:auto val="1"/>
        <c:lblOffset val="100"/>
        <c:baseTimeUnit val="days"/>
      </c:dateAx>
      <c:valAx>
        <c:axId val="282068096"/>
        <c:scaling>
          <c:orientation val="minMax"/>
          <c:min val="4"/>
        </c:scaling>
        <c:delete val="0"/>
        <c:axPos val="l"/>
        <c:majorGridlines>
          <c:spPr>
            <a:ln>
              <a:noFill/>
            </a:ln>
          </c:spPr>
        </c:majorGridlines>
        <c:numFmt formatCode="#,##0.0" sourceLinked="0"/>
        <c:majorTickMark val="out"/>
        <c:minorTickMark val="none"/>
        <c:tickLblPos val="nextTo"/>
        <c:crossAx val="281996672"/>
        <c:crosses val="autoZero"/>
        <c:crossBetween val="between"/>
      </c:valAx>
    </c:plotArea>
    <c:legend>
      <c:legendPos val="r"/>
      <c:layout>
        <c:manualLayout>
          <c:xMode val="edge"/>
          <c:yMode val="edge"/>
          <c:x val="9.0819174147127993E-2"/>
          <c:y val="3.1160998492209782E-2"/>
          <c:w val="0.44543463148187556"/>
          <c:h val="0.20082567804024487"/>
        </c:manualLayout>
      </c:layout>
      <c:overlay val="0"/>
    </c:legend>
    <c:plotVisOnly val="1"/>
    <c:dispBlanksAs val="gap"/>
    <c:showDLblsOverMax val="0"/>
  </c:chart>
  <c:spPr>
    <a:ln>
      <a:noFill/>
    </a:ln>
  </c:spPr>
  <c:txPr>
    <a:bodyPr/>
    <a:lstStyle/>
    <a:p>
      <a:pPr>
        <a:defRPr sz="700"/>
      </a:pPr>
      <a:endParaRPr lang="en-US"/>
    </a:p>
  </c:txPr>
  <c:externalData r:id="rId1">
    <c:autoUpdate val="0"/>
  </c:externalData>
  <c:userShapes r:id="rId2"/>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1988407699037624E-2"/>
          <c:y val="5.1400554097404488E-2"/>
          <c:w val="0.89658245844269457"/>
          <c:h val="0.75397875645772505"/>
        </c:manualLayout>
      </c:layout>
      <c:barChart>
        <c:barDir val="col"/>
        <c:grouping val="clustered"/>
        <c:varyColors val="0"/>
        <c:ser>
          <c:idx val="0"/>
          <c:order val="0"/>
          <c:tx>
            <c:strRef>
              <c:f>Sheet1!$B$1</c:f>
              <c:strCache>
                <c:ptCount val="1"/>
                <c:pt idx="0">
                  <c:v>2011</c:v>
                </c:pt>
              </c:strCache>
            </c:strRef>
          </c:tx>
          <c:invertIfNegative val="0"/>
          <c:cat>
            <c:strRef>
              <c:f>Sheet1!$A$2:$A$7</c:f>
              <c:strCache>
                <c:ptCount val="6"/>
                <c:pt idx="0">
                  <c:v>Mongolia</c:v>
                </c:pt>
                <c:pt idx="1">
                  <c:v>Indonesia</c:v>
                </c:pt>
                <c:pt idx="2">
                  <c:v>Vietnam</c:v>
                </c:pt>
                <c:pt idx="3">
                  <c:v>Myanmar</c:v>
                </c:pt>
                <c:pt idx="4">
                  <c:v>Lao PDR</c:v>
                </c:pt>
                <c:pt idx="5">
                  <c:v>Papua New Guinea</c:v>
                </c:pt>
              </c:strCache>
            </c:strRef>
          </c:cat>
          <c:val>
            <c:numRef>
              <c:f>Sheet1!$B$2:$B$7</c:f>
              <c:numCache>
                <c:formatCode>General</c:formatCode>
                <c:ptCount val="6"/>
                <c:pt idx="0">
                  <c:v>17.5</c:v>
                </c:pt>
                <c:pt idx="1">
                  <c:v>6.5</c:v>
                </c:pt>
                <c:pt idx="2">
                  <c:v>6.2</c:v>
                </c:pt>
                <c:pt idx="3">
                  <c:v>5.9</c:v>
                </c:pt>
                <c:pt idx="4">
                  <c:v>8</c:v>
                </c:pt>
                <c:pt idx="5">
                  <c:v>10.7</c:v>
                </c:pt>
              </c:numCache>
            </c:numRef>
          </c:val>
        </c:ser>
        <c:ser>
          <c:idx val="1"/>
          <c:order val="1"/>
          <c:tx>
            <c:strRef>
              <c:f>Sheet1!$C$1</c:f>
              <c:strCache>
                <c:ptCount val="1"/>
                <c:pt idx="0">
                  <c:v>2012</c:v>
                </c:pt>
              </c:strCache>
            </c:strRef>
          </c:tx>
          <c:invertIfNegative val="0"/>
          <c:cat>
            <c:strRef>
              <c:f>Sheet1!$A$2:$A$7</c:f>
              <c:strCache>
                <c:ptCount val="6"/>
                <c:pt idx="0">
                  <c:v>Mongolia</c:v>
                </c:pt>
                <c:pt idx="1">
                  <c:v>Indonesia</c:v>
                </c:pt>
                <c:pt idx="2">
                  <c:v>Vietnam</c:v>
                </c:pt>
                <c:pt idx="3">
                  <c:v>Myanmar</c:v>
                </c:pt>
                <c:pt idx="4">
                  <c:v>Lao PDR</c:v>
                </c:pt>
                <c:pt idx="5">
                  <c:v>Papua New Guinea</c:v>
                </c:pt>
              </c:strCache>
            </c:strRef>
          </c:cat>
          <c:val>
            <c:numRef>
              <c:f>Sheet1!$C$2:$C$7</c:f>
              <c:numCache>
                <c:formatCode>General</c:formatCode>
                <c:ptCount val="6"/>
                <c:pt idx="0">
                  <c:v>12.4</c:v>
                </c:pt>
                <c:pt idx="1">
                  <c:v>6.2</c:v>
                </c:pt>
                <c:pt idx="2">
                  <c:v>5.2</c:v>
                </c:pt>
                <c:pt idx="3">
                  <c:v>6.5</c:v>
                </c:pt>
                <c:pt idx="4">
                  <c:v>8.2000000000000011</c:v>
                </c:pt>
                <c:pt idx="5">
                  <c:v>8.7000000000000011</c:v>
                </c:pt>
              </c:numCache>
            </c:numRef>
          </c:val>
        </c:ser>
        <c:ser>
          <c:idx val="2"/>
          <c:order val="2"/>
          <c:tx>
            <c:strRef>
              <c:f>Sheet1!$D$1</c:f>
              <c:strCache>
                <c:ptCount val="1"/>
                <c:pt idx="0">
                  <c:v>2013f</c:v>
                </c:pt>
              </c:strCache>
            </c:strRef>
          </c:tx>
          <c:invertIfNegative val="0"/>
          <c:cat>
            <c:strRef>
              <c:f>Sheet1!$A$2:$A$7</c:f>
              <c:strCache>
                <c:ptCount val="6"/>
                <c:pt idx="0">
                  <c:v>Mongolia</c:v>
                </c:pt>
                <c:pt idx="1">
                  <c:v>Indonesia</c:v>
                </c:pt>
                <c:pt idx="2">
                  <c:v>Vietnam</c:v>
                </c:pt>
                <c:pt idx="3">
                  <c:v>Myanmar</c:v>
                </c:pt>
                <c:pt idx="4">
                  <c:v>Lao PDR</c:v>
                </c:pt>
                <c:pt idx="5">
                  <c:v>Papua New Guinea</c:v>
                </c:pt>
              </c:strCache>
            </c:strRef>
          </c:cat>
          <c:val>
            <c:numRef>
              <c:f>Sheet1!$D$2:$D$7</c:f>
              <c:numCache>
                <c:formatCode>General</c:formatCode>
                <c:ptCount val="6"/>
                <c:pt idx="0">
                  <c:v>12.5</c:v>
                </c:pt>
                <c:pt idx="1">
                  <c:v>5.6</c:v>
                </c:pt>
                <c:pt idx="2">
                  <c:v>5.3</c:v>
                </c:pt>
                <c:pt idx="3">
                  <c:v>6.8</c:v>
                </c:pt>
                <c:pt idx="4">
                  <c:v>8</c:v>
                </c:pt>
                <c:pt idx="5">
                  <c:v>4.5</c:v>
                </c:pt>
              </c:numCache>
            </c:numRef>
          </c:val>
        </c:ser>
        <c:dLbls>
          <c:showLegendKey val="0"/>
          <c:showVal val="0"/>
          <c:showCatName val="0"/>
          <c:showSerName val="0"/>
          <c:showPercent val="0"/>
          <c:showBubbleSize val="0"/>
        </c:dLbls>
        <c:gapWidth val="150"/>
        <c:axId val="282107264"/>
        <c:axId val="282117248"/>
      </c:barChart>
      <c:catAx>
        <c:axId val="282107264"/>
        <c:scaling>
          <c:orientation val="minMax"/>
        </c:scaling>
        <c:delete val="0"/>
        <c:axPos val="b"/>
        <c:majorTickMark val="out"/>
        <c:minorTickMark val="none"/>
        <c:tickLblPos val="nextTo"/>
        <c:crossAx val="282117248"/>
        <c:crosses val="autoZero"/>
        <c:auto val="1"/>
        <c:lblAlgn val="ctr"/>
        <c:lblOffset val="100"/>
        <c:noMultiLvlLbl val="0"/>
      </c:catAx>
      <c:valAx>
        <c:axId val="282117248"/>
        <c:scaling>
          <c:orientation val="minMax"/>
        </c:scaling>
        <c:delete val="0"/>
        <c:axPos val="l"/>
        <c:majorGridlines>
          <c:spPr>
            <a:ln>
              <a:noFill/>
            </a:ln>
          </c:spPr>
        </c:majorGridlines>
        <c:numFmt formatCode="General" sourceLinked="1"/>
        <c:majorTickMark val="out"/>
        <c:minorTickMark val="none"/>
        <c:tickLblPos val="nextTo"/>
        <c:crossAx val="282107264"/>
        <c:crosses val="autoZero"/>
        <c:crossBetween val="between"/>
      </c:valAx>
    </c:plotArea>
    <c:legend>
      <c:legendPos val="r"/>
      <c:layout>
        <c:manualLayout>
          <c:xMode val="edge"/>
          <c:yMode val="edge"/>
          <c:x val="0.21368597299567066"/>
          <c:y val="6.8888822357281401E-2"/>
          <c:w val="0.60467478780174755"/>
          <c:h val="0.44543340667409825"/>
        </c:manualLayout>
      </c:layout>
      <c:overlay val="0"/>
    </c:legend>
    <c:plotVisOnly val="1"/>
    <c:dispBlanksAs val="gap"/>
    <c:showDLblsOverMax val="0"/>
  </c:chart>
  <c:spPr>
    <a:ln>
      <a:noFill/>
    </a:ln>
  </c:spPr>
  <c:txPr>
    <a:bodyPr/>
    <a:lstStyle/>
    <a:p>
      <a:pPr>
        <a:defRPr sz="700"/>
      </a:pPr>
      <a:endParaRPr lang="en-US"/>
    </a:p>
  </c:txPr>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0488407699037617E-2"/>
          <c:y val="5.1400554097404488E-2"/>
          <c:w val="0.8991935695538058"/>
          <c:h val="0.89719889180519163"/>
        </c:manualLayout>
      </c:layout>
      <c:barChart>
        <c:barDir val="col"/>
        <c:grouping val="clustered"/>
        <c:varyColors val="0"/>
        <c:ser>
          <c:idx val="0"/>
          <c:order val="0"/>
          <c:tx>
            <c:strRef>
              <c:f>Sheet1!$B$9</c:f>
              <c:strCache>
                <c:ptCount val="1"/>
                <c:pt idx="0">
                  <c:v>2011</c:v>
                </c:pt>
              </c:strCache>
            </c:strRef>
          </c:tx>
          <c:invertIfNegative val="0"/>
          <c:cat>
            <c:strRef>
              <c:f>Sheet1!$A$10:$A$15</c:f>
              <c:strCache>
                <c:ptCount val="6"/>
                <c:pt idx="0">
                  <c:v>Mongolia</c:v>
                </c:pt>
                <c:pt idx="1">
                  <c:v>Indonesia</c:v>
                </c:pt>
                <c:pt idx="2">
                  <c:v>Vietnam</c:v>
                </c:pt>
                <c:pt idx="3">
                  <c:v>Myanmar</c:v>
                </c:pt>
                <c:pt idx="4">
                  <c:v>Lao PDR</c:v>
                </c:pt>
                <c:pt idx="5">
                  <c:v>Papua New Guinea</c:v>
                </c:pt>
              </c:strCache>
            </c:strRef>
          </c:cat>
          <c:val>
            <c:numRef>
              <c:f>Sheet1!$B$10:$B$15</c:f>
              <c:numCache>
                <c:formatCode>General</c:formatCode>
                <c:ptCount val="6"/>
                <c:pt idx="0">
                  <c:v>-31.7</c:v>
                </c:pt>
                <c:pt idx="1">
                  <c:v>0.2</c:v>
                </c:pt>
                <c:pt idx="2">
                  <c:v>0.2</c:v>
                </c:pt>
                <c:pt idx="3">
                  <c:v>-2.4</c:v>
                </c:pt>
                <c:pt idx="4">
                  <c:v>-10.3</c:v>
                </c:pt>
                <c:pt idx="5">
                  <c:v>-17.899999999999999</c:v>
                </c:pt>
              </c:numCache>
            </c:numRef>
          </c:val>
        </c:ser>
        <c:ser>
          <c:idx val="1"/>
          <c:order val="1"/>
          <c:tx>
            <c:strRef>
              <c:f>Sheet1!$C$9</c:f>
              <c:strCache>
                <c:ptCount val="1"/>
                <c:pt idx="0">
                  <c:v>2012</c:v>
                </c:pt>
              </c:strCache>
            </c:strRef>
          </c:tx>
          <c:invertIfNegative val="0"/>
          <c:cat>
            <c:strRef>
              <c:f>Sheet1!$A$10:$A$15</c:f>
              <c:strCache>
                <c:ptCount val="6"/>
                <c:pt idx="0">
                  <c:v>Mongolia</c:v>
                </c:pt>
                <c:pt idx="1">
                  <c:v>Indonesia</c:v>
                </c:pt>
                <c:pt idx="2">
                  <c:v>Vietnam</c:v>
                </c:pt>
                <c:pt idx="3">
                  <c:v>Myanmar</c:v>
                </c:pt>
                <c:pt idx="4">
                  <c:v>Lao PDR</c:v>
                </c:pt>
                <c:pt idx="5">
                  <c:v>Papua New Guinea</c:v>
                </c:pt>
              </c:strCache>
            </c:strRef>
          </c:cat>
          <c:val>
            <c:numRef>
              <c:f>Sheet1!$C$10:$C$15</c:f>
              <c:numCache>
                <c:formatCode>General</c:formatCode>
                <c:ptCount val="6"/>
                <c:pt idx="0">
                  <c:v>-32.800000000000004</c:v>
                </c:pt>
                <c:pt idx="1">
                  <c:v>-2.8</c:v>
                </c:pt>
                <c:pt idx="2">
                  <c:v>5.9</c:v>
                </c:pt>
                <c:pt idx="3">
                  <c:v>-4.4000000000000004</c:v>
                </c:pt>
                <c:pt idx="4">
                  <c:v>-15.3</c:v>
                </c:pt>
                <c:pt idx="5">
                  <c:v>-19.100000000000001</c:v>
                </c:pt>
              </c:numCache>
            </c:numRef>
          </c:val>
        </c:ser>
        <c:ser>
          <c:idx val="2"/>
          <c:order val="2"/>
          <c:tx>
            <c:strRef>
              <c:f>Sheet1!$D$9</c:f>
              <c:strCache>
                <c:ptCount val="1"/>
                <c:pt idx="0">
                  <c:v>2013f</c:v>
                </c:pt>
              </c:strCache>
            </c:strRef>
          </c:tx>
          <c:invertIfNegative val="0"/>
          <c:cat>
            <c:strRef>
              <c:f>Sheet1!$A$10:$A$15</c:f>
              <c:strCache>
                <c:ptCount val="6"/>
                <c:pt idx="0">
                  <c:v>Mongolia</c:v>
                </c:pt>
                <c:pt idx="1">
                  <c:v>Indonesia</c:v>
                </c:pt>
                <c:pt idx="2">
                  <c:v>Vietnam</c:v>
                </c:pt>
                <c:pt idx="3">
                  <c:v>Myanmar</c:v>
                </c:pt>
                <c:pt idx="4">
                  <c:v>Lao PDR</c:v>
                </c:pt>
                <c:pt idx="5">
                  <c:v>Papua New Guinea</c:v>
                </c:pt>
              </c:strCache>
            </c:strRef>
          </c:cat>
          <c:val>
            <c:numRef>
              <c:f>Sheet1!$D$10:$D$15</c:f>
              <c:numCache>
                <c:formatCode>General</c:formatCode>
                <c:ptCount val="6"/>
                <c:pt idx="0">
                  <c:v>-29.7</c:v>
                </c:pt>
                <c:pt idx="1">
                  <c:v>-3.4</c:v>
                </c:pt>
                <c:pt idx="2">
                  <c:v>5.6</c:v>
                </c:pt>
                <c:pt idx="3">
                  <c:v>-4.3</c:v>
                </c:pt>
                <c:pt idx="4">
                  <c:v>-20.8</c:v>
                </c:pt>
                <c:pt idx="5">
                  <c:v>-12.5</c:v>
                </c:pt>
              </c:numCache>
            </c:numRef>
          </c:val>
        </c:ser>
        <c:dLbls>
          <c:showLegendKey val="0"/>
          <c:showVal val="0"/>
          <c:showCatName val="0"/>
          <c:showSerName val="0"/>
          <c:showPercent val="0"/>
          <c:showBubbleSize val="0"/>
        </c:dLbls>
        <c:gapWidth val="150"/>
        <c:axId val="282134784"/>
        <c:axId val="282148864"/>
      </c:barChart>
      <c:catAx>
        <c:axId val="282134784"/>
        <c:scaling>
          <c:orientation val="minMax"/>
        </c:scaling>
        <c:delete val="0"/>
        <c:axPos val="b"/>
        <c:majorTickMark val="out"/>
        <c:minorTickMark val="none"/>
        <c:tickLblPos val="low"/>
        <c:crossAx val="282148864"/>
        <c:crosses val="autoZero"/>
        <c:auto val="1"/>
        <c:lblAlgn val="ctr"/>
        <c:lblOffset val="100"/>
        <c:noMultiLvlLbl val="0"/>
      </c:catAx>
      <c:valAx>
        <c:axId val="282148864"/>
        <c:scaling>
          <c:orientation val="minMax"/>
        </c:scaling>
        <c:delete val="0"/>
        <c:axPos val="l"/>
        <c:majorGridlines>
          <c:spPr>
            <a:ln>
              <a:noFill/>
            </a:ln>
          </c:spPr>
        </c:majorGridlines>
        <c:numFmt formatCode="General" sourceLinked="1"/>
        <c:majorTickMark val="out"/>
        <c:minorTickMark val="none"/>
        <c:tickLblPos val="nextTo"/>
        <c:crossAx val="282134784"/>
        <c:crosses val="autoZero"/>
        <c:crossBetween val="between"/>
      </c:valAx>
    </c:plotArea>
    <c:legend>
      <c:legendPos val="r"/>
      <c:layout>
        <c:manualLayout>
          <c:xMode val="edge"/>
          <c:yMode val="edge"/>
          <c:x val="0.26300786090331546"/>
          <c:y val="0.40035984901180638"/>
          <c:w val="0.43303929194072238"/>
          <c:h val="0.3406230581601325"/>
        </c:manualLayout>
      </c:layout>
      <c:overlay val="0"/>
    </c:legend>
    <c:plotVisOnly val="1"/>
    <c:dispBlanksAs val="gap"/>
    <c:showDLblsOverMax val="0"/>
  </c:chart>
  <c:spPr>
    <a:ln>
      <a:noFill/>
    </a:ln>
  </c:spPr>
  <c:txPr>
    <a:bodyPr/>
    <a:lstStyle/>
    <a:p>
      <a:pPr>
        <a:defRPr sz="700"/>
      </a:pPr>
      <a:endParaRPr lang="en-US"/>
    </a:p>
  </c:txPr>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1988407699037624E-2"/>
          <c:y val="5.1400554097404488E-2"/>
          <c:w val="0.91139085739282655"/>
          <c:h val="0.77611475648877393"/>
        </c:manualLayout>
      </c:layout>
      <c:barChart>
        <c:barDir val="col"/>
        <c:grouping val="clustered"/>
        <c:varyColors val="0"/>
        <c:ser>
          <c:idx val="0"/>
          <c:order val="0"/>
          <c:tx>
            <c:strRef>
              <c:f>Sheet1!$B$17</c:f>
              <c:strCache>
                <c:ptCount val="1"/>
                <c:pt idx="0">
                  <c:v>2011</c:v>
                </c:pt>
              </c:strCache>
            </c:strRef>
          </c:tx>
          <c:invertIfNegative val="0"/>
          <c:cat>
            <c:strRef>
              <c:f>Sheet1!$A$18:$A$23</c:f>
              <c:strCache>
                <c:ptCount val="6"/>
                <c:pt idx="0">
                  <c:v>Mongolia</c:v>
                </c:pt>
                <c:pt idx="1">
                  <c:v>Indonesia</c:v>
                </c:pt>
                <c:pt idx="2">
                  <c:v>Vietnam</c:v>
                </c:pt>
                <c:pt idx="3">
                  <c:v>Myanmar</c:v>
                </c:pt>
                <c:pt idx="4">
                  <c:v>Lao PDR</c:v>
                </c:pt>
                <c:pt idx="5">
                  <c:v>Papua New Guinea</c:v>
                </c:pt>
              </c:strCache>
            </c:strRef>
          </c:cat>
          <c:val>
            <c:numRef>
              <c:f>Sheet1!$B$18:$B$23</c:f>
              <c:numCache>
                <c:formatCode>General</c:formatCode>
                <c:ptCount val="6"/>
                <c:pt idx="0">
                  <c:v>9.4</c:v>
                </c:pt>
                <c:pt idx="1">
                  <c:v>3.8</c:v>
                </c:pt>
                <c:pt idx="2">
                  <c:v>18.600000000000001</c:v>
                </c:pt>
                <c:pt idx="3">
                  <c:v>2.8</c:v>
                </c:pt>
                <c:pt idx="4">
                  <c:v>7.6</c:v>
                </c:pt>
                <c:pt idx="5">
                  <c:v>6.9</c:v>
                </c:pt>
              </c:numCache>
            </c:numRef>
          </c:val>
        </c:ser>
        <c:ser>
          <c:idx val="1"/>
          <c:order val="1"/>
          <c:tx>
            <c:strRef>
              <c:f>Sheet1!$C$17</c:f>
              <c:strCache>
                <c:ptCount val="1"/>
                <c:pt idx="0">
                  <c:v>2012</c:v>
                </c:pt>
              </c:strCache>
            </c:strRef>
          </c:tx>
          <c:invertIfNegative val="0"/>
          <c:cat>
            <c:strRef>
              <c:f>Sheet1!$A$18:$A$23</c:f>
              <c:strCache>
                <c:ptCount val="6"/>
                <c:pt idx="0">
                  <c:v>Mongolia</c:v>
                </c:pt>
                <c:pt idx="1">
                  <c:v>Indonesia</c:v>
                </c:pt>
                <c:pt idx="2">
                  <c:v>Vietnam</c:v>
                </c:pt>
                <c:pt idx="3">
                  <c:v>Myanmar</c:v>
                </c:pt>
                <c:pt idx="4">
                  <c:v>Lao PDR</c:v>
                </c:pt>
                <c:pt idx="5">
                  <c:v>Papua New Guinea</c:v>
                </c:pt>
              </c:strCache>
            </c:strRef>
          </c:cat>
          <c:val>
            <c:numRef>
              <c:f>Sheet1!$C$18:$C$23</c:f>
              <c:numCache>
                <c:formatCode>General</c:formatCode>
                <c:ptCount val="6"/>
                <c:pt idx="0">
                  <c:v>14.2</c:v>
                </c:pt>
                <c:pt idx="1">
                  <c:v>4.3</c:v>
                </c:pt>
                <c:pt idx="2">
                  <c:v>9.1</c:v>
                </c:pt>
                <c:pt idx="3">
                  <c:v>2.8</c:v>
                </c:pt>
                <c:pt idx="4">
                  <c:v>4.3</c:v>
                </c:pt>
                <c:pt idx="5">
                  <c:v>1.6</c:v>
                </c:pt>
              </c:numCache>
            </c:numRef>
          </c:val>
        </c:ser>
        <c:ser>
          <c:idx val="2"/>
          <c:order val="2"/>
          <c:tx>
            <c:strRef>
              <c:f>Sheet1!$D$17</c:f>
              <c:strCache>
                <c:ptCount val="1"/>
                <c:pt idx="0">
                  <c:v>2013f</c:v>
                </c:pt>
              </c:strCache>
            </c:strRef>
          </c:tx>
          <c:invertIfNegative val="0"/>
          <c:cat>
            <c:strRef>
              <c:f>Sheet1!$A$18:$A$23</c:f>
              <c:strCache>
                <c:ptCount val="6"/>
                <c:pt idx="0">
                  <c:v>Mongolia</c:v>
                </c:pt>
                <c:pt idx="1">
                  <c:v>Indonesia</c:v>
                </c:pt>
                <c:pt idx="2">
                  <c:v>Vietnam</c:v>
                </c:pt>
                <c:pt idx="3">
                  <c:v>Myanmar</c:v>
                </c:pt>
                <c:pt idx="4">
                  <c:v>Lao PDR</c:v>
                </c:pt>
                <c:pt idx="5">
                  <c:v>Papua New Guinea</c:v>
                </c:pt>
              </c:strCache>
            </c:strRef>
          </c:cat>
          <c:val>
            <c:numRef>
              <c:f>Sheet1!$D$18:$D$23</c:f>
              <c:numCache>
                <c:formatCode>General</c:formatCode>
                <c:ptCount val="6"/>
                <c:pt idx="0">
                  <c:v>10</c:v>
                </c:pt>
                <c:pt idx="1">
                  <c:v>9.8000000000000007</c:v>
                </c:pt>
                <c:pt idx="2">
                  <c:v>8.8000000000000007</c:v>
                </c:pt>
                <c:pt idx="3">
                  <c:v>5.6</c:v>
                </c:pt>
                <c:pt idx="4">
                  <c:v>6</c:v>
                </c:pt>
                <c:pt idx="5">
                  <c:v>6</c:v>
                </c:pt>
              </c:numCache>
            </c:numRef>
          </c:val>
        </c:ser>
        <c:dLbls>
          <c:showLegendKey val="0"/>
          <c:showVal val="0"/>
          <c:showCatName val="0"/>
          <c:showSerName val="0"/>
          <c:showPercent val="0"/>
          <c:showBubbleSize val="0"/>
        </c:dLbls>
        <c:gapWidth val="150"/>
        <c:axId val="282170496"/>
        <c:axId val="282172032"/>
      </c:barChart>
      <c:catAx>
        <c:axId val="282170496"/>
        <c:scaling>
          <c:orientation val="minMax"/>
        </c:scaling>
        <c:delete val="0"/>
        <c:axPos val="b"/>
        <c:majorTickMark val="out"/>
        <c:minorTickMark val="none"/>
        <c:tickLblPos val="nextTo"/>
        <c:crossAx val="282172032"/>
        <c:crosses val="autoZero"/>
        <c:auto val="1"/>
        <c:lblAlgn val="ctr"/>
        <c:lblOffset val="100"/>
        <c:noMultiLvlLbl val="0"/>
      </c:catAx>
      <c:valAx>
        <c:axId val="282172032"/>
        <c:scaling>
          <c:orientation val="minMax"/>
        </c:scaling>
        <c:delete val="0"/>
        <c:axPos val="l"/>
        <c:majorGridlines>
          <c:spPr>
            <a:ln>
              <a:noFill/>
            </a:ln>
          </c:spPr>
        </c:majorGridlines>
        <c:numFmt formatCode="General" sourceLinked="1"/>
        <c:majorTickMark val="out"/>
        <c:minorTickMark val="none"/>
        <c:tickLblPos val="nextTo"/>
        <c:crossAx val="282170496"/>
        <c:crosses val="autoZero"/>
        <c:crossBetween val="between"/>
      </c:valAx>
    </c:plotArea>
    <c:legend>
      <c:legendPos val="r"/>
      <c:layout>
        <c:manualLayout>
          <c:xMode val="edge"/>
          <c:yMode val="edge"/>
          <c:x val="0.49495529056770532"/>
          <c:y val="0.11053514144065349"/>
          <c:w val="0.42676220399752174"/>
          <c:h val="0.25115157480314959"/>
        </c:manualLayout>
      </c:layout>
      <c:overlay val="0"/>
    </c:legend>
    <c:plotVisOnly val="1"/>
    <c:dispBlanksAs val="gap"/>
    <c:showDLblsOverMax val="0"/>
  </c:chart>
  <c:spPr>
    <a:ln>
      <a:noFill/>
    </a:ln>
  </c:spPr>
  <c:txPr>
    <a:bodyPr/>
    <a:lstStyle/>
    <a:p>
      <a:pPr>
        <a:defRPr sz="700"/>
      </a:pPr>
      <a:endParaRPr lang="en-US"/>
    </a:p>
  </c:txPr>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8099518810148819E-2"/>
          <c:y val="2.8252405949256338E-2"/>
          <c:w val="0.89658245844269457"/>
          <c:h val="0.77611475648877393"/>
        </c:manualLayout>
      </c:layout>
      <c:barChart>
        <c:barDir val="col"/>
        <c:grouping val="clustered"/>
        <c:varyColors val="0"/>
        <c:ser>
          <c:idx val="0"/>
          <c:order val="0"/>
          <c:tx>
            <c:strRef>
              <c:f>Sheet1!$B$57</c:f>
              <c:strCache>
                <c:ptCount val="1"/>
                <c:pt idx="0">
                  <c:v>2011</c:v>
                </c:pt>
              </c:strCache>
            </c:strRef>
          </c:tx>
          <c:invertIfNegative val="0"/>
          <c:cat>
            <c:strRef>
              <c:f>Sheet1!$A$58:$A$63</c:f>
              <c:strCache>
                <c:ptCount val="6"/>
                <c:pt idx="0">
                  <c:v>Mongolia</c:v>
                </c:pt>
                <c:pt idx="1">
                  <c:v>Indonesia</c:v>
                </c:pt>
                <c:pt idx="2">
                  <c:v>Vietnam</c:v>
                </c:pt>
                <c:pt idx="3">
                  <c:v>Myanmar</c:v>
                </c:pt>
                <c:pt idx="4">
                  <c:v>Lao PDR</c:v>
                </c:pt>
                <c:pt idx="5">
                  <c:v>Papua New Guinea</c:v>
                </c:pt>
              </c:strCache>
            </c:strRef>
          </c:cat>
          <c:val>
            <c:numRef>
              <c:f>Sheet1!$B$58:$B$63</c:f>
              <c:numCache>
                <c:formatCode>0</c:formatCode>
                <c:ptCount val="6"/>
                <c:pt idx="0">
                  <c:v>58.227848101265806</c:v>
                </c:pt>
                <c:pt idx="1">
                  <c:v>2.2686990428925982</c:v>
                </c:pt>
                <c:pt idx="2">
                  <c:v>4.8291233283803869</c:v>
                </c:pt>
                <c:pt idx="3">
                  <c:v>3.6121673003802277</c:v>
                </c:pt>
                <c:pt idx="4">
                  <c:v>13.414634146341466</c:v>
                </c:pt>
                <c:pt idx="5">
                  <c:v>13.953488372093034</c:v>
                </c:pt>
              </c:numCache>
            </c:numRef>
          </c:val>
        </c:ser>
        <c:ser>
          <c:idx val="1"/>
          <c:order val="1"/>
          <c:tx>
            <c:strRef>
              <c:f>Sheet1!$C$57</c:f>
              <c:strCache>
                <c:ptCount val="1"/>
                <c:pt idx="0">
                  <c:v>2012</c:v>
                </c:pt>
              </c:strCache>
            </c:strRef>
          </c:tx>
          <c:invertIfNegative val="0"/>
          <c:cat>
            <c:strRef>
              <c:f>Sheet1!$A$58:$A$63</c:f>
              <c:strCache>
                <c:ptCount val="6"/>
                <c:pt idx="0">
                  <c:v>Mongolia</c:v>
                </c:pt>
                <c:pt idx="1">
                  <c:v>Indonesia</c:v>
                </c:pt>
                <c:pt idx="2">
                  <c:v>Vietnam</c:v>
                </c:pt>
                <c:pt idx="3">
                  <c:v>Myanmar</c:v>
                </c:pt>
                <c:pt idx="4">
                  <c:v>Lao PDR</c:v>
                </c:pt>
                <c:pt idx="5">
                  <c:v>Papua New Guinea</c:v>
                </c:pt>
              </c:strCache>
            </c:strRef>
          </c:cat>
          <c:val>
            <c:numRef>
              <c:f>Sheet1!$C$58:$C$63</c:f>
              <c:numCache>
                <c:formatCode>0</c:formatCode>
                <c:ptCount val="6"/>
                <c:pt idx="0">
                  <c:v>43.564356435643504</c:v>
                </c:pt>
                <c:pt idx="1">
                  <c:v>2.2095671981776799</c:v>
                </c:pt>
                <c:pt idx="2">
                  <c:v>4.7120418848167525</c:v>
                </c:pt>
                <c:pt idx="3">
                  <c:v>5.2023121387283284</c:v>
                </c:pt>
                <c:pt idx="4">
                  <c:v>19.148936170212764</c:v>
                </c:pt>
                <c:pt idx="5">
                  <c:v>7.9470198675496695</c:v>
                </c:pt>
              </c:numCache>
            </c:numRef>
          </c:val>
        </c:ser>
        <c:ser>
          <c:idx val="2"/>
          <c:order val="2"/>
          <c:tx>
            <c:strRef>
              <c:f>Sheet1!$D$57</c:f>
              <c:strCache>
                <c:ptCount val="1"/>
                <c:pt idx="0">
                  <c:v>2013f</c:v>
                </c:pt>
              </c:strCache>
            </c:strRef>
          </c:tx>
          <c:invertIfNegative val="0"/>
          <c:cat>
            <c:strRef>
              <c:f>Sheet1!$A$58:$A$63</c:f>
              <c:strCache>
                <c:ptCount val="6"/>
                <c:pt idx="0">
                  <c:v>Mongolia</c:v>
                </c:pt>
                <c:pt idx="1">
                  <c:v>Indonesia</c:v>
                </c:pt>
                <c:pt idx="2">
                  <c:v>Vietnam</c:v>
                </c:pt>
                <c:pt idx="3">
                  <c:v>Myanmar</c:v>
                </c:pt>
                <c:pt idx="4">
                  <c:v>Lao PDR</c:v>
                </c:pt>
                <c:pt idx="5">
                  <c:v>Papua New Guinea</c:v>
                </c:pt>
              </c:strCache>
            </c:strRef>
          </c:cat>
          <c:val>
            <c:numRef>
              <c:f>Sheet1!$D$58:$D$63</c:f>
              <c:numCache>
                <c:formatCode>0</c:formatCode>
                <c:ptCount val="6"/>
                <c:pt idx="0">
                  <c:v>18.181818181818208</c:v>
                </c:pt>
                <c:pt idx="1">
                  <c:v>1.8863636363636367</c:v>
                </c:pt>
                <c:pt idx="2">
                  <c:v>4.3529411764705817</c:v>
                </c:pt>
                <c:pt idx="3">
                  <c:v>3.7037037037037042</c:v>
                </c:pt>
                <c:pt idx="4">
                  <c:v>23.423423423423426</c:v>
                </c:pt>
                <c:pt idx="5">
                  <c:v>4.9689440993788816</c:v>
                </c:pt>
              </c:numCache>
            </c:numRef>
          </c:val>
        </c:ser>
        <c:dLbls>
          <c:showLegendKey val="0"/>
          <c:showVal val="0"/>
          <c:showCatName val="0"/>
          <c:showSerName val="0"/>
          <c:showPercent val="0"/>
          <c:showBubbleSize val="0"/>
        </c:dLbls>
        <c:gapWidth val="150"/>
        <c:axId val="281751936"/>
        <c:axId val="281753472"/>
      </c:barChart>
      <c:catAx>
        <c:axId val="281751936"/>
        <c:scaling>
          <c:orientation val="minMax"/>
        </c:scaling>
        <c:delete val="0"/>
        <c:axPos val="b"/>
        <c:majorTickMark val="out"/>
        <c:minorTickMark val="none"/>
        <c:tickLblPos val="nextTo"/>
        <c:crossAx val="281753472"/>
        <c:crosses val="autoZero"/>
        <c:auto val="1"/>
        <c:lblAlgn val="ctr"/>
        <c:lblOffset val="100"/>
        <c:noMultiLvlLbl val="0"/>
      </c:catAx>
      <c:valAx>
        <c:axId val="281753472"/>
        <c:scaling>
          <c:orientation val="minMax"/>
        </c:scaling>
        <c:delete val="0"/>
        <c:axPos val="l"/>
        <c:majorGridlines>
          <c:spPr>
            <a:ln>
              <a:noFill/>
            </a:ln>
          </c:spPr>
        </c:majorGridlines>
        <c:numFmt formatCode="0" sourceLinked="1"/>
        <c:majorTickMark val="out"/>
        <c:minorTickMark val="none"/>
        <c:tickLblPos val="nextTo"/>
        <c:crossAx val="281751936"/>
        <c:crosses val="autoZero"/>
        <c:crossBetween val="between"/>
      </c:valAx>
    </c:plotArea>
    <c:legend>
      <c:legendPos val="r"/>
      <c:layout>
        <c:manualLayout>
          <c:xMode val="edge"/>
          <c:yMode val="edge"/>
          <c:x val="0.25423405820051809"/>
          <c:y val="0.13335531334445264"/>
          <c:w val="0.40489406131399447"/>
          <c:h val="0.22469604755190187"/>
        </c:manualLayout>
      </c:layout>
      <c:overlay val="0"/>
    </c:legend>
    <c:plotVisOnly val="1"/>
    <c:dispBlanksAs val="gap"/>
    <c:showDLblsOverMax val="0"/>
  </c:chart>
  <c:spPr>
    <a:ln>
      <a:noFill/>
    </a:ln>
  </c:spPr>
  <c:txPr>
    <a:bodyPr/>
    <a:lstStyle/>
    <a:p>
      <a:pPr>
        <a:defRPr sz="700"/>
      </a:pPr>
      <a:endParaRPr lang="en-US"/>
    </a:p>
  </c:txPr>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263038555344639"/>
          <c:y val="3.7876947562405845E-2"/>
          <c:w val="0.89725188154616731"/>
          <c:h val="0.75801000037679422"/>
        </c:manualLayout>
      </c:layout>
      <c:barChart>
        <c:barDir val="col"/>
        <c:grouping val="clustered"/>
        <c:varyColors val="0"/>
        <c:ser>
          <c:idx val="0"/>
          <c:order val="0"/>
          <c:tx>
            <c:strRef>
              <c:f>Sheet1!$B$33</c:f>
              <c:strCache>
                <c:ptCount val="1"/>
                <c:pt idx="0">
                  <c:v>2011</c:v>
                </c:pt>
              </c:strCache>
            </c:strRef>
          </c:tx>
          <c:invertIfNegative val="0"/>
          <c:cat>
            <c:strRef>
              <c:f>Sheet1!$A$34:$A$39</c:f>
              <c:strCache>
                <c:ptCount val="6"/>
                <c:pt idx="0">
                  <c:v>Mongolia</c:v>
                </c:pt>
                <c:pt idx="1">
                  <c:v>Indonesia</c:v>
                </c:pt>
                <c:pt idx="2">
                  <c:v>Vietnam</c:v>
                </c:pt>
                <c:pt idx="3">
                  <c:v>Myanmar</c:v>
                </c:pt>
                <c:pt idx="4">
                  <c:v>Lao PDR</c:v>
                </c:pt>
                <c:pt idx="5">
                  <c:v>Papua New Guinea</c:v>
                </c:pt>
              </c:strCache>
            </c:strRef>
          </c:cat>
          <c:val>
            <c:numRef>
              <c:f>Sheet1!$B$34:$B$39</c:f>
              <c:numCache>
                <c:formatCode>General</c:formatCode>
                <c:ptCount val="6"/>
                <c:pt idx="0">
                  <c:v>-4.8</c:v>
                </c:pt>
                <c:pt idx="1">
                  <c:v>-1.1000000000000001</c:v>
                </c:pt>
                <c:pt idx="2">
                  <c:v>-2.9</c:v>
                </c:pt>
                <c:pt idx="3">
                  <c:v>-4.5999999999999996</c:v>
                </c:pt>
                <c:pt idx="4">
                  <c:v>-2.7</c:v>
                </c:pt>
                <c:pt idx="5">
                  <c:v>1.7</c:v>
                </c:pt>
              </c:numCache>
            </c:numRef>
          </c:val>
        </c:ser>
        <c:ser>
          <c:idx val="1"/>
          <c:order val="1"/>
          <c:tx>
            <c:strRef>
              <c:f>Sheet1!$C$33</c:f>
              <c:strCache>
                <c:ptCount val="1"/>
                <c:pt idx="0">
                  <c:v>2012</c:v>
                </c:pt>
              </c:strCache>
            </c:strRef>
          </c:tx>
          <c:invertIfNegative val="0"/>
          <c:cat>
            <c:strRef>
              <c:f>Sheet1!$A$34:$A$39</c:f>
              <c:strCache>
                <c:ptCount val="6"/>
                <c:pt idx="0">
                  <c:v>Mongolia</c:v>
                </c:pt>
                <c:pt idx="1">
                  <c:v>Indonesia</c:v>
                </c:pt>
                <c:pt idx="2">
                  <c:v>Vietnam</c:v>
                </c:pt>
                <c:pt idx="3">
                  <c:v>Myanmar</c:v>
                </c:pt>
                <c:pt idx="4">
                  <c:v>Lao PDR</c:v>
                </c:pt>
                <c:pt idx="5">
                  <c:v>Papua New Guinea</c:v>
                </c:pt>
              </c:strCache>
            </c:strRef>
          </c:cat>
          <c:val>
            <c:numRef>
              <c:f>Sheet1!$C$34:$C$39</c:f>
              <c:numCache>
                <c:formatCode>General</c:formatCode>
                <c:ptCount val="6"/>
                <c:pt idx="0">
                  <c:v>-10.9</c:v>
                </c:pt>
                <c:pt idx="1">
                  <c:v>-1.9000000000000001</c:v>
                </c:pt>
                <c:pt idx="2">
                  <c:v>-4.8</c:v>
                </c:pt>
                <c:pt idx="3">
                  <c:v>-3.7</c:v>
                </c:pt>
                <c:pt idx="4">
                  <c:v>-1.3</c:v>
                </c:pt>
                <c:pt idx="5">
                  <c:v>-3.2</c:v>
                </c:pt>
              </c:numCache>
            </c:numRef>
          </c:val>
        </c:ser>
        <c:ser>
          <c:idx val="2"/>
          <c:order val="2"/>
          <c:tx>
            <c:strRef>
              <c:f>Sheet1!$D$33</c:f>
              <c:strCache>
                <c:ptCount val="1"/>
                <c:pt idx="0">
                  <c:v>2013f</c:v>
                </c:pt>
              </c:strCache>
            </c:strRef>
          </c:tx>
          <c:invertIfNegative val="0"/>
          <c:cat>
            <c:strRef>
              <c:f>Sheet1!$A$34:$A$39</c:f>
              <c:strCache>
                <c:ptCount val="6"/>
                <c:pt idx="0">
                  <c:v>Mongolia</c:v>
                </c:pt>
                <c:pt idx="1">
                  <c:v>Indonesia</c:v>
                </c:pt>
                <c:pt idx="2">
                  <c:v>Vietnam</c:v>
                </c:pt>
                <c:pt idx="3">
                  <c:v>Myanmar</c:v>
                </c:pt>
                <c:pt idx="4">
                  <c:v>Lao PDR</c:v>
                </c:pt>
                <c:pt idx="5">
                  <c:v>Papua New Guinea</c:v>
                </c:pt>
              </c:strCache>
            </c:strRef>
          </c:cat>
          <c:val>
            <c:numRef>
              <c:f>Sheet1!$D$34:$D$39</c:f>
              <c:numCache>
                <c:formatCode>General</c:formatCode>
                <c:ptCount val="6"/>
                <c:pt idx="0">
                  <c:v>-11.8</c:v>
                </c:pt>
                <c:pt idx="1">
                  <c:v>-2.5</c:v>
                </c:pt>
                <c:pt idx="2">
                  <c:v>-4</c:v>
                </c:pt>
                <c:pt idx="3">
                  <c:v>-5</c:v>
                </c:pt>
                <c:pt idx="4">
                  <c:v>-6.1</c:v>
                </c:pt>
                <c:pt idx="5">
                  <c:v>-6.5</c:v>
                </c:pt>
              </c:numCache>
            </c:numRef>
          </c:val>
        </c:ser>
        <c:dLbls>
          <c:showLegendKey val="0"/>
          <c:showVal val="0"/>
          <c:showCatName val="0"/>
          <c:showSerName val="0"/>
          <c:showPercent val="0"/>
          <c:showBubbleSize val="0"/>
        </c:dLbls>
        <c:gapWidth val="150"/>
        <c:axId val="281766912"/>
        <c:axId val="281780992"/>
      </c:barChart>
      <c:catAx>
        <c:axId val="281766912"/>
        <c:scaling>
          <c:orientation val="minMax"/>
        </c:scaling>
        <c:delete val="0"/>
        <c:axPos val="b"/>
        <c:majorTickMark val="out"/>
        <c:minorTickMark val="none"/>
        <c:tickLblPos val="low"/>
        <c:crossAx val="281780992"/>
        <c:crosses val="autoZero"/>
        <c:auto val="1"/>
        <c:lblAlgn val="ctr"/>
        <c:lblOffset val="100"/>
        <c:noMultiLvlLbl val="0"/>
      </c:catAx>
      <c:valAx>
        <c:axId val="281780992"/>
        <c:scaling>
          <c:orientation val="minMax"/>
        </c:scaling>
        <c:delete val="0"/>
        <c:axPos val="l"/>
        <c:majorGridlines>
          <c:spPr>
            <a:ln>
              <a:noFill/>
            </a:ln>
          </c:spPr>
        </c:majorGridlines>
        <c:numFmt formatCode="General" sourceLinked="1"/>
        <c:majorTickMark val="out"/>
        <c:minorTickMark val="none"/>
        <c:tickLblPos val="nextTo"/>
        <c:crossAx val="281766912"/>
        <c:crosses val="autoZero"/>
        <c:crossBetween val="between"/>
      </c:valAx>
    </c:plotArea>
    <c:legend>
      <c:legendPos val="r"/>
      <c:layout>
        <c:manualLayout>
          <c:xMode val="edge"/>
          <c:yMode val="edge"/>
          <c:x val="0.26612286663624057"/>
          <c:y val="0.52955548109677752"/>
          <c:w val="0.60927648045488592"/>
          <c:h val="0.21603172321591788"/>
        </c:manualLayout>
      </c:layout>
      <c:overlay val="0"/>
    </c:legend>
    <c:plotVisOnly val="1"/>
    <c:dispBlanksAs val="gap"/>
    <c:showDLblsOverMax val="0"/>
  </c:chart>
  <c:spPr>
    <a:ln>
      <a:noFill/>
    </a:ln>
  </c:spPr>
  <c:txPr>
    <a:bodyPr/>
    <a:lstStyle/>
    <a:p>
      <a:pPr>
        <a:defRPr sz="700"/>
      </a:pPr>
      <a:endParaRPr lang="en-US"/>
    </a:p>
  </c:txPr>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4261165146350106E-2"/>
          <c:y val="3.369620100942268E-2"/>
          <c:w val="0.930225431478516"/>
          <c:h val="0.82494423501594882"/>
        </c:manualLayout>
      </c:layout>
      <c:barChart>
        <c:barDir val="col"/>
        <c:grouping val="clustered"/>
        <c:varyColors val="0"/>
        <c:ser>
          <c:idx val="0"/>
          <c:order val="0"/>
          <c:tx>
            <c:strRef>
              <c:f>Sheet1!$B$41</c:f>
              <c:strCache>
                <c:ptCount val="1"/>
                <c:pt idx="0">
                  <c:v>2011</c:v>
                </c:pt>
              </c:strCache>
            </c:strRef>
          </c:tx>
          <c:invertIfNegative val="0"/>
          <c:cat>
            <c:strRef>
              <c:f>Sheet1!$A$42:$A$47</c:f>
              <c:strCache>
                <c:ptCount val="6"/>
                <c:pt idx="0">
                  <c:v>Mongolia</c:v>
                </c:pt>
                <c:pt idx="1">
                  <c:v>Indonesia</c:v>
                </c:pt>
                <c:pt idx="2">
                  <c:v>Vietnam</c:v>
                </c:pt>
                <c:pt idx="3">
                  <c:v>Myanmar</c:v>
                </c:pt>
                <c:pt idx="4">
                  <c:v>Lao PDR</c:v>
                </c:pt>
                <c:pt idx="5">
                  <c:v>Papua New Guinea</c:v>
                </c:pt>
              </c:strCache>
            </c:strRef>
          </c:cat>
          <c:val>
            <c:numRef>
              <c:f>Sheet1!$B$42:$B$47</c:f>
              <c:numCache>
                <c:formatCode>General</c:formatCode>
                <c:ptCount val="6"/>
                <c:pt idx="0">
                  <c:v>72.36999999999999</c:v>
                </c:pt>
                <c:pt idx="1">
                  <c:v>24.4</c:v>
                </c:pt>
                <c:pt idx="2">
                  <c:v>14.3</c:v>
                </c:pt>
                <c:pt idx="3">
                  <c:v>25.1</c:v>
                </c:pt>
                <c:pt idx="4">
                  <c:v>38.200000000000003</c:v>
                </c:pt>
                <c:pt idx="5">
                  <c:v>7.3</c:v>
                </c:pt>
              </c:numCache>
            </c:numRef>
          </c:val>
        </c:ser>
        <c:ser>
          <c:idx val="1"/>
          <c:order val="1"/>
          <c:tx>
            <c:strRef>
              <c:f>Sheet1!$C$41</c:f>
              <c:strCache>
                <c:ptCount val="1"/>
                <c:pt idx="0">
                  <c:v>2012</c:v>
                </c:pt>
              </c:strCache>
            </c:strRef>
          </c:tx>
          <c:invertIfNegative val="0"/>
          <c:cat>
            <c:strRef>
              <c:f>Sheet1!$A$42:$A$47</c:f>
              <c:strCache>
                <c:ptCount val="6"/>
                <c:pt idx="0">
                  <c:v>Mongolia</c:v>
                </c:pt>
                <c:pt idx="1">
                  <c:v>Indonesia</c:v>
                </c:pt>
                <c:pt idx="2">
                  <c:v>Vietnam</c:v>
                </c:pt>
                <c:pt idx="3">
                  <c:v>Myanmar</c:v>
                </c:pt>
                <c:pt idx="4">
                  <c:v>Lao PDR</c:v>
                </c:pt>
                <c:pt idx="5">
                  <c:v>Papua New Guinea</c:v>
                </c:pt>
              </c:strCache>
            </c:strRef>
          </c:cat>
          <c:val>
            <c:numRef>
              <c:f>Sheet1!$C$42:$C$47</c:f>
              <c:numCache>
                <c:formatCode>General</c:formatCode>
                <c:ptCount val="6"/>
                <c:pt idx="0">
                  <c:v>24.65000000000002</c:v>
                </c:pt>
                <c:pt idx="1">
                  <c:v>24.2</c:v>
                </c:pt>
                <c:pt idx="2">
                  <c:v>8.9</c:v>
                </c:pt>
                <c:pt idx="3">
                  <c:v>6.2</c:v>
                </c:pt>
                <c:pt idx="4">
                  <c:v>26.6</c:v>
                </c:pt>
                <c:pt idx="5">
                  <c:v>15</c:v>
                </c:pt>
              </c:numCache>
            </c:numRef>
          </c:val>
        </c:ser>
        <c:ser>
          <c:idx val="2"/>
          <c:order val="2"/>
          <c:tx>
            <c:strRef>
              <c:f>Sheet1!$D$41</c:f>
              <c:strCache>
                <c:ptCount val="1"/>
                <c:pt idx="0">
                  <c:v>2013f</c:v>
                </c:pt>
              </c:strCache>
            </c:strRef>
          </c:tx>
          <c:invertIfNegative val="0"/>
          <c:cat>
            <c:strRef>
              <c:f>Sheet1!$A$42:$A$47</c:f>
              <c:strCache>
                <c:ptCount val="6"/>
                <c:pt idx="0">
                  <c:v>Mongolia</c:v>
                </c:pt>
                <c:pt idx="1">
                  <c:v>Indonesia</c:v>
                </c:pt>
                <c:pt idx="2">
                  <c:v>Vietnam</c:v>
                </c:pt>
                <c:pt idx="3">
                  <c:v>Myanmar</c:v>
                </c:pt>
                <c:pt idx="4">
                  <c:v>Lao PDR</c:v>
                </c:pt>
                <c:pt idx="5">
                  <c:v>Papua New Guinea</c:v>
                </c:pt>
              </c:strCache>
            </c:strRef>
          </c:cat>
          <c:val>
            <c:numRef>
              <c:f>Sheet1!$D$42:$D$47</c:f>
              <c:numCache>
                <c:formatCode>General</c:formatCode>
                <c:ptCount val="6"/>
                <c:pt idx="0">
                  <c:v>48</c:v>
                </c:pt>
                <c:pt idx="1">
                  <c:v>21</c:v>
                </c:pt>
                <c:pt idx="2">
                  <c:v>10</c:v>
                </c:pt>
                <c:pt idx="3">
                  <c:v>29.2</c:v>
                </c:pt>
                <c:pt idx="4">
                  <c:v>24.3</c:v>
                </c:pt>
                <c:pt idx="5">
                  <c:v>12</c:v>
                </c:pt>
              </c:numCache>
            </c:numRef>
          </c:val>
        </c:ser>
        <c:dLbls>
          <c:showLegendKey val="0"/>
          <c:showVal val="0"/>
          <c:showCatName val="0"/>
          <c:showSerName val="0"/>
          <c:showPercent val="0"/>
          <c:showBubbleSize val="0"/>
        </c:dLbls>
        <c:gapWidth val="150"/>
        <c:axId val="281806720"/>
        <c:axId val="281808256"/>
      </c:barChart>
      <c:catAx>
        <c:axId val="281806720"/>
        <c:scaling>
          <c:orientation val="minMax"/>
        </c:scaling>
        <c:delete val="0"/>
        <c:axPos val="b"/>
        <c:majorTickMark val="out"/>
        <c:minorTickMark val="none"/>
        <c:tickLblPos val="nextTo"/>
        <c:crossAx val="281808256"/>
        <c:crosses val="autoZero"/>
        <c:auto val="1"/>
        <c:lblAlgn val="ctr"/>
        <c:lblOffset val="100"/>
        <c:noMultiLvlLbl val="0"/>
      </c:catAx>
      <c:valAx>
        <c:axId val="281808256"/>
        <c:scaling>
          <c:orientation val="minMax"/>
        </c:scaling>
        <c:delete val="0"/>
        <c:axPos val="l"/>
        <c:majorGridlines>
          <c:spPr>
            <a:ln>
              <a:noFill/>
            </a:ln>
          </c:spPr>
        </c:majorGridlines>
        <c:numFmt formatCode="General" sourceLinked="1"/>
        <c:majorTickMark val="out"/>
        <c:minorTickMark val="none"/>
        <c:tickLblPos val="nextTo"/>
        <c:crossAx val="281806720"/>
        <c:crosses val="autoZero"/>
        <c:crossBetween val="between"/>
      </c:valAx>
    </c:plotArea>
    <c:legend>
      <c:legendPos val="r"/>
      <c:layout>
        <c:manualLayout>
          <c:xMode val="edge"/>
          <c:yMode val="edge"/>
          <c:x val="0.28575965828135724"/>
          <c:y val="9.6350703515949168E-2"/>
          <c:w val="0.36041391955439211"/>
          <c:h val="0.27375629531321538"/>
        </c:manualLayout>
      </c:layout>
      <c:overlay val="0"/>
    </c:legend>
    <c:plotVisOnly val="1"/>
    <c:dispBlanksAs val="gap"/>
    <c:showDLblsOverMax val="0"/>
  </c:chart>
  <c:spPr>
    <a:ln>
      <a:noFill/>
    </a:ln>
  </c:spPr>
  <c:txPr>
    <a:bodyPr/>
    <a:lstStyle/>
    <a:p>
      <a:pPr>
        <a:defRPr sz="600"/>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9897119860723879E-2"/>
          <c:y val="0.24516757661602812"/>
          <c:w val="0.86328417543594649"/>
          <c:h val="0.65931364700214834"/>
        </c:manualLayout>
      </c:layout>
      <c:barChart>
        <c:barDir val="col"/>
        <c:grouping val="stacked"/>
        <c:varyColors val="0"/>
        <c:ser>
          <c:idx val="7"/>
          <c:order val="1"/>
          <c:tx>
            <c:strRef>
              <c:f>'Qtr GDP at constant price'!$BH$9</c:f>
              <c:strCache>
                <c:ptCount val="1"/>
                <c:pt idx="0">
                  <c:v>Тээвэр</c:v>
                </c:pt>
              </c:strCache>
            </c:strRef>
          </c:tx>
          <c:spPr>
            <a:solidFill>
              <a:srgbClr val="C00000"/>
            </a:solidFill>
          </c:spPr>
          <c:invertIfNegative val="0"/>
          <c:cat>
            <c:strRef>
              <c:f>'Qtr GDP at constant price'!$C$43:$C$60</c:f>
              <c:strCache>
                <c:ptCount val="18"/>
                <c:pt idx="0">
                  <c:v>Q4-08</c:v>
                </c:pt>
                <c:pt idx="1">
                  <c:v>Q1-09</c:v>
                </c:pt>
                <c:pt idx="2">
                  <c:v>Q2-09</c:v>
                </c:pt>
                <c:pt idx="3">
                  <c:v>Q3-09</c:v>
                </c:pt>
                <c:pt idx="4">
                  <c:v>Q4-09</c:v>
                </c:pt>
                <c:pt idx="5">
                  <c:v>Q1-10</c:v>
                </c:pt>
                <c:pt idx="6">
                  <c:v>Q2-10</c:v>
                </c:pt>
                <c:pt idx="7">
                  <c:v>Q3-10</c:v>
                </c:pt>
                <c:pt idx="8">
                  <c:v>Q4-10</c:v>
                </c:pt>
                <c:pt idx="9">
                  <c:v>Q1-11</c:v>
                </c:pt>
                <c:pt idx="10">
                  <c:v>Q2-11</c:v>
                </c:pt>
                <c:pt idx="11">
                  <c:v>Q3-11</c:v>
                </c:pt>
                <c:pt idx="12">
                  <c:v>Q4-11</c:v>
                </c:pt>
                <c:pt idx="13">
                  <c:v>Q1-12</c:v>
                </c:pt>
                <c:pt idx="14">
                  <c:v>Q2-12</c:v>
                </c:pt>
                <c:pt idx="15">
                  <c:v>Q3-12</c:v>
                </c:pt>
                <c:pt idx="16">
                  <c:v>Q4-12</c:v>
                </c:pt>
                <c:pt idx="17">
                  <c:v>Q1-13</c:v>
                </c:pt>
              </c:strCache>
            </c:strRef>
          </c:cat>
          <c:val>
            <c:numRef>
              <c:f>'Qtr GDP at constant price'!$BH$43:$BH$61</c:f>
              <c:numCache>
                <c:formatCode>0.0_)</c:formatCode>
                <c:ptCount val="19"/>
                <c:pt idx="0">
                  <c:v>1.1061224148945747</c:v>
                </c:pt>
                <c:pt idx="1">
                  <c:v>1.111889452974141</c:v>
                </c:pt>
                <c:pt idx="2">
                  <c:v>0.56079797165918976</c:v>
                </c:pt>
                <c:pt idx="3">
                  <c:v>-0.1124689679650953</c:v>
                </c:pt>
                <c:pt idx="4">
                  <c:v>1.8375358859753206</c:v>
                </c:pt>
                <c:pt idx="5">
                  <c:v>6.1190291545447736E-2</c:v>
                </c:pt>
                <c:pt idx="6">
                  <c:v>-3.1265062319722745E-2</c:v>
                </c:pt>
                <c:pt idx="7">
                  <c:v>2.1860612866941254</c:v>
                </c:pt>
                <c:pt idx="8">
                  <c:v>0.86780231617254944</c:v>
                </c:pt>
                <c:pt idx="9">
                  <c:v>1.0075342255124504</c:v>
                </c:pt>
                <c:pt idx="10">
                  <c:v>2.2482448155811534</c:v>
                </c:pt>
                <c:pt idx="11">
                  <c:v>1.7420841544420529</c:v>
                </c:pt>
                <c:pt idx="12">
                  <c:v>-0.65926158646490052</c:v>
                </c:pt>
                <c:pt idx="13">
                  <c:v>1.3798238354204624</c:v>
                </c:pt>
                <c:pt idx="14">
                  <c:v>0.23313055375373878</c:v>
                </c:pt>
                <c:pt idx="15">
                  <c:v>0.42405241382676861</c:v>
                </c:pt>
                <c:pt idx="16">
                  <c:v>2.0179867023294831</c:v>
                </c:pt>
                <c:pt idx="17">
                  <c:v>-5.7194862804074986E-2</c:v>
                </c:pt>
                <c:pt idx="18">
                  <c:v>1.0813632384849605</c:v>
                </c:pt>
              </c:numCache>
            </c:numRef>
          </c:val>
        </c:ser>
        <c:ser>
          <c:idx val="5"/>
          <c:order val="2"/>
          <c:tx>
            <c:strRef>
              <c:f>'Qtr GDP at constant price'!$BF$9</c:f>
              <c:strCache>
                <c:ptCount val="1"/>
                <c:pt idx="0">
                  <c:v>Барилга</c:v>
                </c:pt>
              </c:strCache>
            </c:strRef>
          </c:tx>
          <c:spPr>
            <a:solidFill>
              <a:srgbClr val="1F497D">
                <a:lumMod val="60000"/>
                <a:lumOff val="40000"/>
              </a:srgbClr>
            </a:solidFill>
          </c:spPr>
          <c:invertIfNegative val="0"/>
          <c:cat>
            <c:strRef>
              <c:f>'Qtr GDP at constant price'!$C$43:$C$60</c:f>
              <c:strCache>
                <c:ptCount val="18"/>
                <c:pt idx="0">
                  <c:v>Q4-08</c:v>
                </c:pt>
                <c:pt idx="1">
                  <c:v>Q1-09</c:v>
                </c:pt>
                <c:pt idx="2">
                  <c:v>Q2-09</c:v>
                </c:pt>
                <c:pt idx="3">
                  <c:v>Q3-09</c:v>
                </c:pt>
                <c:pt idx="4">
                  <c:v>Q4-09</c:v>
                </c:pt>
                <c:pt idx="5">
                  <c:v>Q1-10</c:v>
                </c:pt>
                <c:pt idx="6">
                  <c:v>Q2-10</c:v>
                </c:pt>
                <c:pt idx="7">
                  <c:v>Q3-10</c:v>
                </c:pt>
                <c:pt idx="8">
                  <c:v>Q4-10</c:v>
                </c:pt>
                <c:pt idx="9">
                  <c:v>Q1-11</c:v>
                </c:pt>
                <c:pt idx="10">
                  <c:v>Q2-11</c:v>
                </c:pt>
                <c:pt idx="11">
                  <c:v>Q3-11</c:v>
                </c:pt>
                <c:pt idx="12">
                  <c:v>Q4-11</c:v>
                </c:pt>
                <c:pt idx="13">
                  <c:v>Q1-12</c:v>
                </c:pt>
                <c:pt idx="14">
                  <c:v>Q2-12</c:v>
                </c:pt>
                <c:pt idx="15">
                  <c:v>Q3-12</c:v>
                </c:pt>
                <c:pt idx="16">
                  <c:v>Q4-12</c:v>
                </c:pt>
                <c:pt idx="17">
                  <c:v>Q1-13</c:v>
                </c:pt>
              </c:strCache>
            </c:strRef>
          </c:cat>
          <c:val>
            <c:numRef>
              <c:f>'Qtr GDP at constant price'!$BF$43:$BF$61</c:f>
              <c:numCache>
                <c:formatCode>0.0_)</c:formatCode>
                <c:ptCount val="19"/>
                <c:pt idx="0">
                  <c:v>-0.48896512742770054</c:v>
                </c:pt>
                <c:pt idx="1">
                  <c:v>-0.15359965186377134</c:v>
                </c:pt>
                <c:pt idx="2">
                  <c:v>-0.84667039371612074</c:v>
                </c:pt>
                <c:pt idx="3">
                  <c:v>-9.8603906600462546E-2</c:v>
                </c:pt>
                <c:pt idx="4">
                  <c:v>-1.3599241157281281</c:v>
                </c:pt>
                <c:pt idx="5">
                  <c:v>-0.24799419414233712</c:v>
                </c:pt>
                <c:pt idx="6">
                  <c:v>5.8493021852911484E-2</c:v>
                </c:pt>
                <c:pt idx="7">
                  <c:v>-9.3055082352912349E-3</c:v>
                </c:pt>
                <c:pt idx="8">
                  <c:v>0.84787552404104483</c:v>
                </c:pt>
                <c:pt idx="9">
                  <c:v>0.31437467918297179</c:v>
                </c:pt>
                <c:pt idx="10">
                  <c:v>0.38584001500053366</c:v>
                </c:pt>
                <c:pt idx="11">
                  <c:v>1.2504387689978234</c:v>
                </c:pt>
                <c:pt idx="12">
                  <c:v>5.7716410600506973E-2</c:v>
                </c:pt>
                <c:pt idx="13">
                  <c:v>-2.8898779595462869E-2</c:v>
                </c:pt>
                <c:pt idx="14">
                  <c:v>0.384474428278402</c:v>
                </c:pt>
                <c:pt idx="15">
                  <c:v>-8.8281282950180631E-3</c:v>
                </c:pt>
                <c:pt idx="16">
                  <c:v>1.9649023411483357</c:v>
                </c:pt>
                <c:pt idx="17">
                  <c:v>3.1145153109226671E-2</c:v>
                </c:pt>
                <c:pt idx="18">
                  <c:v>1.9608212526812969</c:v>
                </c:pt>
              </c:numCache>
            </c:numRef>
          </c:val>
        </c:ser>
        <c:ser>
          <c:idx val="3"/>
          <c:order val="3"/>
          <c:tx>
            <c:strRef>
              <c:f>'Qtr GDP at constant price'!$BD$9</c:f>
              <c:strCache>
                <c:ptCount val="1"/>
                <c:pt idx="0">
                  <c:v>аж үйлдвэр</c:v>
                </c:pt>
              </c:strCache>
            </c:strRef>
          </c:tx>
          <c:spPr>
            <a:solidFill>
              <a:srgbClr val="1F497D">
                <a:lumMod val="50000"/>
              </a:srgbClr>
            </a:solidFill>
          </c:spPr>
          <c:invertIfNegative val="0"/>
          <c:cat>
            <c:strRef>
              <c:f>'Qtr GDP at constant price'!$C$43:$C$60</c:f>
              <c:strCache>
                <c:ptCount val="18"/>
                <c:pt idx="0">
                  <c:v>Q4-08</c:v>
                </c:pt>
                <c:pt idx="1">
                  <c:v>Q1-09</c:v>
                </c:pt>
                <c:pt idx="2">
                  <c:v>Q2-09</c:v>
                </c:pt>
                <c:pt idx="3">
                  <c:v>Q3-09</c:v>
                </c:pt>
                <c:pt idx="4">
                  <c:v>Q4-09</c:v>
                </c:pt>
                <c:pt idx="5">
                  <c:v>Q1-10</c:v>
                </c:pt>
                <c:pt idx="6">
                  <c:v>Q2-10</c:v>
                </c:pt>
                <c:pt idx="7">
                  <c:v>Q3-10</c:v>
                </c:pt>
                <c:pt idx="8">
                  <c:v>Q4-10</c:v>
                </c:pt>
                <c:pt idx="9">
                  <c:v>Q1-11</c:v>
                </c:pt>
                <c:pt idx="10">
                  <c:v>Q2-11</c:v>
                </c:pt>
                <c:pt idx="11">
                  <c:v>Q3-11</c:v>
                </c:pt>
                <c:pt idx="12">
                  <c:v>Q4-11</c:v>
                </c:pt>
                <c:pt idx="13">
                  <c:v>Q1-12</c:v>
                </c:pt>
                <c:pt idx="14">
                  <c:v>Q2-12</c:v>
                </c:pt>
                <c:pt idx="15">
                  <c:v>Q3-12</c:v>
                </c:pt>
                <c:pt idx="16">
                  <c:v>Q4-12</c:v>
                </c:pt>
                <c:pt idx="17">
                  <c:v>Q1-13</c:v>
                </c:pt>
              </c:strCache>
            </c:strRef>
          </c:cat>
          <c:val>
            <c:numRef>
              <c:f>'Qtr GDP at constant price'!$BD$43:$BD$61</c:f>
              <c:numCache>
                <c:formatCode>0.0_)</c:formatCode>
                <c:ptCount val="19"/>
                <c:pt idx="0">
                  <c:v>-2.8545192353542745</c:v>
                </c:pt>
                <c:pt idx="1">
                  <c:v>-2.5051465658489162E-4</c:v>
                </c:pt>
                <c:pt idx="2">
                  <c:v>-1.0693552770611381</c:v>
                </c:pt>
                <c:pt idx="3">
                  <c:v>-2.2569006162669965</c:v>
                </c:pt>
                <c:pt idx="4">
                  <c:v>0.9997629760171407</c:v>
                </c:pt>
                <c:pt idx="5">
                  <c:v>0.70494914874658499</c:v>
                </c:pt>
                <c:pt idx="6">
                  <c:v>1.1140851872169446</c:v>
                </c:pt>
                <c:pt idx="7">
                  <c:v>1.057524544056204</c:v>
                </c:pt>
                <c:pt idx="8">
                  <c:v>-1.1361669581599112</c:v>
                </c:pt>
                <c:pt idx="9">
                  <c:v>-0.1916269771769</c:v>
                </c:pt>
                <c:pt idx="10">
                  <c:v>0.54752226074231625</c:v>
                </c:pt>
                <c:pt idx="11">
                  <c:v>0.79393051598613262</c:v>
                </c:pt>
                <c:pt idx="12">
                  <c:v>0.60713449524276908</c:v>
                </c:pt>
                <c:pt idx="13">
                  <c:v>0.64991923447615829</c:v>
                </c:pt>
                <c:pt idx="14">
                  <c:v>0.33153735764635267</c:v>
                </c:pt>
                <c:pt idx="15">
                  <c:v>0.48554864584167884</c:v>
                </c:pt>
                <c:pt idx="16">
                  <c:v>0.64221150705856744</c:v>
                </c:pt>
                <c:pt idx="17">
                  <c:v>0.9406251262707731</c:v>
                </c:pt>
                <c:pt idx="18">
                  <c:v>-7.0208405567927151E-2</c:v>
                </c:pt>
              </c:numCache>
            </c:numRef>
          </c:val>
        </c:ser>
        <c:ser>
          <c:idx val="4"/>
          <c:order val="4"/>
          <c:tx>
            <c:strRef>
              <c:f>'Qtr GDP at constant price'!$BJ$9</c:f>
              <c:strCache>
                <c:ptCount val="1"/>
                <c:pt idx="0">
                  <c:v>бусад үйлчилгээ</c:v>
                </c:pt>
              </c:strCache>
            </c:strRef>
          </c:tx>
          <c:spPr>
            <a:solidFill>
              <a:srgbClr val="C0504D">
                <a:lumMod val="20000"/>
                <a:lumOff val="80000"/>
              </a:srgbClr>
            </a:solidFill>
          </c:spPr>
          <c:invertIfNegative val="0"/>
          <c:cat>
            <c:strRef>
              <c:f>'Qtr GDP at constant price'!$C$43:$C$60</c:f>
              <c:strCache>
                <c:ptCount val="18"/>
                <c:pt idx="0">
                  <c:v>Q4-08</c:v>
                </c:pt>
                <c:pt idx="1">
                  <c:v>Q1-09</c:v>
                </c:pt>
                <c:pt idx="2">
                  <c:v>Q2-09</c:v>
                </c:pt>
                <c:pt idx="3">
                  <c:v>Q3-09</c:v>
                </c:pt>
                <c:pt idx="4">
                  <c:v>Q4-09</c:v>
                </c:pt>
                <c:pt idx="5">
                  <c:v>Q1-10</c:v>
                </c:pt>
                <c:pt idx="6">
                  <c:v>Q2-10</c:v>
                </c:pt>
                <c:pt idx="7">
                  <c:v>Q3-10</c:v>
                </c:pt>
                <c:pt idx="8">
                  <c:v>Q4-10</c:v>
                </c:pt>
                <c:pt idx="9">
                  <c:v>Q1-11</c:v>
                </c:pt>
                <c:pt idx="10">
                  <c:v>Q2-11</c:v>
                </c:pt>
                <c:pt idx="11">
                  <c:v>Q3-11</c:v>
                </c:pt>
                <c:pt idx="12">
                  <c:v>Q4-11</c:v>
                </c:pt>
                <c:pt idx="13">
                  <c:v>Q1-12</c:v>
                </c:pt>
                <c:pt idx="14">
                  <c:v>Q2-12</c:v>
                </c:pt>
                <c:pt idx="15">
                  <c:v>Q3-12</c:v>
                </c:pt>
                <c:pt idx="16">
                  <c:v>Q4-12</c:v>
                </c:pt>
                <c:pt idx="17">
                  <c:v>Q1-13</c:v>
                </c:pt>
              </c:strCache>
            </c:strRef>
          </c:cat>
          <c:val>
            <c:numRef>
              <c:f>'Qtr GDP at constant price'!$BJ$43:$BJ$61</c:f>
              <c:numCache>
                <c:formatCode>0.0_)</c:formatCode>
                <c:ptCount val="19"/>
                <c:pt idx="0">
                  <c:v>2.1318705105678637</c:v>
                </c:pt>
                <c:pt idx="1">
                  <c:v>0.71241388472090272</c:v>
                </c:pt>
                <c:pt idx="2">
                  <c:v>0.47841067258344716</c:v>
                </c:pt>
                <c:pt idx="3">
                  <c:v>-4.0698316380216579E-2</c:v>
                </c:pt>
                <c:pt idx="4">
                  <c:v>-0.48828144998230227</c:v>
                </c:pt>
                <c:pt idx="5">
                  <c:v>-0.82363312390448062</c:v>
                </c:pt>
                <c:pt idx="6">
                  <c:v>-0.22509196181585747</c:v>
                </c:pt>
                <c:pt idx="7">
                  <c:v>0.34713835427463335</c:v>
                </c:pt>
                <c:pt idx="8">
                  <c:v>0.87880567908533291</c:v>
                </c:pt>
                <c:pt idx="9">
                  <c:v>1.7026959333755145</c:v>
                </c:pt>
                <c:pt idx="10">
                  <c:v>1.4615217106235905</c:v>
                </c:pt>
                <c:pt idx="11">
                  <c:v>2.1814501511059352</c:v>
                </c:pt>
                <c:pt idx="12">
                  <c:v>3.4755860342789116</c:v>
                </c:pt>
                <c:pt idx="13">
                  <c:v>4.2431851162468144</c:v>
                </c:pt>
                <c:pt idx="14">
                  <c:v>2.8369303533488357</c:v>
                </c:pt>
                <c:pt idx="15">
                  <c:v>2.5428257167532831</c:v>
                </c:pt>
                <c:pt idx="16">
                  <c:v>2.6003762865890341</c:v>
                </c:pt>
                <c:pt idx="17">
                  <c:v>2.3452862058139115</c:v>
                </c:pt>
                <c:pt idx="18">
                  <c:v>2.5238053818549102</c:v>
                </c:pt>
              </c:numCache>
            </c:numRef>
          </c:val>
        </c:ser>
        <c:ser>
          <c:idx val="2"/>
          <c:order val="5"/>
          <c:tx>
            <c:strRef>
              <c:f>'Qtr GDP at constant price'!$BC$9</c:f>
              <c:strCache>
                <c:ptCount val="1"/>
                <c:pt idx="0">
                  <c:v>уул уурхай</c:v>
                </c:pt>
              </c:strCache>
            </c:strRef>
          </c:tx>
          <c:spPr>
            <a:solidFill>
              <a:srgbClr val="9BBB59"/>
            </a:solidFill>
          </c:spPr>
          <c:invertIfNegative val="0"/>
          <c:cat>
            <c:strRef>
              <c:f>'Qtr GDP at constant price'!$C$43:$C$60</c:f>
              <c:strCache>
                <c:ptCount val="18"/>
                <c:pt idx="0">
                  <c:v>Q4-08</c:v>
                </c:pt>
                <c:pt idx="1">
                  <c:v>Q1-09</c:v>
                </c:pt>
                <c:pt idx="2">
                  <c:v>Q2-09</c:v>
                </c:pt>
                <c:pt idx="3">
                  <c:v>Q3-09</c:v>
                </c:pt>
                <c:pt idx="4">
                  <c:v>Q4-09</c:v>
                </c:pt>
                <c:pt idx="5">
                  <c:v>Q1-10</c:v>
                </c:pt>
                <c:pt idx="6">
                  <c:v>Q2-10</c:v>
                </c:pt>
                <c:pt idx="7">
                  <c:v>Q3-10</c:v>
                </c:pt>
                <c:pt idx="8">
                  <c:v>Q4-10</c:v>
                </c:pt>
                <c:pt idx="9">
                  <c:v>Q1-11</c:v>
                </c:pt>
                <c:pt idx="10">
                  <c:v>Q2-11</c:v>
                </c:pt>
                <c:pt idx="11">
                  <c:v>Q3-11</c:v>
                </c:pt>
                <c:pt idx="12">
                  <c:v>Q4-11</c:v>
                </c:pt>
                <c:pt idx="13">
                  <c:v>Q1-12</c:v>
                </c:pt>
                <c:pt idx="14">
                  <c:v>Q2-12</c:v>
                </c:pt>
                <c:pt idx="15">
                  <c:v>Q3-12</c:v>
                </c:pt>
                <c:pt idx="16">
                  <c:v>Q4-12</c:v>
                </c:pt>
                <c:pt idx="17">
                  <c:v>Q1-13</c:v>
                </c:pt>
              </c:strCache>
            </c:strRef>
          </c:cat>
          <c:val>
            <c:numRef>
              <c:f>'Qtr GDP at constant price'!$BC$43:$BC$61</c:f>
              <c:numCache>
                <c:formatCode>0.0_)</c:formatCode>
                <c:ptCount val="19"/>
                <c:pt idx="0">
                  <c:v>-8.6199446683508318E-2</c:v>
                </c:pt>
                <c:pt idx="1">
                  <c:v>-0.8552162303893619</c:v>
                </c:pt>
                <c:pt idx="2">
                  <c:v>1.2256511199845408</c:v>
                </c:pt>
                <c:pt idx="3">
                  <c:v>0.92688286074286153</c:v>
                </c:pt>
                <c:pt idx="4">
                  <c:v>1.9575071043884726</c:v>
                </c:pt>
                <c:pt idx="5">
                  <c:v>2.5710836041721628</c:v>
                </c:pt>
                <c:pt idx="6">
                  <c:v>-7.5436526379946772E-2</c:v>
                </c:pt>
                <c:pt idx="7">
                  <c:v>1.9817133918111813</c:v>
                </c:pt>
                <c:pt idx="8">
                  <c:v>-1.0302393044589568</c:v>
                </c:pt>
                <c:pt idx="9">
                  <c:v>1.2576359353029543</c:v>
                </c:pt>
                <c:pt idx="10">
                  <c:v>1.5991962543547262</c:v>
                </c:pt>
                <c:pt idx="11">
                  <c:v>0.60399939123497404</c:v>
                </c:pt>
                <c:pt idx="12">
                  <c:v>1.7138797400562871</c:v>
                </c:pt>
                <c:pt idx="13">
                  <c:v>1.9716944238134975</c:v>
                </c:pt>
                <c:pt idx="14">
                  <c:v>2.1524056637056344</c:v>
                </c:pt>
                <c:pt idx="15">
                  <c:v>-0.1882600014621757</c:v>
                </c:pt>
                <c:pt idx="16">
                  <c:v>1.5470246462378323</c:v>
                </c:pt>
                <c:pt idx="17">
                  <c:v>0.85455046420637026</c:v>
                </c:pt>
                <c:pt idx="18">
                  <c:v>1.1447857707898215</c:v>
                </c:pt>
              </c:numCache>
            </c:numRef>
          </c:val>
        </c:ser>
        <c:ser>
          <c:idx val="1"/>
          <c:order val="6"/>
          <c:tx>
            <c:strRef>
              <c:f>'Qtr GDP at constant price'!$BB$9</c:f>
              <c:strCache>
                <c:ptCount val="1"/>
                <c:pt idx="0">
                  <c:v>Хөдөө аж ахуй</c:v>
                </c:pt>
              </c:strCache>
            </c:strRef>
          </c:tx>
          <c:spPr>
            <a:solidFill>
              <a:schemeClr val="accent2"/>
            </a:solidFill>
          </c:spPr>
          <c:invertIfNegative val="0"/>
          <c:cat>
            <c:strRef>
              <c:f>'Qtr GDP at constant price'!$C$43:$C$60</c:f>
              <c:strCache>
                <c:ptCount val="18"/>
                <c:pt idx="0">
                  <c:v>Q4-08</c:v>
                </c:pt>
                <c:pt idx="1">
                  <c:v>Q1-09</c:v>
                </c:pt>
                <c:pt idx="2">
                  <c:v>Q2-09</c:v>
                </c:pt>
                <c:pt idx="3">
                  <c:v>Q3-09</c:v>
                </c:pt>
                <c:pt idx="4">
                  <c:v>Q4-09</c:v>
                </c:pt>
                <c:pt idx="5">
                  <c:v>Q1-10</c:v>
                </c:pt>
                <c:pt idx="6">
                  <c:v>Q2-10</c:v>
                </c:pt>
                <c:pt idx="7">
                  <c:v>Q3-10</c:v>
                </c:pt>
                <c:pt idx="8">
                  <c:v>Q4-10</c:v>
                </c:pt>
                <c:pt idx="9">
                  <c:v>Q1-11</c:v>
                </c:pt>
                <c:pt idx="10">
                  <c:v>Q2-11</c:v>
                </c:pt>
                <c:pt idx="11">
                  <c:v>Q3-11</c:v>
                </c:pt>
                <c:pt idx="12">
                  <c:v>Q4-11</c:v>
                </c:pt>
                <c:pt idx="13">
                  <c:v>Q1-12</c:v>
                </c:pt>
                <c:pt idx="14">
                  <c:v>Q2-12</c:v>
                </c:pt>
                <c:pt idx="15">
                  <c:v>Q3-12</c:v>
                </c:pt>
                <c:pt idx="16">
                  <c:v>Q4-12</c:v>
                </c:pt>
                <c:pt idx="17">
                  <c:v>Q1-13</c:v>
                </c:pt>
              </c:strCache>
            </c:strRef>
          </c:cat>
          <c:val>
            <c:numRef>
              <c:f>'Qtr GDP at constant price'!$BB$43:$BB$61</c:f>
              <c:numCache>
                <c:formatCode>0.0_)</c:formatCode>
                <c:ptCount val="19"/>
                <c:pt idx="0">
                  <c:v>0.64765180132580058</c:v>
                </c:pt>
                <c:pt idx="1">
                  <c:v>0.20016238620695259</c:v>
                </c:pt>
                <c:pt idx="2">
                  <c:v>1.0436527739000423</c:v>
                </c:pt>
                <c:pt idx="3">
                  <c:v>0.97977949995212177</c:v>
                </c:pt>
                <c:pt idx="4">
                  <c:v>0.45949466867316385</c:v>
                </c:pt>
                <c:pt idx="5">
                  <c:v>-0.94018152495509388</c:v>
                </c:pt>
                <c:pt idx="6">
                  <c:v>-4.8466903411952638</c:v>
                </c:pt>
                <c:pt idx="7">
                  <c:v>-3.647437781330674</c:v>
                </c:pt>
                <c:pt idx="8">
                  <c:v>-3.2919971819823117</c:v>
                </c:pt>
                <c:pt idx="9">
                  <c:v>-1.9704289489198751E-2</c:v>
                </c:pt>
                <c:pt idx="10">
                  <c:v>-0.14434333846062708</c:v>
                </c:pt>
                <c:pt idx="11">
                  <c:v>-0.26724203852137796</c:v>
                </c:pt>
                <c:pt idx="12">
                  <c:v>0.11345196842135297</c:v>
                </c:pt>
                <c:pt idx="13">
                  <c:v>0.86925370230181065</c:v>
                </c:pt>
                <c:pt idx="14">
                  <c:v>4.2778894266520551</c:v>
                </c:pt>
                <c:pt idx="15">
                  <c:v>3.0537755183136324</c:v>
                </c:pt>
                <c:pt idx="16">
                  <c:v>2.7812091935258803</c:v>
                </c:pt>
                <c:pt idx="17">
                  <c:v>0.87926833776991231</c:v>
                </c:pt>
                <c:pt idx="18">
                  <c:v>4.48233855026381</c:v>
                </c:pt>
              </c:numCache>
            </c:numRef>
          </c:val>
        </c:ser>
        <c:dLbls>
          <c:showLegendKey val="0"/>
          <c:showVal val="0"/>
          <c:showCatName val="0"/>
          <c:showSerName val="0"/>
          <c:showPercent val="0"/>
          <c:showBubbleSize val="0"/>
        </c:dLbls>
        <c:gapWidth val="150"/>
        <c:overlap val="100"/>
        <c:axId val="226148352"/>
        <c:axId val="226149888"/>
      </c:barChart>
      <c:lineChart>
        <c:grouping val="standard"/>
        <c:varyColors val="0"/>
        <c:ser>
          <c:idx val="0"/>
          <c:order val="0"/>
          <c:tx>
            <c:strRef>
              <c:f>'Qtr GDP at constant price'!$BA$7</c:f>
              <c:strCache>
                <c:ptCount val="1"/>
                <c:pt idx="0">
                  <c:v>ДНБ</c:v>
                </c:pt>
              </c:strCache>
            </c:strRef>
          </c:tx>
          <c:spPr>
            <a:ln>
              <a:solidFill>
                <a:schemeClr val="tx1"/>
              </a:solidFill>
            </a:ln>
          </c:spPr>
          <c:marker>
            <c:symbol val="none"/>
          </c:marker>
          <c:cat>
            <c:strRef>
              <c:f>'Qtr GDP at constant price'!$C$43:$C$61</c:f>
              <c:strCache>
                <c:ptCount val="19"/>
                <c:pt idx="0">
                  <c:v>Q4-08</c:v>
                </c:pt>
                <c:pt idx="1">
                  <c:v>Q1-09</c:v>
                </c:pt>
                <c:pt idx="2">
                  <c:v>Q2-09</c:v>
                </c:pt>
                <c:pt idx="3">
                  <c:v>Q3-09</c:v>
                </c:pt>
                <c:pt idx="4">
                  <c:v>Q4-09</c:v>
                </c:pt>
                <c:pt idx="5">
                  <c:v>Q1-10</c:v>
                </c:pt>
                <c:pt idx="6">
                  <c:v>Q2-10</c:v>
                </c:pt>
                <c:pt idx="7">
                  <c:v>Q3-10</c:v>
                </c:pt>
                <c:pt idx="8">
                  <c:v>Q4-10</c:v>
                </c:pt>
                <c:pt idx="9">
                  <c:v>Q1-11</c:v>
                </c:pt>
                <c:pt idx="10">
                  <c:v>Q2-11</c:v>
                </c:pt>
                <c:pt idx="11">
                  <c:v>Q3-11</c:v>
                </c:pt>
                <c:pt idx="12">
                  <c:v>Q4-11</c:v>
                </c:pt>
                <c:pt idx="13">
                  <c:v>Q1-12</c:v>
                </c:pt>
                <c:pt idx="14">
                  <c:v>Q2-12</c:v>
                </c:pt>
                <c:pt idx="15">
                  <c:v>Q3-12</c:v>
                </c:pt>
                <c:pt idx="16">
                  <c:v>Q4-12</c:v>
                </c:pt>
                <c:pt idx="17">
                  <c:v>Q1-13</c:v>
                </c:pt>
                <c:pt idx="18">
                  <c:v>Q2-13</c:v>
                </c:pt>
              </c:strCache>
            </c:strRef>
          </c:cat>
          <c:val>
            <c:numRef>
              <c:f>'Qtr GDP at constant price'!$BA$43:$BA$61</c:f>
              <c:numCache>
                <c:formatCode>0.0_)</c:formatCode>
                <c:ptCount val="19"/>
                <c:pt idx="0">
                  <c:v>5.0890182487636437</c:v>
                </c:pt>
                <c:pt idx="1">
                  <c:v>-2.2759789887370485</c:v>
                </c:pt>
                <c:pt idx="2">
                  <c:v>-0.61478539273220889</c:v>
                </c:pt>
                <c:pt idx="3">
                  <c:v>-2.9330432661051509</c:v>
                </c:pt>
                <c:pt idx="4">
                  <c:v>0.26781484645641562</c:v>
                </c:pt>
                <c:pt idx="5">
                  <c:v>8.2121327812450637</c:v>
                </c:pt>
                <c:pt idx="6">
                  <c:v>6.2676121359663384</c:v>
                </c:pt>
                <c:pt idx="7">
                  <c:v>11.983514983602195</c:v>
                </c:pt>
                <c:pt idx="8">
                  <c:v>0.39937911509517754</c:v>
                </c:pt>
                <c:pt idx="9">
                  <c:v>12.697677820004284</c:v>
                </c:pt>
                <c:pt idx="10">
                  <c:v>14.777370532816247</c:v>
                </c:pt>
                <c:pt idx="11">
                  <c:v>20.726816851499553</c:v>
                </c:pt>
                <c:pt idx="12">
                  <c:v>20.223333142909738</c:v>
                </c:pt>
                <c:pt idx="13">
                  <c:v>15.89656534378463</c:v>
                </c:pt>
                <c:pt idx="14">
                  <c:v>11.265963859981177</c:v>
                </c:pt>
                <c:pt idx="15">
                  <c:v>9.6294658153327273</c:v>
                </c:pt>
                <c:pt idx="16">
                  <c:v>13.998609168924522</c:v>
                </c:pt>
                <c:pt idx="17">
                  <c:v>7.0539721522277388</c:v>
                </c:pt>
                <c:pt idx="18">
                  <c:v>14.28493935436479</c:v>
                </c:pt>
              </c:numCache>
            </c:numRef>
          </c:val>
          <c:smooth val="0"/>
        </c:ser>
        <c:dLbls>
          <c:showLegendKey val="0"/>
          <c:showVal val="0"/>
          <c:showCatName val="0"/>
          <c:showSerName val="0"/>
          <c:showPercent val="0"/>
          <c:showBubbleSize val="0"/>
        </c:dLbls>
        <c:marker val="1"/>
        <c:smooth val="0"/>
        <c:axId val="226148352"/>
        <c:axId val="226149888"/>
      </c:lineChart>
      <c:catAx>
        <c:axId val="226148352"/>
        <c:scaling>
          <c:orientation val="minMax"/>
        </c:scaling>
        <c:delete val="0"/>
        <c:axPos val="b"/>
        <c:majorTickMark val="out"/>
        <c:minorTickMark val="none"/>
        <c:tickLblPos val="low"/>
        <c:txPr>
          <a:bodyPr/>
          <a:lstStyle/>
          <a:p>
            <a:pPr>
              <a:defRPr sz="600"/>
            </a:pPr>
            <a:endParaRPr lang="en-US"/>
          </a:p>
        </c:txPr>
        <c:crossAx val="226149888"/>
        <c:crosses val="autoZero"/>
        <c:auto val="1"/>
        <c:lblAlgn val="ctr"/>
        <c:lblOffset val="100"/>
        <c:tickMarkSkip val="2"/>
        <c:noMultiLvlLbl val="0"/>
      </c:catAx>
      <c:valAx>
        <c:axId val="226149888"/>
        <c:scaling>
          <c:orientation val="minMax"/>
          <c:max val="25"/>
        </c:scaling>
        <c:delete val="0"/>
        <c:axPos val="l"/>
        <c:numFmt formatCode="General" sourceLinked="0"/>
        <c:majorTickMark val="out"/>
        <c:minorTickMark val="none"/>
        <c:tickLblPos val="nextTo"/>
        <c:crossAx val="226148352"/>
        <c:crosses val="autoZero"/>
        <c:crossBetween val="between"/>
      </c:valAx>
    </c:plotArea>
    <c:legend>
      <c:legendPos val="t"/>
      <c:layout>
        <c:manualLayout>
          <c:xMode val="edge"/>
          <c:yMode val="edge"/>
          <c:x val="0.1167084149830718"/>
          <c:y val="0"/>
          <c:w val="0.38904002979878066"/>
          <c:h val="0.35123191869386933"/>
        </c:manualLayout>
      </c:layout>
      <c:overlay val="0"/>
      <c:txPr>
        <a:bodyPr/>
        <a:lstStyle/>
        <a:p>
          <a:pPr>
            <a:defRPr sz="600"/>
          </a:pPr>
          <a:endParaRPr lang="en-US"/>
        </a:p>
      </c:txPr>
    </c:legend>
    <c:plotVisOnly val="1"/>
    <c:dispBlanksAs val="gap"/>
    <c:showDLblsOverMax val="0"/>
  </c:chart>
  <c:spPr>
    <a:ln>
      <a:noFill/>
    </a:ln>
  </c:spPr>
  <c:txPr>
    <a:bodyPr/>
    <a:lstStyle/>
    <a:p>
      <a:pPr>
        <a:defRPr sz="800"/>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4106162102871468E-2"/>
          <c:y val="2.5206605811441712E-2"/>
          <c:w val="0.8621127433697654"/>
          <c:h val="0.66080503971091231"/>
        </c:manualLayout>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'Qtr GDP at constant price'!$BN$9:$BU$9</c:f>
              <c:strCache>
                <c:ptCount val="8"/>
                <c:pt idx="0">
                  <c:v>Хөдөө аж ахуй</c:v>
                </c:pt>
                <c:pt idx="1">
                  <c:v>Уул уурхай</c:v>
                </c:pt>
                <c:pt idx="2">
                  <c:v>Аж үйлдвэрлэл</c:v>
                </c:pt>
                <c:pt idx="3">
                  <c:v>Эрчим хүч</c:v>
                </c:pt>
                <c:pt idx="4">
                  <c:v>Барилга</c:v>
                </c:pt>
                <c:pt idx="5">
                  <c:v>Бөө. болон жижиг.худалдаа</c:v>
                </c:pt>
                <c:pt idx="6">
                  <c:v>Тээвэр</c:v>
                </c:pt>
                <c:pt idx="7">
                  <c:v>Харилцаа холбоо</c:v>
                </c:pt>
              </c:strCache>
            </c:strRef>
          </c:cat>
          <c:val>
            <c:numRef>
              <c:f>'Qtr GDP at constant price'!$BN$61:$BU$61</c:f>
              <c:numCache>
                <c:formatCode>0.0_)</c:formatCode>
                <c:ptCount val="8"/>
                <c:pt idx="0">
                  <c:v>20.576930721423814</c:v>
                </c:pt>
                <c:pt idx="1">
                  <c:v>6.1362374420454557</c:v>
                </c:pt>
                <c:pt idx="2">
                  <c:v>6.5567085070932229</c:v>
                </c:pt>
                <c:pt idx="3">
                  <c:v>7.795356916417151</c:v>
                </c:pt>
                <c:pt idx="4">
                  <c:v>129.04805303454938</c:v>
                </c:pt>
                <c:pt idx="5">
                  <c:v>3.1035674670584878</c:v>
                </c:pt>
                <c:pt idx="6">
                  <c:v>5.6824488268508722</c:v>
                </c:pt>
                <c:pt idx="7">
                  <c:v>9.8559575932952725</c:v>
                </c:pt>
              </c:numCache>
            </c:numRef>
          </c:val>
        </c:ser>
        <c:dLbls>
          <c:showLegendKey val="0"/>
          <c:showVal val="0"/>
          <c:showCatName val="0"/>
          <c:showSerName val="0"/>
          <c:showPercent val="0"/>
          <c:showBubbleSize val="0"/>
        </c:dLbls>
        <c:gapWidth val="150"/>
        <c:axId val="227338112"/>
        <c:axId val="227339648"/>
      </c:barChart>
      <c:catAx>
        <c:axId val="227338112"/>
        <c:scaling>
          <c:orientation val="minMax"/>
        </c:scaling>
        <c:delete val="0"/>
        <c:axPos val="b"/>
        <c:numFmt formatCode="General" sourceLinked="0"/>
        <c:majorTickMark val="out"/>
        <c:minorTickMark val="none"/>
        <c:tickLblPos val="nextTo"/>
        <c:txPr>
          <a:bodyPr/>
          <a:lstStyle/>
          <a:p>
            <a:pPr>
              <a:defRPr sz="500"/>
            </a:pPr>
            <a:endParaRPr lang="en-US"/>
          </a:p>
        </c:txPr>
        <c:crossAx val="227339648"/>
        <c:crosses val="autoZero"/>
        <c:auto val="1"/>
        <c:lblAlgn val="ctr"/>
        <c:lblOffset val="100"/>
        <c:noMultiLvlLbl val="0"/>
      </c:catAx>
      <c:valAx>
        <c:axId val="227339648"/>
        <c:scaling>
          <c:orientation val="minMax"/>
        </c:scaling>
        <c:delete val="0"/>
        <c:axPos val="l"/>
        <c:majorGridlines>
          <c:spPr>
            <a:ln>
              <a:noFill/>
            </a:ln>
          </c:spPr>
        </c:majorGridlines>
        <c:numFmt formatCode="#,##0" sourceLinked="0"/>
        <c:majorTickMark val="out"/>
        <c:minorTickMark val="none"/>
        <c:tickLblPos val="nextTo"/>
        <c:crossAx val="227338112"/>
        <c:crosses val="autoZero"/>
        <c:crossBetween val="between"/>
      </c:valAx>
    </c:plotArea>
    <c:plotVisOnly val="1"/>
    <c:dispBlanksAs val="gap"/>
    <c:showDLblsOverMax val="0"/>
  </c:chart>
  <c:spPr>
    <a:ln>
      <a:noFill/>
    </a:ln>
  </c:spPr>
  <c:txPr>
    <a:bodyPr/>
    <a:lstStyle/>
    <a:p>
      <a:pPr>
        <a:defRPr sz="700"/>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0389472072432383E-2"/>
          <c:y val="3.2367573371510382E-2"/>
          <c:w val="0.91915976544329114"/>
          <c:h val="0.83749925548262594"/>
        </c:manualLayout>
      </c:layout>
      <c:barChart>
        <c:barDir val="col"/>
        <c:grouping val="clustered"/>
        <c:varyColors val="0"/>
        <c:ser>
          <c:idx val="0"/>
          <c:order val="0"/>
          <c:tx>
            <c:v>H1 2012</c:v>
          </c:tx>
          <c:spPr>
            <a:solidFill>
              <a:schemeClr val="accent6">
                <a:lumMod val="40000"/>
                <a:lumOff val="60000"/>
              </a:schemeClr>
            </a:solidFill>
          </c:spPr>
          <c:invertIfNegative val="0"/>
          <c:dLbls>
            <c:showLegendKey val="0"/>
            <c:showVal val="1"/>
            <c:showCatName val="0"/>
            <c:showSerName val="0"/>
            <c:showPercent val="0"/>
            <c:showBubbleSize val="0"/>
            <c:showLeaderLines val="0"/>
          </c:dLbls>
          <c:cat>
            <c:strRef>
              <c:f>'Construction Sector Analysis'!$AC$7:$AQ$7</c:f>
              <c:strCache>
                <c:ptCount val="6"/>
                <c:pt idx="0">
                  <c:v>Residential</c:v>
                </c:pt>
                <c:pt idx="1">
                  <c:v>Non-Residential</c:v>
                </c:pt>
                <c:pt idx="2">
                  <c:v>Road</c:v>
                </c:pt>
                <c:pt idx="3">
                  <c:v>Bridge</c:v>
                </c:pt>
                <c:pt idx="4">
                  <c:v>Ditch &amp; Cables</c:v>
                </c:pt>
                <c:pt idx="5">
                  <c:v>Capital Maintenance</c:v>
                </c:pt>
              </c:strCache>
            </c:strRef>
          </c:cat>
          <c:val>
            <c:numRef>
              <c:f>'Construction Sector Analysis'!$AC$70:$AP$70</c:f>
              <c:numCache>
                <c:formatCode>0.0_)</c:formatCode>
                <c:ptCount val="6"/>
                <c:pt idx="0">
                  <c:v>37682</c:v>
                </c:pt>
                <c:pt idx="1">
                  <c:v>29994</c:v>
                </c:pt>
                <c:pt idx="2">
                  <c:v>3512.7</c:v>
                </c:pt>
                <c:pt idx="3">
                  <c:v>3269.7</c:v>
                </c:pt>
                <c:pt idx="4">
                  <c:v>6003.7</c:v>
                </c:pt>
                <c:pt idx="5">
                  <c:v>14438.9</c:v>
                </c:pt>
              </c:numCache>
            </c:numRef>
          </c:val>
        </c:ser>
        <c:ser>
          <c:idx val="1"/>
          <c:order val="1"/>
          <c:tx>
            <c:v>H1 2013</c:v>
          </c:tx>
          <c:invertIfNegative val="0"/>
          <c:dLbls>
            <c:showLegendKey val="0"/>
            <c:showVal val="1"/>
            <c:showCatName val="0"/>
            <c:showSerName val="0"/>
            <c:showPercent val="0"/>
            <c:showBubbleSize val="0"/>
            <c:showLeaderLines val="0"/>
          </c:dLbls>
          <c:cat>
            <c:strRef>
              <c:f>'Construction Sector Analysis'!$AC$7:$AQ$7</c:f>
              <c:strCache>
                <c:ptCount val="6"/>
                <c:pt idx="0">
                  <c:v>Residential</c:v>
                </c:pt>
                <c:pt idx="1">
                  <c:v>Non-Residential</c:v>
                </c:pt>
                <c:pt idx="2">
                  <c:v>Road</c:v>
                </c:pt>
                <c:pt idx="3">
                  <c:v>Bridge</c:v>
                </c:pt>
                <c:pt idx="4">
                  <c:v>Ditch &amp; Cables</c:v>
                </c:pt>
                <c:pt idx="5">
                  <c:v>Capital Maintenance</c:v>
                </c:pt>
              </c:strCache>
            </c:strRef>
          </c:cat>
          <c:val>
            <c:numRef>
              <c:f>'Construction Sector Analysis'!$AC$71:$AP$71</c:f>
              <c:numCache>
                <c:formatCode>0.0_)</c:formatCode>
                <c:ptCount val="6"/>
                <c:pt idx="0">
                  <c:v>108281</c:v>
                </c:pt>
                <c:pt idx="1">
                  <c:v>108423</c:v>
                </c:pt>
                <c:pt idx="2">
                  <c:v>84223</c:v>
                </c:pt>
                <c:pt idx="3">
                  <c:v>3572</c:v>
                </c:pt>
                <c:pt idx="4">
                  <c:v>10203</c:v>
                </c:pt>
                <c:pt idx="5">
                  <c:v>15854</c:v>
                </c:pt>
              </c:numCache>
            </c:numRef>
          </c:val>
        </c:ser>
        <c:dLbls>
          <c:showLegendKey val="0"/>
          <c:showVal val="0"/>
          <c:showCatName val="0"/>
          <c:showSerName val="0"/>
          <c:showPercent val="0"/>
          <c:showBubbleSize val="0"/>
        </c:dLbls>
        <c:gapWidth val="150"/>
        <c:axId val="233943424"/>
        <c:axId val="233944960"/>
      </c:barChart>
      <c:catAx>
        <c:axId val="233943424"/>
        <c:scaling>
          <c:orientation val="minMax"/>
        </c:scaling>
        <c:delete val="0"/>
        <c:axPos val="b"/>
        <c:numFmt formatCode="General" sourceLinked="0"/>
        <c:majorTickMark val="out"/>
        <c:minorTickMark val="none"/>
        <c:tickLblPos val="nextTo"/>
        <c:txPr>
          <a:bodyPr/>
          <a:lstStyle/>
          <a:p>
            <a:pPr>
              <a:defRPr sz="500"/>
            </a:pPr>
            <a:endParaRPr lang="en-US"/>
          </a:p>
        </c:txPr>
        <c:crossAx val="233944960"/>
        <c:crosses val="autoZero"/>
        <c:auto val="1"/>
        <c:lblAlgn val="l"/>
        <c:lblOffset val="100"/>
        <c:noMultiLvlLbl val="0"/>
      </c:catAx>
      <c:valAx>
        <c:axId val="233944960"/>
        <c:scaling>
          <c:orientation val="minMax"/>
        </c:scaling>
        <c:delete val="0"/>
        <c:axPos val="l"/>
        <c:majorGridlines>
          <c:spPr>
            <a:ln>
              <a:noFill/>
            </a:ln>
          </c:spPr>
        </c:majorGridlines>
        <c:numFmt formatCode="#,##0" sourceLinked="0"/>
        <c:majorTickMark val="out"/>
        <c:minorTickMark val="none"/>
        <c:tickLblPos val="nextTo"/>
        <c:crossAx val="233943424"/>
        <c:crosses val="autoZero"/>
        <c:crossBetween val="between"/>
        <c:dispUnits>
          <c:builtInUnit val="thousands"/>
        </c:dispUnits>
      </c:valAx>
    </c:plotArea>
    <c:legend>
      <c:legendPos val="r"/>
      <c:layout>
        <c:manualLayout>
          <c:xMode val="edge"/>
          <c:yMode val="edge"/>
          <c:x val="0.61283694225721785"/>
          <c:y val="0.12461614173228347"/>
          <c:w val="0.3132785433070866"/>
          <c:h val="0.16743438320209975"/>
        </c:manualLayout>
      </c:layout>
      <c:overlay val="0"/>
    </c:legend>
    <c:plotVisOnly val="1"/>
    <c:dispBlanksAs val="gap"/>
    <c:showDLblsOverMax val="0"/>
  </c:chart>
  <c:spPr>
    <a:ln>
      <a:noFill/>
    </a:ln>
  </c:spPr>
  <c:txPr>
    <a:bodyPr/>
    <a:lstStyle/>
    <a:p>
      <a:pPr>
        <a:defRPr sz="700"/>
      </a:pPr>
      <a:endParaRPr lang="en-US"/>
    </a:p>
  </c:txPr>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3202601267198283E-2"/>
          <c:y val="2.9364396460751684E-2"/>
          <c:w val="0.92136750422120806"/>
          <c:h val="0.94278352102988427"/>
        </c:manualLayout>
      </c:layout>
      <c:lineChart>
        <c:grouping val="standard"/>
        <c:varyColors val="0"/>
        <c:ser>
          <c:idx val="0"/>
          <c:order val="0"/>
          <c:tx>
            <c:v>Non-mineral GDP Growth (%)</c:v>
          </c:tx>
          <c:spPr>
            <a:ln w="22225"/>
          </c:spPr>
          <c:marker>
            <c:symbol val="none"/>
          </c:marker>
          <c:cat>
            <c:multiLvlStrRef>
              <c:f>'Qtr GDP at constant price'!$A$48:$B$61</c:f>
              <c:multiLvlStrCache>
                <c:ptCount val="14"/>
                <c:lvl>
                  <c:pt idx="0">
                    <c:v>I</c:v>
                  </c:pt>
                  <c:pt idx="1">
                    <c:v>II</c:v>
                  </c:pt>
                  <c:pt idx="2">
                    <c:v>III</c:v>
                  </c:pt>
                  <c:pt idx="3">
                    <c:v>IV</c:v>
                  </c:pt>
                  <c:pt idx="4">
                    <c:v>I</c:v>
                  </c:pt>
                  <c:pt idx="5">
                    <c:v>II</c:v>
                  </c:pt>
                  <c:pt idx="6">
                    <c:v>III</c:v>
                  </c:pt>
                  <c:pt idx="7">
                    <c:v>IV</c:v>
                  </c:pt>
                  <c:pt idx="8">
                    <c:v>I </c:v>
                  </c:pt>
                  <c:pt idx="9">
                    <c:v>II </c:v>
                  </c:pt>
                  <c:pt idx="10">
                    <c:v>III</c:v>
                  </c:pt>
                  <c:pt idx="11">
                    <c:v>IV</c:v>
                  </c:pt>
                  <c:pt idx="12">
                    <c:v>I </c:v>
                  </c:pt>
                  <c:pt idx="13">
                    <c:v>II </c:v>
                  </c:pt>
                </c:lvl>
                <c:lvl>
                  <c:pt idx="0">
                    <c:v>2010</c:v>
                  </c:pt>
                  <c:pt idx="4">
                    <c:v>2011</c:v>
                  </c:pt>
                  <c:pt idx="8">
                    <c:v>2012</c:v>
                  </c:pt>
                  <c:pt idx="12">
                    <c:v>2013</c:v>
                  </c:pt>
                </c:lvl>
              </c:multiLvlStrCache>
            </c:multiLvlStrRef>
          </c:cat>
          <c:val>
            <c:numRef>
              <c:f>'Qtr GDP at constant price'!$P$48:$P$61</c:f>
              <c:numCache>
                <c:formatCode>_(* #,##0.0_);_(* \(#,##0.0\);_(* "-"??_);_(@_)</c:formatCode>
                <c:ptCount val="14"/>
                <c:pt idx="0">
                  <c:v>7.0311122592402908</c:v>
                </c:pt>
                <c:pt idx="1">
                  <c:v>7.6201693609920351</c:v>
                </c:pt>
                <c:pt idx="2">
                  <c:v>12.265684338292203</c:v>
                </c:pt>
                <c:pt idx="3">
                  <c:v>1.7489617962357151</c:v>
                </c:pt>
                <c:pt idx="4">
                  <c:v>14.416428382076907</c:v>
                </c:pt>
                <c:pt idx="5">
                  <c:v>15.632523063512703</c:v>
                </c:pt>
                <c:pt idx="6">
                  <c:v>24.615542037616489</c:v>
                </c:pt>
                <c:pt idx="7">
                  <c:v>22.343686145227835</c:v>
                </c:pt>
                <c:pt idx="8">
                  <c:v>17.284141893538685</c:v>
                </c:pt>
                <c:pt idx="9">
                  <c:v>10.730947541697544</c:v>
                </c:pt>
                <c:pt idx="10">
                  <c:v>11.634910694452682</c:v>
                </c:pt>
                <c:pt idx="11">
                  <c:v>14.77042706291256</c:v>
                </c:pt>
                <c:pt idx="12">
                  <c:v>7.6039472273904396</c:v>
                </c:pt>
                <c:pt idx="13">
                  <c:v>15.546901969592675</c:v>
                </c:pt>
              </c:numCache>
            </c:numRef>
          </c:val>
          <c:smooth val="0"/>
        </c:ser>
        <c:ser>
          <c:idx val="1"/>
          <c:order val="1"/>
          <c:tx>
            <c:v>Mineral Growth GDP (%)</c:v>
          </c:tx>
          <c:spPr>
            <a:ln w="19050">
              <a:prstDash val="dash"/>
            </a:ln>
          </c:spPr>
          <c:marker>
            <c:symbol val="none"/>
          </c:marker>
          <c:cat>
            <c:multiLvlStrRef>
              <c:f>'Qtr GDP at constant price'!$A$48:$B$61</c:f>
              <c:multiLvlStrCache>
                <c:ptCount val="14"/>
                <c:lvl>
                  <c:pt idx="0">
                    <c:v>I</c:v>
                  </c:pt>
                  <c:pt idx="1">
                    <c:v>II</c:v>
                  </c:pt>
                  <c:pt idx="2">
                    <c:v>III</c:v>
                  </c:pt>
                  <c:pt idx="3">
                    <c:v>IV</c:v>
                  </c:pt>
                  <c:pt idx="4">
                    <c:v>I</c:v>
                  </c:pt>
                  <c:pt idx="5">
                    <c:v>II</c:v>
                  </c:pt>
                  <c:pt idx="6">
                    <c:v>III</c:v>
                  </c:pt>
                  <c:pt idx="7">
                    <c:v>IV</c:v>
                  </c:pt>
                  <c:pt idx="8">
                    <c:v>I </c:v>
                  </c:pt>
                  <c:pt idx="9">
                    <c:v>II </c:v>
                  </c:pt>
                  <c:pt idx="10">
                    <c:v>III</c:v>
                  </c:pt>
                  <c:pt idx="11">
                    <c:v>IV</c:v>
                  </c:pt>
                  <c:pt idx="12">
                    <c:v>I </c:v>
                  </c:pt>
                  <c:pt idx="13">
                    <c:v>II </c:v>
                  </c:pt>
                </c:lvl>
                <c:lvl>
                  <c:pt idx="0">
                    <c:v>2010</c:v>
                  </c:pt>
                  <c:pt idx="4">
                    <c:v>2011</c:v>
                  </c:pt>
                  <c:pt idx="8">
                    <c:v>2012</c:v>
                  </c:pt>
                  <c:pt idx="12">
                    <c:v>2013</c:v>
                  </c:pt>
                </c:lvl>
              </c:multiLvlStrCache>
            </c:multiLvlStrRef>
          </c:cat>
          <c:val>
            <c:numRef>
              <c:f>'Qtr GDP at constant price'!$AC$48:$AC$61</c:f>
              <c:numCache>
                <c:formatCode>#\ ###\ ##0.0</c:formatCode>
                <c:ptCount val="14"/>
                <c:pt idx="0">
                  <c:v>13.004861204313229</c:v>
                </c:pt>
                <c:pt idx="1">
                  <c:v>-0.45010554415858905</c:v>
                </c:pt>
                <c:pt idx="2">
                  <c:v>10.736894810691382</c:v>
                </c:pt>
                <c:pt idx="3">
                  <c:v>-5.6423565229467556</c:v>
                </c:pt>
                <c:pt idx="4">
                  <c:v>6.091486575418898</c:v>
                </c:pt>
                <c:pt idx="5">
                  <c:v>10.185786340372132</c:v>
                </c:pt>
                <c:pt idx="6">
                  <c:v>3.3092997689171852</c:v>
                </c:pt>
                <c:pt idx="7">
                  <c:v>9.9874977800038494</c:v>
                </c:pt>
                <c:pt idx="8">
                  <c:v>10.144774404935688</c:v>
                </c:pt>
                <c:pt idx="9">
                  <c:v>14.280638320670562</c:v>
                </c:pt>
                <c:pt idx="10">
                  <c:v>-1.2053744950668914</c:v>
                </c:pt>
                <c:pt idx="11">
                  <c:v>9.85414675873524</c:v>
                </c:pt>
                <c:pt idx="12">
                  <c:v>4.6264424895300635</c:v>
                </c:pt>
                <c:pt idx="13">
                  <c:v>7.3949866375948403</c:v>
                </c:pt>
              </c:numCache>
            </c:numRef>
          </c:val>
          <c:smooth val="0"/>
        </c:ser>
        <c:dLbls>
          <c:showLegendKey val="0"/>
          <c:showVal val="0"/>
          <c:showCatName val="0"/>
          <c:showSerName val="0"/>
          <c:showPercent val="0"/>
          <c:showBubbleSize val="0"/>
        </c:dLbls>
        <c:marker val="1"/>
        <c:smooth val="0"/>
        <c:axId val="237300352"/>
        <c:axId val="237302144"/>
      </c:lineChart>
      <c:catAx>
        <c:axId val="237300352"/>
        <c:scaling>
          <c:orientation val="minMax"/>
        </c:scaling>
        <c:delete val="0"/>
        <c:axPos val="b"/>
        <c:numFmt formatCode="General" sourceLinked="0"/>
        <c:majorTickMark val="out"/>
        <c:minorTickMark val="none"/>
        <c:tickLblPos val="nextTo"/>
        <c:crossAx val="237302144"/>
        <c:crosses val="autoZero"/>
        <c:auto val="1"/>
        <c:lblAlgn val="ctr"/>
        <c:lblOffset val="100"/>
        <c:noMultiLvlLbl val="0"/>
      </c:catAx>
      <c:valAx>
        <c:axId val="237302144"/>
        <c:scaling>
          <c:orientation val="minMax"/>
        </c:scaling>
        <c:delete val="0"/>
        <c:axPos val="l"/>
        <c:majorGridlines>
          <c:spPr>
            <a:ln>
              <a:noFill/>
            </a:ln>
          </c:spPr>
        </c:majorGridlines>
        <c:numFmt formatCode="#,##0" sourceLinked="0"/>
        <c:majorTickMark val="out"/>
        <c:minorTickMark val="none"/>
        <c:tickLblPos val="nextTo"/>
        <c:crossAx val="237300352"/>
        <c:crosses val="autoZero"/>
        <c:crossBetween val="between"/>
      </c:valAx>
    </c:plotArea>
    <c:legend>
      <c:legendPos val="r"/>
      <c:layout>
        <c:manualLayout>
          <c:xMode val="edge"/>
          <c:yMode val="edge"/>
          <c:x val="8.5074142802213412E-2"/>
          <c:y val="0.10130977530247744"/>
          <c:w val="0.35683760683760685"/>
          <c:h val="0.27931321084864391"/>
        </c:manualLayout>
      </c:layout>
      <c:overlay val="0"/>
    </c:legend>
    <c:plotVisOnly val="1"/>
    <c:dispBlanksAs val="gap"/>
    <c:showDLblsOverMax val="0"/>
  </c:chart>
  <c:spPr>
    <a:ln>
      <a:noFill/>
    </a:ln>
  </c:spPr>
  <c:txPr>
    <a:bodyPr/>
    <a:lstStyle/>
    <a:p>
      <a:pPr>
        <a:defRPr sz="700"/>
      </a:pPr>
      <a:endParaRPr lang="en-US"/>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0.71125</cdr:x>
      <cdr:y>0.04277</cdr:y>
    </cdr:from>
    <cdr:to>
      <cdr:x>0.97193</cdr:x>
      <cdr:y>0.26829</cdr:y>
    </cdr:to>
    <cdr:sp macro="" textlink="">
      <cdr:nvSpPr>
        <cdr:cNvPr id="4" name="Text Box 3"/>
        <cdr:cNvSpPr txBox="1"/>
      </cdr:nvSpPr>
      <cdr:spPr>
        <a:xfrm xmlns:a="http://schemas.openxmlformats.org/drawingml/2006/main">
          <a:off x="2012087" y="66810"/>
          <a:ext cx="737416" cy="35229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600">
              <a:solidFill>
                <a:sysClr val="windowText" lastClr="000000"/>
              </a:solidFill>
            </a:rPr>
            <a:t>Developing </a:t>
          </a:r>
        </a:p>
        <a:p xmlns:a="http://schemas.openxmlformats.org/drawingml/2006/main">
          <a:r>
            <a:rPr lang="en-US" sz="600">
              <a:solidFill>
                <a:sysClr val="windowText" lastClr="000000"/>
              </a:solidFill>
            </a:rPr>
            <a:t>East Asia</a:t>
          </a:r>
        </a:p>
      </cdr:txBody>
    </cdr:sp>
  </cdr:relSizeAnchor>
  <cdr:relSizeAnchor xmlns:cdr="http://schemas.openxmlformats.org/drawingml/2006/chartDrawing">
    <cdr:from>
      <cdr:x>0.6835</cdr:x>
      <cdr:y>0.70732</cdr:y>
    </cdr:from>
    <cdr:to>
      <cdr:x>0.97643</cdr:x>
      <cdr:y>0.90206</cdr:y>
    </cdr:to>
    <cdr:sp macro="" textlink="">
      <cdr:nvSpPr>
        <cdr:cNvPr id="7" name="Text Box 6"/>
        <cdr:cNvSpPr txBox="1"/>
      </cdr:nvSpPr>
      <cdr:spPr>
        <a:xfrm xmlns:a="http://schemas.openxmlformats.org/drawingml/2006/main">
          <a:off x="1933576" y="1104901"/>
          <a:ext cx="828674" cy="3042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600">
              <a:solidFill>
                <a:sysClr val="windowText" lastClr="000000"/>
              </a:solidFill>
            </a:rPr>
            <a:t>Developing</a:t>
          </a:r>
        </a:p>
        <a:p xmlns:a="http://schemas.openxmlformats.org/drawingml/2006/main">
          <a:r>
            <a:rPr lang="en-US" sz="600">
              <a:solidFill>
                <a:sysClr val="windowText" lastClr="000000"/>
              </a:solidFill>
            </a:rPr>
            <a:t>Countries (All)</a:t>
          </a:r>
        </a:p>
      </cdr:txBody>
    </cdr:sp>
  </cdr:relSizeAnchor>
</c:userShapes>
</file>

<file path=word/drawings/drawing10.xml><?xml version="1.0" encoding="utf-8"?>
<c:userShapes xmlns:c="http://schemas.openxmlformats.org/drawingml/2006/chart">
  <cdr:relSizeAnchor xmlns:cdr="http://schemas.openxmlformats.org/drawingml/2006/chartDrawing">
    <cdr:from>
      <cdr:x>0.57556</cdr:x>
      <cdr:y>0</cdr:y>
    </cdr:from>
    <cdr:to>
      <cdr:x>0.87824</cdr:x>
      <cdr:y>0.07767</cdr:y>
    </cdr:to>
    <cdr:sp macro="" textlink="">
      <cdr:nvSpPr>
        <cdr:cNvPr id="2" name="Text Box 1"/>
        <cdr:cNvSpPr txBox="1"/>
      </cdr:nvSpPr>
      <cdr:spPr>
        <a:xfrm xmlns:a="http://schemas.openxmlformats.org/drawingml/2006/main">
          <a:off x="1593850" y="0"/>
          <a:ext cx="838200" cy="1270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0.56638</cdr:x>
      <cdr:y>0</cdr:y>
    </cdr:from>
    <cdr:to>
      <cdr:x>0.892</cdr:x>
      <cdr:y>0.06602</cdr:y>
    </cdr:to>
    <cdr:sp macro="" textlink="">
      <cdr:nvSpPr>
        <cdr:cNvPr id="3" name="Text Box 2"/>
        <cdr:cNvSpPr txBox="1"/>
      </cdr:nvSpPr>
      <cdr:spPr>
        <a:xfrm xmlns:a="http://schemas.openxmlformats.org/drawingml/2006/main">
          <a:off x="1568450" y="0"/>
          <a:ext cx="901700" cy="10795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хувцас, гутал</a:t>
          </a:r>
          <a:endParaRPr lang="en-US" sz="500"/>
        </a:p>
      </cdr:txBody>
    </cdr:sp>
  </cdr:relSizeAnchor>
  <cdr:relSizeAnchor xmlns:cdr="http://schemas.openxmlformats.org/drawingml/2006/chartDrawing">
    <cdr:from>
      <cdr:x>0.56868</cdr:x>
      <cdr:y>0.06602</cdr:y>
    </cdr:from>
    <cdr:to>
      <cdr:x>0.89658</cdr:x>
      <cdr:y>0.14369</cdr:y>
    </cdr:to>
    <cdr:sp macro="" textlink="">
      <cdr:nvSpPr>
        <cdr:cNvPr id="4" name="Text Box 3"/>
        <cdr:cNvSpPr txBox="1"/>
      </cdr:nvSpPr>
      <cdr:spPr>
        <a:xfrm xmlns:a="http://schemas.openxmlformats.org/drawingml/2006/main">
          <a:off x="1574800" y="107950"/>
          <a:ext cx="908050" cy="1270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өрхийн хэрэглээний бараа</a:t>
          </a:r>
          <a:endParaRPr lang="en-US" sz="500"/>
        </a:p>
      </cdr:txBody>
    </cdr:sp>
  </cdr:relSizeAnchor>
  <cdr:relSizeAnchor xmlns:cdr="http://schemas.openxmlformats.org/drawingml/2006/chartDrawing">
    <cdr:from>
      <cdr:x>0.57326</cdr:x>
      <cdr:y>0.13592</cdr:y>
    </cdr:from>
    <cdr:to>
      <cdr:x>0.759</cdr:x>
      <cdr:y>0.21359</cdr:y>
    </cdr:to>
    <cdr:sp macro="" textlink="">
      <cdr:nvSpPr>
        <cdr:cNvPr id="5" name="Text Box 4"/>
        <cdr:cNvSpPr txBox="1"/>
      </cdr:nvSpPr>
      <cdr:spPr>
        <a:xfrm xmlns:a="http://schemas.openxmlformats.org/drawingml/2006/main">
          <a:off x="1587500" y="222250"/>
          <a:ext cx="514350" cy="1270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тээвэр</a:t>
          </a:r>
          <a:endParaRPr lang="en-US" sz="500"/>
        </a:p>
      </cdr:txBody>
    </cdr:sp>
  </cdr:relSizeAnchor>
  <cdr:relSizeAnchor xmlns:cdr="http://schemas.openxmlformats.org/drawingml/2006/chartDrawing">
    <cdr:from>
      <cdr:x>0.56638</cdr:x>
      <cdr:y>0.21359</cdr:y>
    </cdr:from>
    <cdr:to>
      <cdr:x>0.78422</cdr:x>
      <cdr:y>0.28738</cdr:y>
    </cdr:to>
    <cdr:sp macro="" textlink="">
      <cdr:nvSpPr>
        <cdr:cNvPr id="6" name="Text Box 5"/>
        <cdr:cNvSpPr txBox="1"/>
      </cdr:nvSpPr>
      <cdr:spPr>
        <a:xfrm xmlns:a="http://schemas.openxmlformats.org/drawingml/2006/main">
          <a:off x="1568450" y="349250"/>
          <a:ext cx="603250" cy="12065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эрчим</a:t>
          </a:r>
          <a:r>
            <a:rPr lang="mn-MN" sz="500" baseline="0"/>
            <a:t> хүч</a:t>
          </a:r>
          <a:endParaRPr lang="en-US" sz="500"/>
        </a:p>
      </cdr:txBody>
    </cdr:sp>
  </cdr:relSizeAnchor>
  <cdr:relSizeAnchor xmlns:cdr="http://schemas.openxmlformats.org/drawingml/2006/chartDrawing">
    <cdr:from>
      <cdr:x>0.57326</cdr:x>
      <cdr:y>0.27961</cdr:y>
    </cdr:from>
    <cdr:to>
      <cdr:x>0.80257</cdr:x>
      <cdr:y>0.35728</cdr:y>
    </cdr:to>
    <cdr:sp macro="" textlink="">
      <cdr:nvSpPr>
        <cdr:cNvPr id="7" name="Text Box 6"/>
        <cdr:cNvSpPr txBox="1"/>
      </cdr:nvSpPr>
      <cdr:spPr>
        <a:xfrm xmlns:a="http://schemas.openxmlformats.org/drawingml/2006/main">
          <a:off x="1587500" y="457200"/>
          <a:ext cx="635000" cy="1270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боловсрол</a:t>
          </a:r>
          <a:endParaRPr lang="en-US" sz="500"/>
        </a:p>
      </cdr:txBody>
    </cdr:sp>
  </cdr:relSizeAnchor>
</c:userShapes>
</file>

<file path=word/drawings/drawing11.xml><?xml version="1.0" encoding="utf-8"?>
<c:userShapes xmlns:c="http://schemas.openxmlformats.org/drawingml/2006/chart">
  <cdr:relSizeAnchor xmlns:cdr="http://schemas.openxmlformats.org/drawingml/2006/chartDrawing">
    <cdr:from>
      <cdr:x>0.46911</cdr:x>
      <cdr:y>0.16699</cdr:y>
    </cdr:from>
    <cdr:to>
      <cdr:x>0.89642</cdr:x>
      <cdr:y>0.31456</cdr:y>
    </cdr:to>
    <cdr:sp macro="" textlink="">
      <cdr:nvSpPr>
        <cdr:cNvPr id="2" name="Text Box 1"/>
        <cdr:cNvSpPr txBox="1"/>
      </cdr:nvSpPr>
      <cdr:spPr>
        <a:xfrm xmlns:a="http://schemas.openxmlformats.org/drawingml/2006/main">
          <a:off x="1282700" y="273050"/>
          <a:ext cx="1168400" cy="2413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орон</a:t>
          </a:r>
          <a:r>
            <a:rPr lang="mn-MN" sz="500" baseline="0"/>
            <a:t> сууцны түрээсийн үнийн инфляци</a:t>
          </a:r>
          <a:r>
            <a:rPr lang="en-US" sz="500" baseline="0"/>
            <a:t>(</a:t>
          </a:r>
          <a:r>
            <a:rPr lang="mn-MN" sz="500" baseline="0"/>
            <a:t>өомү, хувиар</a:t>
          </a:r>
          <a:r>
            <a:rPr lang="en-US" sz="500" baseline="0"/>
            <a:t>)</a:t>
          </a:r>
          <a:endParaRPr lang="en-US" sz="500"/>
        </a:p>
      </cdr:txBody>
    </cdr:sp>
  </cdr:relSizeAnchor>
</c:userShapes>
</file>

<file path=word/drawings/drawing12.xml><?xml version="1.0" encoding="utf-8"?>
<c:userShapes xmlns:c="http://schemas.openxmlformats.org/drawingml/2006/chart">
  <cdr:relSizeAnchor xmlns:cdr="http://schemas.openxmlformats.org/drawingml/2006/chartDrawing">
    <cdr:from>
      <cdr:x>0.24884</cdr:x>
      <cdr:y>0</cdr:y>
    </cdr:from>
    <cdr:to>
      <cdr:x>0.81039</cdr:x>
      <cdr:y>0.09168</cdr:y>
    </cdr:to>
    <cdr:sp macro="" textlink="">
      <cdr:nvSpPr>
        <cdr:cNvPr id="2" name="Text Box 1"/>
        <cdr:cNvSpPr txBox="1"/>
      </cdr:nvSpPr>
      <cdr:spPr>
        <a:xfrm xmlns:a="http://schemas.openxmlformats.org/drawingml/2006/main">
          <a:off x="717550" y="0"/>
          <a:ext cx="1619250" cy="1587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0.24884</cdr:x>
      <cdr:y>0</cdr:y>
    </cdr:from>
    <cdr:to>
      <cdr:x>0.79278</cdr:x>
      <cdr:y>0.08434</cdr:y>
    </cdr:to>
    <cdr:sp macro="" textlink="">
      <cdr:nvSpPr>
        <cdr:cNvPr id="3" name="Text Box 2"/>
        <cdr:cNvSpPr txBox="1"/>
      </cdr:nvSpPr>
      <cdr:spPr>
        <a:xfrm xmlns:a="http://schemas.openxmlformats.org/drawingml/2006/main">
          <a:off x="717550" y="0"/>
          <a:ext cx="1568450" cy="14605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ажилгүйдлийн</a:t>
          </a:r>
          <a:r>
            <a:rPr lang="mn-MN" sz="500" baseline="0"/>
            <a:t> түвшин, хувиар, зүүн гар тал</a:t>
          </a:r>
          <a:endParaRPr lang="en-US" sz="500"/>
        </a:p>
      </cdr:txBody>
    </cdr:sp>
  </cdr:relSizeAnchor>
  <cdr:relSizeAnchor xmlns:cdr="http://schemas.openxmlformats.org/drawingml/2006/chartDrawing">
    <cdr:from>
      <cdr:x>0.24664</cdr:x>
      <cdr:y>0.09168</cdr:y>
    </cdr:from>
    <cdr:to>
      <cdr:x>0.88527</cdr:x>
      <cdr:y>0.20169</cdr:y>
    </cdr:to>
    <cdr:sp macro="" textlink="">
      <cdr:nvSpPr>
        <cdr:cNvPr id="4" name="Text Box 3"/>
        <cdr:cNvSpPr txBox="1"/>
      </cdr:nvSpPr>
      <cdr:spPr>
        <a:xfrm xmlns:a="http://schemas.openxmlformats.org/drawingml/2006/main">
          <a:off x="711200" y="158750"/>
          <a:ext cx="1841500" cy="1905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нийт ажилгүй хүмүүсийн тоо,</a:t>
          </a:r>
          <a:r>
            <a:rPr lang="mn-MN" sz="500" baseline="0"/>
            <a:t> мянгаар, баруун гар тал</a:t>
          </a:r>
          <a:endParaRPr lang="en-US" sz="500"/>
        </a:p>
      </cdr:txBody>
    </cdr:sp>
  </cdr:relSizeAnchor>
</c:userShapes>
</file>

<file path=word/drawings/drawing13.xml><?xml version="1.0" encoding="utf-8"?>
<c:userShapes xmlns:c="http://schemas.openxmlformats.org/drawingml/2006/chart">
  <cdr:relSizeAnchor xmlns:cdr="http://schemas.openxmlformats.org/drawingml/2006/chartDrawing">
    <cdr:from>
      <cdr:x>0.39817</cdr:x>
      <cdr:y>0.06281</cdr:y>
    </cdr:from>
    <cdr:to>
      <cdr:x>0.58529</cdr:x>
      <cdr:y>0.14655</cdr:y>
    </cdr:to>
    <cdr:sp macro="" textlink="">
      <cdr:nvSpPr>
        <cdr:cNvPr id="2" name="Text Box 1"/>
        <cdr:cNvSpPr txBox="1"/>
      </cdr:nvSpPr>
      <cdr:spPr>
        <a:xfrm xmlns:a="http://schemas.openxmlformats.org/drawingml/2006/main">
          <a:off x="1162050" y="114300"/>
          <a:ext cx="546100" cy="1524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600"/>
            <a:t>эрэгтэй</a:t>
          </a:r>
          <a:r>
            <a:rPr lang="en-US" sz="600" baseline="0"/>
            <a:t> (%)</a:t>
          </a:r>
          <a:endParaRPr lang="en-US" sz="600"/>
        </a:p>
      </cdr:txBody>
    </cdr:sp>
  </cdr:relSizeAnchor>
  <cdr:relSizeAnchor xmlns:cdr="http://schemas.openxmlformats.org/drawingml/2006/chartDrawing">
    <cdr:from>
      <cdr:x>0.40905</cdr:x>
      <cdr:y>0.16399</cdr:y>
    </cdr:from>
    <cdr:to>
      <cdr:x>0.58747</cdr:x>
      <cdr:y>0.26518</cdr:y>
    </cdr:to>
    <cdr:sp macro="" textlink="">
      <cdr:nvSpPr>
        <cdr:cNvPr id="3" name="Text Box 2"/>
        <cdr:cNvSpPr txBox="1"/>
      </cdr:nvSpPr>
      <cdr:spPr>
        <a:xfrm xmlns:a="http://schemas.openxmlformats.org/drawingml/2006/main">
          <a:off x="1193800" y="298450"/>
          <a:ext cx="520700" cy="18415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эмэгтэй</a:t>
          </a:r>
          <a:r>
            <a:rPr lang="mn-MN" sz="500" baseline="0"/>
            <a:t> </a:t>
          </a:r>
          <a:r>
            <a:rPr lang="en-US" sz="500" baseline="0"/>
            <a:t>(%)</a:t>
          </a:r>
          <a:endParaRPr lang="en-US" sz="500"/>
        </a:p>
      </cdr:txBody>
    </cdr:sp>
  </cdr:relSizeAnchor>
</c:userShapes>
</file>

<file path=word/drawings/drawing14.xml><?xml version="1.0" encoding="utf-8"?>
<c:userShapes xmlns:c="http://schemas.openxmlformats.org/drawingml/2006/chart">
  <cdr:relSizeAnchor xmlns:cdr="http://schemas.openxmlformats.org/drawingml/2006/chartDrawing">
    <cdr:from>
      <cdr:x>0.67669</cdr:x>
      <cdr:y>0</cdr:y>
    </cdr:from>
    <cdr:to>
      <cdr:x>0.9296</cdr:x>
      <cdr:y>0.07679</cdr:y>
    </cdr:to>
    <cdr:sp macro="" textlink="">
      <cdr:nvSpPr>
        <cdr:cNvPr id="2" name="Text Box 1"/>
        <cdr:cNvSpPr txBox="1"/>
      </cdr:nvSpPr>
      <cdr:spPr>
        <a:xfrm xmlns:a="http://schemas.openxmlformats.org/drawingml/2006/main">
          <a:off x="1885950" y="0"/>
          <a:ext cx="704850" cy="17145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600"/>
            <a:t>ХАА</a:t>
          </a:r>
          <a:endParaRPr lang="en-US" sz="600"/>
        </a:p>
      </cdr:txBody>
    </cdr:sp>
  </cdr:relSizeAnchor>
  <cdr:relSizeAnchor xmlns:cdr="http://schemas.openxmlformats.org/drawingml/2006/chartDrawing">
    <cdr:from>
      <cdr:x>0.67669</cdr:x>
      <cdr:y>0.10808</cdr:y>
    </cdr:from>
    <cdr:to>
      <cdr:x>0.94099</cdr:x>
      <cdr:y>0.22469</cdr:y>
    </cdr:to>
    <cdr:sp macro="" textlink="">
      <cdr:nvSpPr>
        <cdr:cNvPr id="3" name="Text Box 2"/>
        <cdr:cNvSpPr txBox="1"/>
      </cdr:nvSpPr>
      <cdr:spPr>
        <a:xfrm xmlns:a="http://schemas.openxmlformats.org/drawingml/2006/main">
          <a:off x="1885950" y="241300"/>
          <a:ext cx="736600" cy="26035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уул уурхай</a:t>
          </a:r>
          <a:endParaRPr lang="en-US" sz="500"/>
        </a:p>
      </cdr:txBody>
    </cdr:sp>
  </cdr:relSizeAnchor>
  <cdr:relSizeAnchor xmlns:cdr="http://schemas.openxmlformats.org/drawingml/2006/chartDrawing">
    <cdr:from>
      <cdr:x>0.67669</cdr:x>
      <cdr:y>0.25028</cdr:y>
    </cdr:from>
    <cdr:to>
      <cdr:x>0.94782</cdr:x>
      <cdr:y>0.37827</cdr:y>
    </cdr:to>
    <cdr:sp macro="" textlink="">
      <cdr:nvSpPr>
        <cdr:cNvPr id="4" name="Text Box 3"/>
        <cdr:cNvSpPr txBox="1"/>
      </cdr:nvSpPr>
      <cdr:spPr>
        <a:xfrm xmlns:a="http://schemas.openxmlformats.org/drawingml/2006/main">
          <a:off x="1885950" y="558800"/>
          <a:ext cx="755650" cy="28575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аж үйлдвэрлэл, эрчим хүч</a:t>
          </a:r>
          <a:endParaRPr lang="en-US" sz="500"/>
        </a:p>
      </cdr:txBody>
    </cdr:sp>
  </cdr:relSizeAnchor>
  <cdr:relSizeAnchor xmlns:cdr="http://schemas.openxmlformats.org/drawingml/2006/chartDrawing">
    <cdr:from>
      <cdr:x>0.68353</cdr:x>
      <cdr:y>0.38965</cdr:y>
    </cdr:from>
    <cdr:to>
      <cdr:x>0.98884</cdr:x>
      <cdr:y>0.50057</cdr:y>
    </cdr:to>
    <cdr:sp macro="" textlink="">
      <cdr:nvSpPr>
        <cdr:cNvPr id="5" name="Text Box 4"/>
        <cdr:cNvSpPr txBox="1"/>
      </cdr:nvSpPr>
      <cdr:spPr>
        <a:xfrm xmlns:a="http://schemas.openxmlformats.org/drawingml/2006/main">
          <a:off x="1905000" y="869950"/>
          <a:ext cx="850900" cy="24765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бөөний/жижиглэн.худалдаа,</a:t>
          </a:r>
          <a:r>
            <a:rPr lang="mn-MN" sz="500" baseline="0"/>
            <a:t> байр</a:t>
          </a:r>
          <a:endParaRPr lang="en-US" sz="500"/>
        </a:p>
      </cdr:txBody>
    </cdr:sp>
  </cdr:relSizeAnchor>
  <cdr:relSizeAnchor xmlns:cdr="http://schemas.openxmlformats.org/drawingml/2006/chartDrawing">
    <cdr:from>
      <cdr:x>0.67897</cdr:x>
      <cdr:y>0.5091</cdr:y>
    </cdr:from>
    <cdr:to>
      <cdr:x>0.96605</cdr:x>
      <cdr:y>0.58305</cdr:y>
    </cdr:to>
    <cdr:sp macro="" textlink="">
      <cdr:nvSpPr>
        <cdr:cNvPr id="6" name="Text Box 5"/>
        <cdr:cNvSpPr txBox="1"/>
      </cdr:nvSpPr>
      <cdr:spPr>
        <a:xfrm xmlns:a="http://schemas.openxmlformats.org/drawingml/2006/main">
          <a:off x="1892300" y="1136650"/>
          <a:ext cx="800100" cy="1651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барилга</a:t>
          </a:r>
          <a:endParaRPr lang="en-US" sz="500"/>
        </a:p>
      </cdr:txBody>
    </cdr:sp>
  </cdr:relSizeAnchor>
  <cdr:relSizeAnchor xmlns:cdr="http://schemas.openxmlformats.org/drawingml/2006/chartDrawing">
    <cdr:from>
      <cdr:x>0.68125</cdr:x>
      <cdr:y>0.61149</cdr:y>
    </cdr:from>
    <cdr:to>
      <cdr:x>0.95694</cdr:x>
      <cdr:y>0.73663</cdr:y>
    </cdr:to>
    <cdr:sp macro="" textlink="">
      <cdr:nvSpPr>
        <cdr:cNvPr id="7" name="Text Box 6"/>
        <cdr:cNvSpPr txBox="1"/>
      </cdr:nvSpPr>
      <cdr:spPr>
        <a:xfrm xmlns:a="http://schemas.openxmlformats.org/drawingml/2006/main">
          <a:off x="1898650" y="1365250"/>
          <a:ext cx="768350" cy="2794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тээвэр холбоо</a:t>
          </a:r>
          <a:endParaRPr lang="en-US" sz="500"/>
        </a:p>
      </cdr:txBody>
    </cdr:sp>
  </cdr:relSizeAnchor>
  <cdr:relSizeAnchor xmlns:cdr="http://schemas.openxmlformats.org/drawingml/2006/chartDrawing">
    <cdr:from>
      <cdr:x>0.67669</cdr:x>
      <cdr:y>0.74516</cdr:y>
    </cdr:from>
    <cdr:to>
      <cdr:x>0.98656</cdr:x>
      <cdr:y>0.87315</cdr:y>
    </cdr:to>
    <cdr:sp macro="" textlink="">
      <cdr:nvSpPr>
        <cdr:cNvPr id="8" name="Text Box 7"/>
        <cdr:cNvSpPr txBox="1"/>
      </cdr:nvSpPr>
      <cdr:spPr>
        <a:xfrm xmlns:a="http://schemas.openxmlformats.org/drawingml/2006/main">
          <a:off x="1885950" y="1663700"/>
          <a:ext cx="863600" cy="28575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төрийн үйлчилгээ</a:t>
          </a:r>
          <a:endParaRPr lang="en-US" sz="500"/>
        </a:p>
      </cdr:txBody>
    </cdr:sp>
  </cdr:relSizeAnchor>
  <cdr:relSizeAnchor xmlns:cdr="http://schemas.openxmlformats.org/drawingml/2006/chartDrawing">
    <cdr:from>
      <cdr:x>0.67213</cdr:x>
      <cdr:y>0.86746</cdr:y>
    </cdr:from>
    <cdr:to>
      <cdr:x>0.90681</cdr:x>
      <cdr:y>0.97838</cdr:y>
    </cdr:to>
    <cdr:sp macro="" textlink="">
      <cdr:nvSpPr>
        <cdr:cNvPr id="9" name="Text Box 8"/>
        <cdr:cNvSpPr txBox="1"/>
      </cdr:nvSpPr>
      <cdr:spPr>
        <a:xfrm xmlns:a="http://schemas.openxmlformats.org/drawingml/2006/main">
          <a:off x="1873250" y="1936750"/>
          <a:ext cx="654050" cy="24765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бусад</a:t>
          </a:r>
          <a:endParaRPr lang="en-US" sz="500"/>
        </a:p>
      </cdr:txBody>
    </cdr:sp>
  </cdr:relSizeAnchor>
</c:userShapes>
</file>

<file path=word/drawings/drawing15.xml><?xml version="1.0" encoding="utf-8"?>
<c:userShapes xmlns:c="http://schemas.openxmlformats.org/drawingml/2006/chart">
  <cdr:relSizeAnchor xmlns:cdr="http://schemas.openxmlformats.org/drawingml/2006/chartDrawing">
    <cdr:from>
      <cdr:x>0.05493</cdr:x>
      <cdr:y>0.7628</cdr:y>
    </cdr:from>
    <cdr:to>
      <cdr:x>0.22177</cdr:x>
      <cdr:y>0.94879</cdr:y>
    </cdr:to>
    <cdr:sp macro="" textlink="">
      <cdr:nvSpPr>
        <cdr:cNvPr id="2" name="Text Box 1"/>
        <cdr:cNvSpPr txBox="1"/>
      </cdr:nvSpPr>
      <cdr:spPr>
        <a:xfrm xmlns:a="http://schemas.openxmlformats.org/drawingml/2006/main">
          <a:off x="171450" y="1797050"/>
          <a:ext cx="520700" cy="4381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userShapes>
</file>

<file path=word/drawings/drawing16.xml><?xml version="1.0" encoding="utf-8"?>
<c:userShapes xmlns:c="http://schemas.openxmlformats.org/drawingml/2006/chart">
  <cdr:relSizeAnchor xmlns:cdr="http://schemas.openxmlformats.org/drawingml/2006/chartDrawing">
    <cdr:from>
      <cdr:x>0.16277</cdr:x>
      <cdr:y>0.07824</cdr:y>
    </cdr:from>
    <cdr:to>
      <cdr:x>0.56155</cdr:x>
      <cdr:y>0.1625</cdr:y>
    </cdr:to>
    <cdr:sp macro="" textlink="">
      <cdr:nvSpPr>
        <cdr:cNvPr id="2" name="Text Box 1"/>
        <cdr:cNvSpPr txBox="1"/>
      </cdr:nvSpPr>
      <cdr:spPr>
        <a:xfrm xmlns:a="http://schemas.openxmlformats.org/drawingml/2006/main">
          <a:off x="508000" y="165100"/>
          <a:ext cx="1244600" cy="1778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2013 оны төсвийн жилийн төлөвлөгөө</a:t>
          </a:r>
          <a:endParaRPr lang="en-US" sz="500"/>
        </a:p>
      </cdr:txBody>
    </cdr:sp>
  </cdr:relSizeAnchor>
  <cdr:relSizeAnchor xmlns:cdr="http://schemas.openxmlformats.org/drawingml/2006/chartDrawing">
    <cdr:from>
      <cdr:x>0.16684</cdr:x>
      <cdr:y>0.15348</cdr:y>
    </cdr:from>
    <cdr:to>
      <cdr:x>0.58596</cdr:x>
      <cdr:y>0.22871</cdr:y>
    </cdr:to>
    <cdr:sp macro="" textlink="">
      <cdr:nvSpPr>
        <cdr:cNvPr id="3" name="Text Box 2"/>
        <cdr:cNvSpPr txBox="1"/>
      </cdr:nvSpPr>
      <cdr:spPr>
        <a:xfrm xmlns:a="http://schemas.openxmlformats.org/drawingml/2006/main">
          <a:off x="520700" y="323850"/>
          <a:ext cx="1308100" cy="15875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2013 оны төсвийн гүйцэтгэл</a:t>
          </a:r>
          <a:r>
            <a:rPr lang="mn-MN" sz="500" baseline="0"/>
            <a:t> </a:t>
          </a:r>
          <a:r>
            <a:rPr lang="en-US" sz="500" baseline="0"/>
            <a:t>(1-9 </a:t>
          </a:r>
          <a:r>
            <a:rPr lang="mn-MN" sz="500" baseline="0"/>
            <a:t>сар</a:t>
          </a:r>
          <a:r>
            <a:rPr lang="en-US" sz="500" baseline="0"/>
            <a:t>)</a:t>
          </a:r>
          <a:endParaRPr lang="en-US" sz="500"/>
        </a:p>
      </cdr:txBody>
    </cdr:sp>
  </cdr:relSizeAnchor>
</c:userShapes>
</file>

<file path=word/drawings/drawing17.xml><?xml version="1.0" encoding="utf-8"?>
<c:userShapes xmlns:c="http://schemas.openxmlformats.org/drawingml/2006/chart">
  <cdr:relSizeAnchor xmlns:cdr="http://schemas.openxmlformats.org/drawingml/2006/chartDrawing">
    <cdr:from>
      <cdr:x>0.26361</cdr:x>
      <cdr:y>0.04461</cdr:y>
    </cdr:from>
    <cdr:to>
      <cdr:x>0.64391</cdr:x>
      <cdr:y>0.12697</cdr:y>
    </cdr:to>
    <cdr:sp macro="" textlink="">
      <cdr:nvSpPr>
        <cdr:cNvPr id="2" name="Text Box 1"/>
        <cdr:cNvSpPr txBox="1"/>
      </cdr:nvSpPr>
      <cdr:spPr>
        <a:xfrm xmlns:a="http://schemas.openxmlformats.org/drawingml/2006/main">
          <a:off x="774700" y="82550"/>
          <a:ext cx="1117600" cy="1524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600"/>
            <a:t>хөрөнгийн зарлага </a:t>
          </a:r>
          <a:r>
            <a:rPr lang="en-US" sz="600"/>
            <a:t>(2013)</a:t>
          </a:r>
        </a:p>
      </cdr:txBody>
    </cdr:sp>
  </cdr:relSizeAnchor>
  <cdr:relSizeAnchor xmlns:cdr="http://schemas.openxmlformats.org/drawingml/2006/chartDrawing">
    <cdr:from>
      <cdr:x>0.26361</cdr:x>
      <cdr:y>0.1407</cdr:y>
    </cdr:from>
    <cdr:to>
      <cdr:x>0.6223</cdr:x>
      <cdr:y>0.23336</cdr:y>
    </cdr:to>
    <cdr:sp macro="" textlink="">
      <cdr:nvSpPr>
        <cdr:cNvPr id="3" name="Text Box 2"/>
        <cdr:cNvSpPr txBox="1"/>
      </cdr:nvSpPr>
      <cdr:spPr>
        <a:xfrm xmlns:a="http://schemas.openxmlformats.org/drawingml/2006/main">
          <a:off x="774700" y="260350"/>
          <a:ext cx="1054100" cy="17145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600"/>
            <a:t>урсгал</a:t>
          </a:r>
          <a:r>
            <a:rPr lang="mn-MN" sz="600" baseline="0"/>
            <a:t> зарлага</a:t>
          </a:r>
          <a:r>
            <a:rPr lang="en-US" sz="600" baseline="0"/>
            <a:t> (2013)</a:t>
          </a:r>
          <a:endParaRPr lang="en-US" sz="600"/>
        </a:p>
      </cdr:txBody>
    </cdr:sp>
  </cdr:relSizeAnchor>
  <cdr:relSizeAnchor xmlns:cdr="http://schemas.openxmlformats.org/drawingml/2006/chartDrawing">
    <cdr:from>
      <cdr:x>0.26793</cdr:x>
      <cdr:y>0.23336</cdr:y>
    </cdr:from>
    <cdr:to>
      <cdr:x>0.58773</cdr:x>
      <cdr:y>0.30885</cdr:y>
    </cdr:to>
    <cdr:sp macro="" textlink="">
      <cdr:nvSpPr>
        <cdr:cNvPr id="4" name="Text Box 3"/>
        <cdr:cNvSpPr txBox="1"/>
      </cdr:nvSpPr>
      <cdr:spPr>
        <a:xfrm xmlns:a="http://schemas.openxmlformats.org/drawingml/2006/main">
          <a:off x="787400" y="431800"/>
          <a:ext cx="939800" cy="1397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600"/>
            <a:t>урсгал</a:t>
          </a:r>
          <a:r>
            <a:rPr lang="mn-MN" sz="600" baseline="0"/>
            <a:t> зарлага </a:t>
          </a:r>
          <a:r>
            <a:rPr lang="en-US" sz="600" baseline="0"/>
            <a:t>(2012)</a:t>
          </a:r>
          <a:endParaRPr lang="en-US" sz="600"/>
        </a:p>
      </cdr:txBody>
    </cdr:sp>
  </cdr:relSizeAnchor>
  <cdr:relSizeAnchor xmlns:cdr="http://schemas.openxmlformats.org/drawingml/2006/chartDrawing">
    <cdr:from>
      <cdr:x>0.26577</cdr:x>
      <cdr:y>0.30542</cdr:y>
    </cdr:from>
    <cdr:to>
      <cdr:x>0.55964</cdr:x>
      <cdr:y>0.46328</cdr:y>
    </cdr:to>
    <cdr:sp macro="" textlink="">
      <cdr:nvSpPr>
        <cdr:cNvPr id="5" name="Text Box 4"/>
        <cdr:cNvSpPr txBox="1"/>
      </cdr:nvSpPr>
      <cdr:spPr>
        <a:xfrm xmlns:a="http://schemas.openxmlformats.org/drawingml/2006/main">
          <a:off x="781050" y="565150"/>
          <a:ext cx="863600" cy="2921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600"/>
            <a:t>хөрөнгийн</a:t>
          </a:r>
          <a:r>
            <a:rPr lang="mn-MN" sz="600" baseline="0"/>
            <a:t> зарлага</a:t>
          </a:r>
          <a:r>
            <a:rPr lang="en-US" sz="600" baseline="0"/>
            <a:t> (2012)</a:t>
          </a:r>
          <a:endParaRPr lang="en-US" sz="600"/>
        </a:p>
      </cdr:txBody>
    </cdr:sp>
  </cdr:relSizeAnchor>
</c:userShapes>
</file>

<file path=word/drawings/drawing18.xml><?xml version="1.0" encoding="utf-8"?>
<c:userShapes xmlns:c="http://schemas.openxmlformats.org/drawingml/2006/chart">
  <cdr:relSizeAnchor xmlns:cdr="http://schemas.openxmlformats.org/drawingml/2006/chartDrawing">
    <cdr:from>
      <cdr:x>0.18834</cdr:x>
      <cdr:y>0.04292</cdr:y>
    </cdr:from>
    <cdr:to>
      <cdr:x>0.78662</cdr:x>
      <cdr:y>0.15021</cdr:y>
    </cdr:to>
    <cdr:sp macro="" textlink="">
      <cdr:nvSpPr>
        <cdr:cNvPr id="2" name="Text Box 1"/>
        <cdr:cNvSpPr txBox="1"/>
      </cdr:nvSpPr>
      <cdr:spPr>
        <a:xfrm xmlns:a="http://schemas.openxmlformats.org/drawingml/2006/main">
          <a:off x="539750" y="76200"/>
          <a:ext cx="1714500" cy="1905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МУХБ</a:t>
          </a:r>
          <a:r>
            <a:rPr lang="mn-MN" sz="500" baseline="0"/>
            <a:t> зарлага</a:t>
          </a:r>
          <a:r>
            <a:rPr lang="en-US" sz="500" baseline="0"/>
            <a:t>(</a:t>
          </a:r>
          <a:r>
            <a:rPr lang="mn-MN" sz="500" baseline="0"/>
            <a:t>зүүн тал, тэрбум төгрөг</a:t>
          </a:r>
          <a:r>
            <a:rPr lang="en-US" sz="500" baseline="0"/>
            <a:t>)</a:t>
          </a:r>
          <a:endParaRPr lang="en-US" sz="500"/>
        </a:p>
      </cdr:txBody>
    </cdr:sp>
  </cdr:relSizeAnchor>
  <cdr:relSizeAnchor xmlns:cdr="http://schemas.openxmlformats.org/drawingml/2006/chartDrawing">
    <cdr:from>
      <cdr:x>0.18834</cdr:x>
      <cdr:y>0.17167</cdr:y>
    </cdr:from>
    <cdr:to>
      <cdr:x>0.69798</cdr:x>
      <cdr:y>0.30758</cdr:y>
    </cdr:to>
    <cdr:sp macro="" textlink="">
      <cdr:nvSpPr>
        <cdr:cNvPr id="3" name="Text Box 2"/>
        <cdr:cNvSpPr txBox="1"/>
      </cdr:nvSpPr>
      <cdr:spPr>
        <a:xfrm xmlns:a="http://schemas.openxmlformats.org/drawingml/2006/main">
          <a:off x="539750" y="304800"/>
          <a:ext cx="1460500" cy="2413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төсвийн</a:t>
          </a:r>
          <a:r>
            <a:rPr lang="mn-MN" sz="500" baseline="0"/>
            <a:t> зарлага</a:t>
          </a:r>
          <a:r>
            <a:rPr lang="en-US" sz="500" baseline="0"/>
            <a:t>(</a:t>
          </a:r>
          <a:r>
            <a:rPr lang="mn-MN" sz="500" baseline="0"/>
            <a:t>зүүн тал, тэрбум төгрөг</a:t>
          </a:r>
          <a:r>
            <a:rPr lang="en-US" sz="500" baseline="0"/>
            <a:t>)</a:t>
          </a:r>
          <a:endParaRPr lang="en-US" sz="500"/>
        </a:p>
      </cdr:txBody>
    </cdr:sp>
  </cdr:relSizeAnchor>
  <cdr:relSizeAnchor xmlns:cdr="http://schemas.openxmlformats.org/drawingml/2006/chartDrawing">
    <cdr:from>
      <cdr:x>0.18834</cdr:x>
      <cdr:y>0.31474</cdr:y>
    </cdr:from>
    <cdr:to>
      <cdr:x>0.71128</cdr:x>
      <cdr:y>0.44349</cdr:y>
    </cdr:to>
    <cdr:sp macro="" textlink="">
      <cdr:nvSpPr>
        <cdr:cNvPr id="4" name="Text Box 3"/>
        <cdr:cNvSpPr txBox="1"/>
      </cdr:nvSpPr>
      <cdr:spPr>
        <a:xfrm xmlns:a="http://schemas.openxmlformats.org/drawingml/2006/main">
          <a:off x="539750" y="558800"/>
          <a:ext cx="1498600" cy="2286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төсвийн орлого</a:t>
          </a:r>
          <a:r>
            <a:rPr lang="en-US" sz="500"/>
            <a:t>(</a:t>
          </a:r>
          <a:r>
            <a:rPr lang="mn-MN" sz="500"/>
            <a:t>зүүн тал, тэрбум төгрөг</a:t>
          </a:r>
          <a:r>
            <a:rPr lang="en-US" sz="500"/>
            <a:t>)</a:t>
          </a:r>
        </a:p>
      </cdr:txBody>
    </cdr:sp>
  </cdr:relSizeAnchor>
</c:userShapes>
</file>

<file path=word/drawings/drawing19.xml><?xml version="1.0" encoding="utf-8"?>
<c:userShapes xmlns:c="http://schemas.openxmlformats.org/drawingml/2006/chart">
  <cdr:relSizeAnchor xmlns:cdr="http://schemas.openxmlformats.org/drawingml/2006/chartDrawing">
    <cdr:from>
      <cdr:x>0.20452</cdr:x>
      <cdr:y>0.55208</cdr:y>
    </cdr:from>
    <cdr:to>
      <cdr:x>0.64977</cdr:x>
      <cdr:y>0.64409</cdr:y>
    </cdr:to>
    <cdr:sp macro="" textlink="">
      <cdr:nvSpPr>
        <cdr:cNvPr id="2" name="Text Box 1"/>
        <cdr:cNvSpPr txBox="1"/>
      </cdr:nvSpPr>
      <cdr:spPr>
        <a:xfrm xmlns:a="http://schemas.openxmlformats.org/drawingml/2006/main">
          <a:off x="609600" y="952500"/>
          <a:ext cx="1327150" cy="1587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0.20665</cdr:x>
      <cdr:y>0.5668</cdr:y>
    </cdr:from>
    <cdr:to>
      <cdr:x>0.62633</cdr:x>
      <cdr:y>0.64777</cdr:y>
    </cdr:to>
    <cdr:sp macro="" textlink="">
      <cdr:nvSpPr>
        <cdr:cNvPr id="3" name="Text Box 2"/>
        <cdr:cNvSpPr txBox="1"/>
      </cdr:nvSpPr>
      <cdr:spPr>
        <a:xfrm xmlns:a="http://schemas.openxmlformats.org/drawingml/2006/main">
          <a:off x="615950" y="977900"/>
          <a:ext cx="1250950" cy="1397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нэмэлт төсвийн алдагдал</a:t>
          </a:r>
          <a:r>
            <a:rPr lang="mn-MN" sz="500" baseline="0"/>
            <a:t> </a:t>
          </a:r>
          <a:r>
            <a:rPr lang="en-US" sz="500" baseline="0"/>
            <a:t>(</a:t>
          </a:r>
          <a:r>
            <a:rPr lang="mn-MN" sz="500" baseline="0"/>
            <a:t>МУХБ</a:t>
          </a:r>
          <a:r>
            <a:rPr lang="en-US" sz="500" baseline="0"/>
            <a:t>)</a:t>
          </a:r>
          <a:endParaRPr lang="en-US" sz="500"/>
        </a:p>
      </cdr:txBody>
    </cdr:sp>
  </cdr:relSizeAnchor>
  <cdr:relSizeAnchor xmlns:cdr="http://schemas.openxmlformats.org/drawingml/2006/chartDrawing">
    <cdr:from>
      <cdr:x>0.21091</cdr:x>
      <cdr:y>0.66618</cdr:y>
    </cdr:from>
    <cdr:to>
      <cdr:x>0.57307</cdr:x>
      <cdr:y>0.76555</cdr:y>
    </cdr:to>
    <cdr:sp macro="" textlink="">
      <cdr:nvSpPr>
        <cdr:cNvPr id="4" name="Text Box 3"/>
        <cdr:cNvSpPr txBox="1"/>
      </cdr:nvSpPr>
      <cdr:spPr>
        <a:xfrm xmlns:a="http://schemas.openxmlformats.org/drawingml/2006/main">
          <a:off x="628650" y="1149350"/>
          <a:ext cx="1079500" cy="17145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албан ёсны</a:t>
          </a:r>
          <a:r>
            <a:rPr lang="mn-MN" sz="500" baseline="0"/>
            <a:t> төсвийн тэнцэл</a:t>
          </a:r>
          <a:endParaRPr lang="en-US" sz="500"/>
        </a:p>
      </cdr:txBody>
    </cdr:sp>
  </cdr:relSizeAnchor>
</c:userShapes>
</file>

<file path=word/drawings/drawing2.xml><?xml version="1.0" encoding="utf-8"?>
<c:userShapes xmlns:c="http://schemas.openxmlformats.org/drawingml/2006/chart">
  <cdr:relSizeAnchor xmlns:cdr="http://schemas.openxmlformats.org/drawingml/2006/chartDrawing">
    <cdr:from>
      <cdr:x>0.0628</cdr:x>
      <cdr:y>0.05833</cdr:y>
    </cdr:from>
    <cdr:to>
      <cdr:x>0.20129</cdr:x>
      <cdr:y>0.17083</cdr:y>
    </cdr:to>
    <cdr:sp macro="" textlink="">
      <cdr:nvSpPr>
        <cdr:cNvPr id="2" name="TextBox 1"/>
        <cdr:cNvSpPr txBox="1"/>
      </cdr:nvSpPr>
      <cdr:spPr>
        <a:xfrm xmlns:a="http://schemas.openxmlformats.org/drawingml/2006/main">
          <a:off x="371476" y="133350"/>
          <a:ext cx="819150" cy="2571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US" sz="700"/>
            <a:t>China</a:t>
          </a:r>
        </a:p>
      </cdr:txBody>
    </cdr:sp>
  </cdr:relSizeAnchor>
  <cdr:relSizeAnchor xmlns:cdr="http://schemas.openxmlformats.org/drawingml/2006/chartDrawing">
    <cdr:from>
      <cdr:x>0.24155</cdr:x>
      <cdr:y>0.05417</cdr:y>
    </cdr:from>
    <cdr:to>
      <cdr:x>0.39452</cdr:x>
      <cdr:y>0.17917</cdr:y>
    </cdr:to>
    <cdr:sp macro="" textlink="">
      <cdr:nvSpPr>
        <cdr:cNvPr id="3" name="TextBox 2"/>
        <cdr:cNvSpPr txBox="1"/>
      </cdr:nvSpPr>
      <cdr:spPr>
        <a:xfrm xmlns:a="http://schemas.openxmlformats.org/drawingml/2006/main">
          <a:off x="1428750" y="123826"/>
          <a:ext cx="904875" cy="2857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US" sz="700"/>
            <a:t>Indonesia</a:t>
          </a:r>
        </a:p>
      </cdr:txBody>
    </cdr:sp>
  </cdr:relSizeAnchor>
  <cdr:relSizeAnchor xmlns:cdr="http://schemas.openxmlformats.org/drawingml/2006/chartDrawing">
    <cdr:from>
      <cdr:x>0.42834</cdr:x>
      <cdr:y>0.05833</cdr:y>
    </cdr:from>
    <cdr:to>
      <cdr:x>0.58937</cdr:x>
      <cdr:y>0.17083</cdr:y>
    </cdr:to>
    <cdr:sp macro="" textlink="">
      <cdr:nvSpPr>
        <cdr:cNvPr id="4" name="TextBox 3"/>
        <cdr:cNvSpPr txBox="1"/>
      </cdr:nvSpPr>
      <cdr:spPr>
        <a:xfrm xmlns:a="http://schemas.openxmlformats.org/drawingml/2006/main">
          <a:off x="2533651" y="133350"/>
          <a:ext cx="952500" cy="2571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US" sz="700"/>
            <a:t>Malaysia</a:t>
          </a:r>
        </a:p>
      </cdr:txBody>
    </cdr:sp>
  </cdr:relSizeAnchor>
  <cdr:relSizeAnchor xmlns:cdr="http://schemas.openxmlformats.org/drawingml/2006/chartDrawing">
    <cdr:from>
      <cdr:x>0.62319</cdr:x>
      <cdr:y>0.05833</cdr:y>
    </cdr:from>
    <cdr:to>
      <cdr:x>0.78583</cdr:x>
      <cdr:y>0.16667</cdr:y>
    </cdr:to>
    <cdr:sp macro="" textlink="">
      <cdr:nvSpPr>
        <cdr:cNvPr id="5" name="TextBox 4"/>
        <cdr:cNvSpPr txBox="1"/>
      </cdr:nvSpPr>
      <cdr:spPr>
        <a:xfrm xmlns:a="http://schemas.openxmlformats.org/drawingml/2006/main">
          <a:off x="3686176" y="133350"/>
          <a:ext cx="962025" cy="247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US" sz="700"/>
            <a:t>Philippines</a:t>
          </a:r>
        </a:p>
      </cdr:txBody>
    </cdr:sp>
  </cdr:relSizeAnchor>
  <cdr:relSizeAnchor xmlns:cdr="http://schemas.openxmlformats.org/drawingml/2006/chartDrawing">
    <cdr:from>
      <cdr:x>0.81643</cdr:x>
      <cdr:y>0.05833</cdr:y>
    </cdr:from>
    <cdr:to>
      <cdr:x>0.97424</cdr:x>
      <cdr:y>0.16667</cdr:y>
    </cdr:to>
    <cdr:sp macro="" textlink="">
      <cdr:nvSpPr>
        <cdr:cNvPr id="6" name="TextBox 5"/>
        <cdr:cNvSpPr txBox="1"/>
      </cdr:nvSpPr>
      <cdr:spPr>
        <a:xfrm xmlns:a="http://schemas.openxmlformats.org/drawingml/2006/main">
          <a:off x="4829176" y="133350"/>
          <a:ext cx="933450" cy="247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US" sz="700"/>
            <a:t>Thailand</a:t>
          </a:r>
        </a:p>
      </cdr:txBody>
    </cdr:sp>
  </cdr:relSizeAnchor>
  <cdr:relSizeAnchor xmlns:cdr="http://schemas.openxmlformats.org/drawingml/2006/chartDrawing">
    <cdr:from>
      <cdr:x>0.10937</cdr:x>
      <cdr:y>0.21509</cdr:y>
    </cdr:from>
    <cdr:to>
      <cdr:x>0.18276</cdr:x>
      <cdr:y>0.30943</cdr:y>
    </cdr:to>
    <cdr:cxnSp macro="">
      <cdr:nvCxnSpPr>
        <cdr:cNvPr id="7" name="Straight Arrow Connector 6"/>
        <cdr:cNvCxnSpPr/>
      </cdr:nvCxnSpPr>
      <cdr:spPr>
        <a:xfrm xmlns:a="http://schemas.openxmlformats.org/drawingml/2006/main">
          <a:off x="655608" y="491706"/>
          <a:ext cx="439947" cy="215660"/>
        </a:xfrm>
        <a:prstGeom xmlns:a="http://schemas.openxmlformats.org/drawingml/2006/main" prst="straightConnector1">
          <a:avLst/>
        </a:prstGeom>
        <a:ln xmlns:a="http://schemas.openxmlformats.org/drawingml/2006/main" w="19050">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0.93252</cdr:x>
      <cdr:y>0.30566</cdr:y>
    </cdr:from>
    <cdr:to>
      <cdr:x>0.99153</cdr:x>
      <cdr:y>0.42642</cdr:y>
    </cdr:to>
    <cdr:cxnSp macro="">
      <cdr:nvCxnSpPr>
        <cdr:cNvPr id="9" name="Straight Arrow Connector 8"/>
        <cdr:cNvCxnSpPr/>
      </cdr:nvCxnSpPr>
      <cdr:spPr>
        <a:xfrm xmlns:a="http://schemas.openxmlformats.org/drawingml/2006/main">
          <a:off x="5589917" y="698740"/>
          <a:ext cx="353683" cy="276045"/>
        </a:xfrm>
        <a:prstGeom xmlns:a="http://schemas.openxmlformats.org/drawingml/2006/main" prst="straightConnector1">
          <a:avLst/>
        </a:prstGeom>
        <a:ln xmlns:a="http://schemas.openxmlformats.org/drawingml/2006/main" w="19050">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0.69311</cdr:x>
      <cdr:y>0.20134</cdr:y>
    </cdr:from>
    <cdr:to>
      <cdr:x>0.75212</cdr:x>
      <cdr:y>0.28814</cdr:y>
    </cdr:to>
    <cdr:cxnSp macro="">
      <cdr:nvCxnSpPr>
        <cdr:cNvPr id="10" name="Straight Arrow Connector 9"/>
        <cdr:cNvCxnSpPr/>
      </cdr:nvCxnSpPr>
      <cdr:spPr>
        <a:xfrm xmlns:a="http://schemas.openxmlformats.org/drawingml/2006/main" flipV="1">
          <a:off x="3954531" y="297247"/>
          <a:ext cx="336680" cy="128150"/>
        </a:xfrm>
        <a:prstGeom xmlns:a="http://schemas.openxmlformats.org/drawingml/2006/main" prst="straightConnector1">
          <a:avLst/>
        </a:prstGeom>
        <a:ln xmlns:a="http://schemas.openxmlformats.org/drawingml/2006/main" w="19050">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0.5164</cdr:x>
      <cdr:y>0.25076</cdr:y>
    </cdr:from>
    <cdr:to>
      <cdr:x>0.58244</cdr:x>
      <cdr:y>0.31826</cdr:y>
    </cdr:to>
    <cdr:cxnSp macro="">
      <cdr:nvCxnSpPr>
        <cdr:cNvPr id="11" name="Straight Arrow Connector 10"/>
        <cdr:cNvCxnSpPr/>
      </cdr:nvCxnSpPr>
      <cdr:spPr>
        <a:xfrm xmlns:a="http://schemas.openxmlformats.org/drawingml/2006/main">
          <a:off x="2946310" y="370219"/>
          <a:ext cx="376790" cy="99655"/>
        </a:xfrm>
        <a:prstGeom xmlns:a="http://schemas.openxmlformats.org/drawingml/2006/main" prst="straightConnector1">
          <a:avLst/>
        </a:prstGeom>
        <a:ln xmlns:a="http://schemas.openxmlformats.org/drawingml/2006/main" w="19050">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0.31354</cdr:x>
      <cdr:y>0.31333</cdr:y>
    </cdr:from>
    <cdr:to>
      <cdr:x>0.38534</cdr:x>
      <cdr:y>0.33933</cdr:y>
    </cdr:to>
    <cdr:cxnSp macro="">
      <cdr:nvCxnSpPr>
        <cdr:cNvPr id="12" name="Straight Arrow Connector 11"/>
        <cdr:cNvCxnSpPr/>
      </cdr:nvCxnSpPr>
      <cdr:spPr>
        <a:xfrm xmlns:a="http://schemas.openxmlformats.org/drawingml/2006/main">
          <a:off x="1788917" y="462591"/>
          <a:ext cx="409653" cy="38385"/>
        </a:xfrm>
        <a:prstGeom xmlns:a="http://schemas.openxmlformats.org/drawingml/2006/main" prst="straightConnector1">
          <a:avLst/>
        </a:prstGeom>
        <a:ln xmlns:a="http://schemas.openxmlformats.org/drawingml/2006/main" w="19050">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20.xml><?xml version="1.0" encoding="utf-8"?>
<c:userShapes xmlns:c="http://schemas.openxmlformats.org/drawingml/2006/chart">
  <cdr:relSizeAnchor xmlns:cdr="http://schemas.openxmlformats.org/drawingml/2006/chartDrawing">
    <cdr:from>
      <cdr:x>0.24537</cdr:x>
      <cdr:y>0.03579</cdr:y>
    </cdr:from>
    <cdr:to>
      <cdr:x>0.77056</cdr:x>
      <cdr:y>0.13601</cdr:y>
    </cdr:to>
    <cdr:sp macro="" textlink="">
      <cdr:nvSpPr>
        <cdr:cNvPr id="2" name="Text Box 1"/>
        <cdr:cNvSpPr txBox="1"/>
      </cdr:nvSpPr>
      <cdr:spPr>
        <a:xfrm xmlns:a="http://schemas.openxmlformats.org/drawingml/2006/main">
          <a:off x="723900" y="63500"/>
          <a:ext cx="1549400" cy="1778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засгийн газрын зарлага, ДНБ-д</a:t>
          </a:r>
          <a:r>
            <a:rPr lang="mn-MN" sz="500" baseline="0"/>
            <a:t> харьцуулсан </a:t>
          </a:r>
          <a:r>
            <a:rPr lang="en-US" sz="500" baseline="0"/>
            <a:t>(%)</a:t>
          </a:r>
          <a:endParaRPr lang="en-US" sz="500"/>
        </a:p>
      </cdr:txBody>
    </cdr:sp>
  </cdr:relSizeAnchor>
  <cdr:relSizeAnchor xmlns:cdr="http://schemas.openxmlformats.org/drawingml/2006/chartDrawing">
    <cdr:from>
      <cdr:x>0.24537</cdr:x>
      <cdr:y>0.12527</cdr:y>
    </cdr:from>
    <cdr:to>
      <cdr:x>0.70168</cdr:x>
      <cdr:y>0.26843</cdr:y>
    </cdr:to>
    <cdr:sp macro="" textlink="">
      <cdr:nvSpPr>
        <cdr:cNvPr id="3" name="Text Box 2"/>
        <cdr:cNvSpPr txBox="1"/>
      </cdr:nvSpPr>
      <cdr:spPr>
        <a:xfrm xmlns:a="http://schemas.openxmlformats.org/drawingml/2006/main">
          <a:off x="723900" y="222250"/>
          <a:ext cx="1346200" cy="2540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засгийн</a:t>
          </a:r>
          <a:r>
            <a:rPr lang="mn-MN" sz="500" baseline="0"/>
            <a:t> газрын орлого, ДНБ-д харьцуулсан </a:t>
          </a:r>
          <a:r>
            <a:rPr lang="en-US" sz="500" baseline="0"/>
            <a:t>(%)</a:t>
          </a:r>
          <a:endParaRPr lang="en-US" sz="500"/>
        </a:p>
      </cdr:txBody>
    </cdr:sp>
  </cdr:relSizeAnchor>
</c:userShapes>
</file>

<file path=word/drawings/drawing21.xml><?xml version="1.0" encoding="utf-8"?>
<c:userShapes xmlns:c="http://schemas.openxmlformats.org/drawingml/2006/chart">
  <cdr:relSizeAnchor xmlns:cdr="http://schemas.openxmlformats.org/drawingml/2006/chartDrawing">
    <cdr:from>
      <cdr:x>0.19608</cdr:x>
      <cdr:y>0</cdr:y>
    </cdr:from>
    <cdr:to>
      <cdr:x>0.59041</cdr:x>
      <cdr:y>0.10942</cdr:y>
    </cdr:to>
    <cdr:sp macro="" textlink="">
      <cdr:nvSpPr>
        <cdr:cNvPr id="2" name="Text Box 1"/>
        <cdr:cNvSpPr txBox="1"/>
      </cdr:nvSpPr>
      <cdr:spPr>
        <a:xfrm xmlns:a="http://schemas.openxmlformats.org/drawingml/2006/main">
          <a:off x="571500" y="0"/>
          <a:ext cx="1149350" cy="2286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дотоод</a:t>
          </a:r>
          <a:r>
            <a:rPr lang="mn-MN" sz="500" baseline="0"/>
            <a:t> өр, ДНБ-д харьцуулсан </a:t>
          </a:r>
          <a:r>
            <a:rPr lang="en-US" sz="500" baseline="0"/>
            <a:t>(%)</a:t>
          </a:r>
          <a:endParaRPr lang="en-US" sz="500"/>
        </a:p>
      </cdr:txBody>
    </cdr:sp>
  </cdr:relSizeAnchor>
  <cdr:relSizeAnchor xmlns:cdr="http://schemas.openxmlformats.org/drawingml/2006/chartDrawing">
    <cdr:from>
      <cdr:x>0.20261</cdr:x>
      <cdr:y>0.10638</cdr:y>
    </cdr:from>
    <cdr:to>
      <cdr:x>0.59041</cdr:x>
      <cdr:y>0.19453</cdr:y>
    </cdr:to>
    <cdr:sp macro="" textlink="">
      <cdr:nvSpPr>
        <cdr:cNvPr id="3" name="Text Box 2"/>
        <cdr:cNvSpPr txBox="1"/>
      </cdr:nvSpPr>
      <cdr:spPr>
        <a:xfrm xmlns:a="http://schemas.openxmlformats.org/drawingml/2006/main">
          <a:off x="590550" y="222250"/>
          <a:ext cx="1130300" cy="18415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гадаад</a:t>
          </a:r>
          <a:r>
            <a:rPr lang="mn-MN" sz="500" baseline="0"/>
            <a:t> өр, ДНБ-д харьцуулсан </a:t>
          </a:r>
          <a:r>
            <a:rPr lang="en-US" sz="500" baseline="0"/>
            <a:t>(%)</a:t>
          </a:r>
          <a:endParaRPr lang="en-US" sz="500"/>
        </a:p>
      </cdr:txBody>
    </cdr:sp>
  </cdr:relSizeAnchor>
  <cdr:relSizeAnchor xmlns:cdr="http://schemas.openxmlformats.org/drawingml/2006/chartDrawing">
    <cdr:from>
      <cdr:x>0.20261</cdr:x>
      <cdr:y>0.19453</cdr:y>
    </cdr:from>
    <cdr:to>
      <cdr:x>0.59477</cdr:x>
      <cdr:y>0.28571</cdr:y>
    </cdr:to>
    <cdr:sp macro="" textlink="">
      <cdr:nvSpPr>
        <cdr:cNvPr id="4" name="Text Box 3"/>
        <cdr:cNvSpPr txBox="1"/>
      </cdr:nvSpPr>
      <cdr:spPr>
        <a:xfrm xmlns:a="http://schemas.openxmlformats.org/drawingml/2006/main">
          <a:off x="590550" y="406400"/>
          <a:ext cx="1143000" cy="1905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улсын</a:t>
          </a:r>
          <a:r>
            <a:rPr lang="mn-MN" sz="500" baseline="0"/>
            <a:t> өр, ДНБ-д харьуулсан </a:t>
          </a:r>
          <a:r>
            <a:rPr lang="en-US" sz="500" baseline="0"/>
            <a:t>(%)</a:t>
          </a:r>
          <a:endParaRPr lang="en-US" sz="500"/>
        </a:p>
      </cdr:txBody>
    </cdr:sp>
  </cdr:relSizeAnchor>
</c:userShapes>
</file>

<file path=word/drawings/drawing22.xml><?xml version="1.0" encoding="utf-8"?>
<c:userShapes xmlns:c="http://schemas.openxmlformats.org/drawingml/2006/chart">
  <cdr:relSizeAnchor xmlns:cdr="http://schemas.openxmlformats.org/drawingml/2006/chartDrawing">
    <cdr:from>
      <cdr:x>0.22993</cdr:x>
      <cdr:y>0.01517</cdr:y>
    </cdr:from>
    <cdr:to>
      <cdr:x>0.79176</cdr:x>
      <cdr:y>0.13961</cdr:y>
    </cdr:to>
    <cdr:sp macro="" textlink="">
      <cdr:nvSpPr>
        <cdr:cNvPr id="2" name="Text Box 1"/>
        <cdr:cNvSpPr txBox="1"/>
      </cdr:nvSpPr>
      <cdr:spPr>
        <a:xfrm xmlns:a="http://schemas.openxmlformats.org/drawingml/2006/main">
          <a:off x="673100" y="31750"/>
          <a:ext cx="1644650" cy="26035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хөрөнгийн</a:t>
          </a:r>
          <a:r>
            <a:rPr lang="mn-MN" sz="500" baseline="0"/>
            <a:t> зардал, ДНБ-д харьцуулсан харьцаа</a:t>
          </a:r>
          <a:endParaRPr lang="en-US" sz="500"/>
        </a:p>
      </cdr:txBody>
    </cdr:sp>
  </cdr:relSizeAnchor>
  <cdr:relSizeAnchor xmlns:cdr="http://schemas.openxmlformats.org/drawingml/2006/chartDrawing">
    <cdr:from>
      <cdr:x>0.22993</cdr:x>
      <cdr:y>0.14264</cdr:y>
    </cdr:from>
    <cdr:to>
      <cdr:x>0.65727</cdr:x>
      <cdr:y>0.23065</cdr:y>
    </cdr:to>
    <cdr:sp macro="" textlink="">
      <cdr:nvSpPr>
        <cdr:cNvPr id="3" name="Text Box 2"/>
        <cdr:cNvSpPr txBox="1"/>
      </cdr:nvSpPr>
      <cdr:spPr>
        <a:xfrm xmlns:a="http://schemas.openxmlformats.org/drawingml/2006/main">
          <a:off x="673100" y="298450"/>
          <a:ext cx="1250950" cy="1841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0.22777</cdr:x>
      <cdr:y>0.09408</cdr:y>
    </cdr:from>
    <cdr:to>
      <cdr:x>0.66161</cdr:x>
      <cdr:y>0.23065</cdr:y>
    </cdr:to>
    <cdr:sp macro="" textlink="">
      <cdr:nvSpPr>
        <cdr:cNvPr id="4" name="Text Box 3"/>
        <cdr:cNvSpPr txBox="1"/>
      </cdr:nvSpPr>
      <cdr:spPr>
        <a:xfrm xmlns:a="http://schemas.openxmlformats.org/drawingml/2006/main">
          <a:off x="666750" y="196850"/>
          <a:ext cx="1270000" cy="28575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урсга зардал, ДНБ-д харьцуулсан харьцаа </a:t>
          </a:r>
          <a:r>
            <a:rPr lang="en-US" sz="500"/>
            <a:t>(%)</a:t>
          </a:r>
        </a:p>
      </cdr:txBody>
    </cdr:sp>
  </cdr:relSizeAnchor>
</c:userShapes>
</file>

<file path=word/drawings/drawing23.xml><?xml version="1.0" encoding="utf-8"?>
<c:userShapes xmlns:c="http://schemas.openxmlformats.org/drawingml/2006/chart">
  <cdr:relSizeAnchor xmlns:cdr="http://schemas.openxmlformats.org/drawingml/2006/chartDrawing">
    <cdr:from>
      <cdr:x>0.25386</cdr:x>
      <cdr:y>0.02694</cdr:y>
    </cdr:from>
    <cdr:to>
      <cdr:x>0.80353</cdr:x>
      <cdr:y>0.11111</cdr:y>
    </cdr:to>
    <cdr:sp macro="" textlink="">
      <cdr:nvSpPr>
        <cdr:cNvPr id="2" name="Text Box 1"/>
        <cdr:cNvSpPr txBox="1"/>
      </cdr:nvSpPr>
      <cdr:spPr>
        <a:xfrm xmlns:a="http://schemas.openxmlformats.org/drawingml/2006/main">
          <a:off x="730250" y="50800"/>
          <a:ext cx="1581150" cy="15875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нөөц</a:t>
          </a:r>
          <a:r>
            <a:rPr lang="mn-MN" sz="500" baseline="0"/>
            <a:t> мөнгө, тэрбум төгрөг, баруун гар тал</a:t>
          </a:r>
          <a:endParaRPr lang="en-US" sz="500"/>
        </a:p>
      </cdr:txBody>
    </cdr:sp>
  </cdr:relSizeAnchor>
  <cdr:relSizeAnchor xmlns:cdr="http://schemas.openxmlformats.org/drawingml/2006/chartDrawing">
    <cdr:from>
      <cdr:x>0.25386</cdr:x>
      <cdr:y>0.10774</cdr:y>
    </cdr:from>
    <cdr:to>
      <cdr:x>0.91611</cdr:x>
      <cdr:y>0.17845</cdr:y>
    </cdr:to>
    <cdr:sp macro="" textlink="">
      <cdr:nvSpPr>
        <cdr:cNvPr id="3" name="Text Box 2"/>
        <cdr:cNvSpPr txBox="1"/>
      </cdr:nvSpPr>
      <cdr:spPr>
        <a:xfrm xmlns:a="http://schemas.openxmlformats.org/drawingml/2006/main">
          <a:off x="730250" y="203200"/>
          <a:ext cx="1905000" cy="13335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төв</a:t>
          </a:r>
          <a:r>
            <a:rPr lang="mn-MN" sz="500" baseline="0"/>
            <a:t> банкны арилжааны банкуудад олгосон зээл, тэрбум төгрөг</a:t>
          </a:r>
          <a:endParaRPr lang="en-US" sz="500"/>
        </a:p>
      </cdr:txBody>
    </cdr:sp>
  </cdr:relSizeAnchor>
  <cdr:relSizeAnchor xmlns:cdr="http://schemas.openxmlformats.org/drawingml/2006/chartDrawing">
    <cdr:from>
      <cdr:x>0.25607</cdr:x>
      <cdr:y>0.18182</cdr:y>
    </cdr:from>
    <cdr:to>
      <cdr:x>0.8521</cdr:x>
      <cdr:y>0.26263</cdr:y>
    </cdr:to>
    <cdr:sp macro="" textlink="">
      <cdr:nvSpPr>
        <cdr:cNvPr id="4" name="Text Box 3"/>
        <cdr:cNvSpPr txBox="1"/>
      </cdr:nvSpPr>
      <cdr:spPr>
        <a:xfrm xmlns:a="http://schemas.openxmlformats.org/drawingml/2006/main">
          <a:off x="736600" y="342900"/>
          <a:ext cx="1714500" cy="1524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нөөц мөнгөний өсөлт, өомү</a:t>
          </a:r>
          <a:endParaRPr lang="en-US" sz="500"/>
        </a:p>
      </cdr:txBody>
    </cdr:sp>
  </cdr:relSizeAnchor>
</c:userShapes>
</file>

<file path=word/drawings/drawing24.xml><?xml version="1.0" encoding="utf-8"?>
<c:userShapes xmlns:c="http://schemas.openxmlformats.org/drawingml/2006/chart">
  <cdr:relSizeAnchor xmlns:cdr="http://schemas.openxmlformats.org/drawingml/2006/chartDrawing">
    <cdr:from>
      <cdr:x>0.25</cdr:x>
      <cdr:y>0</cdr:y>
    </cdr:from>
    <cdr:to>
      <cdr:x>0.83784</cdr:x>
      <cdr:y>0.10135</cdr:y>
    </cdr:to>
    <cdr:sp macro="" textlink="">
      <cdr:nvSpPr>
        <cdr:cNvPr id="2" name="Text Box 1"/>
        <cdr:cNvSpPr txBox="1"/>
      </cdr:nvSpPr>
      <cdr:spPr>
        <a:xfrm xmlns:a="http://schemas.openxmlformats.org/drawingml/2006/main">
          <a:off x="704850" y="0"/>
          <a:ext cx="1657350" cy="1905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нийт банкны зээл</a:t>
          </a:r>
          <a:r>
            <a:rPr lang="en-US" sz="500"/>
            <a:t>(</a:t>
          </a:r>
          <a:r>
            <a:rPr lang="mn-MN" sz="500"/>
            <a:t>өух,</a:t>
          </a:r>
          <a:r>
            <a:rPr lang="mn-MN" sz="500" baseline="0"/>
            <a:t> өөрчлөлт, </a:t>
          </a:r>
          <a:r>
            <a:rPr lang="en-US" sz="500" baseline="0"/>
            <a:t>%</a:t>
          </a:r>
          <a:r>
            <a:rPr lang="mn-MN" sz="500" baseline="0"/>
            <a:t>, зүүн тал</a:t>
          </a:r>
          <a:r>
            <a:rPr lang="en-US" sz="500"/>
            <a:t>)</a:t>
          </a:r>
        </a:p>
      </cdr:txBody>
    </cdr:sp>
  </cdr:relSizeAnchor>
  <cdr:relSizeAnchor xmlns:cdr="http://schemas.openxmlformats.org/drawingml/2006/chartDrawing">
    <cdr:from>
      <cdr:x>0.24775</cdr:x>
      <cdr:y>0.09797</cdr:y>
    </cdr:from>
    <cdr:to>
      <cdr:x>0.8536</cdr:x>
      <cdr:y>0.16892</cdr:y>
    </cdr:to>
    <cdr:sp macro="" textlink="">
      <cdr:nvSpPr>
        <cdr:cNvPr id="3" name="Text Box 2"/>
        <cdr:cNvSpPr txBox="1"/>
      </cdr:nvSpPr>
      <cdr:spPr>
        <a:xfrm xmlns:a="http://schemas.openxmlformats.org/drawingml/2006/main">
          <a:off x="698500" y="184150"/>
          <a:ext cx="1708150" cy="13335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нийт банкны хадгаламж </a:t>
          </a:r>
          <a:r>
            <a:rPr lang="en-US" sz="500"/>
            <a:t>(</a:t>
          </a:r>
          <a:r>
            <a:rPr lang="mn-MN" sz="500"/>
            <a:t>өух, өөрчлөлт, </a:t>
          </a:r>
          <a:r>
            <a:rPr lang="en-US" sz="500"/>
            <a:t>% </a:t>
          </a:r>
          <a:r>
            <a:rPr lang="mn-MN" sz="500"/>
            <a:t>зүүн тал</a:t>
          </a:r>
          <a:r>
            <a:rPr lang="en-US" sz="500"/>
            <a:t>)</a:t>
          </a:r>
        </a:p>
      </cdr:txBody>
    </cdr:sp>
  </cdr:relSizeAnchor>
  <cdr:relSizeAnchor xmlns:cdr="http://schemas.openxmlformats.org/drawingml/2006/chartDrawing">
    <cdr:from>
      <cdr:x>0.2545</cdr:x>
      <cdr:y>0.1723</cdr:y>
    </cdr:from>
    <cdr:to>
      <cdr:x>0.74099</cdr:x>
      <cdr:y>0.25338</cdr:y>
    </cdr:to>
    <cdr:sp macro="" textlink="">
      <cdr:nvSpPr>
        <cdr:cNvPr id="4" name="Text Box 3"/>
        <cdr:cNvSpPr txBox="1"/>
      </cdr:nvSpPr>
      <cdr:spPr>
        <a:xfrm xmlns:a="http://schemas.openxmlformats.org/drawingml/2006/main">
          <a:off x="717550" y="323850"/>
          <a:ext cx="1371600" cy="1524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зээл хадгаламжийн харьцаа, баруун гар тал</a:t>
          </a:r>
          <a:endParaRPr lang="en-US" sz="500"/>
        </a:p>
      </cdr:txBody>
    </cdr:sp>
  </cdr:relSizeAnchor>
</c:userShapes>
</file>

<file path=word/drawings/drawing25.xml><?xml version="1.0" encoding="utf-8"?>
<c:userShapes xmlns:c="http://schemas.openxmlformats.org/drawingml/2006/chart">
  <cdr:relSizeAnchor xmlns:cdr="http://schemas.openxmlformats.org/drawingml/2006/chartDrawing">
    <cdr:from>
      <cdr:x>0.1996</cdr:x>
      <cdr:y>0.62145</cdr:y>
    </cdr:from>
    <cdr:to>
      <cdr:x>0.46443</cdr:x>
      <cdr:y>0.69085</cdr:y>
    </cdr:to>
    <cdr:sp macro="" textlink="">
      <cdr:nvSpPr>
        <cdr:cNvPr id="2" name="Text Box 1"/>
        <cdr:cNvSpPr txBox="1"/>
      </cdr:nvSpPr>
      <cdr:spPr>
        <a:xfrm xmlns:a="http://schemas.openxmlformats.org/drawingml/2006/main">
          <a:off x="641350" y="1250950"/>
          <a:ext cx="850900" cy="1397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төгрөгийн</a:t>
          </a:r>
          <a:r>
            <a:rPr lang="mn-MN" sz="500" baseline="0"/>
            <a:t> хадгаламж</a:t>
          </a:r>
          <a:endParaRPr lang="en-US" sz="500"/>
        </a:p>
      </cdr:txBody>
    </cdr:sp>
  </cdr:relSizeAnchor>
  <cdr:relSizeAnchor xmlns:cdr="http://schemas.openxmlformats.org/drawingml/2006/chartDrawing">
    <cdr:from>
      <cdr:x>0.1996</cdr:x>
      <cdr:y>0.69401</cdr:y>
    </cdr:from>
    <cdr:to>
      <cdr:x>0.5336</cdr:x>
      <cdr:y>0.76656</cdr:y>
    </cdr:to>
    <cdr:sp macro="" textlink="">
      <cdr:nvSpPr>
        <cdr:cNvPr id="3" name="Text Box 2"/>
        <cdr:cNvSpPr txBox="1"/>
      </cdr:nvSpPr>
      <cdr:spPr>
        <a:xfrm xmlns:a="http://schemas.openxmlformats.org/drawingml/2006/main">
          <a:off x="641350" y="1397000"/>
          <a:ext cx="1073150" cy="14605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гадаад валютын хадгаламж</a:t>
          </a:r>
          <a:endParaRPr lang="en-US" sz="500"/>
        </a:p>
      </cdr:txBody>
    </cdr:sp>
  </cdr:relSizeAnchor>
  <cdr:relSizeAnchor xmlns:cdr="http://schemas.openxmlformats.org/drawingml/2006/chartDrawing">
    <cdr:from>
      <cdr:x>0.20158</cdr:x>
      <cdr:y>0.77287</cdr:y>
    </cdr:from>
    <cdr:to>
      <cdr:x>0.66206</cdr:x>
      <cdr:y>0.84543</cdr:y>
    </cdr:to>
    <cdr:sp macro="" textlink="">
      <cdr:nvSpPr>
        <cdr:cNvPr id="4" name="Text Box 3"/>
        <cdr:cNvSpPr txBox="1"/>
      </cdr:nvSpPr>
      <cdr:spPr>
        <a:xfrm xmlns:a="http://schemas.openxmlformats.org/drawingml/2006/main">
          <a:off x="647700" y="1555750"/>
          <a:ext cx="1479550" cy="14605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гадаад валютын хадгаламжийн эзлэх хувь</a:t>
          </a:r>
          <a:endParaRPr lang="en-US" sz="500"/>
        </a:p>
      </cdr:txBody>
    </cdr:sp>
  </cdr:relSizeAnchor>
</c:userShapes>
</file>

<file path=word/drawings/drawing26.xml><?xml version="1.0" encoding="utf-8"?>
<c:userShapes xmlns:c="http://schemas.openxmlformats.org/drawingml/2006/chart">
  <cdr:relSizeAnchor xmlns:cdr="http://schemas.openxmlformats.org/drawingml/2006/chartDrawing">
    <cdr:from>
      <cdr:x>0.21721</cdr:x>
      <cdr:y>0.03311</cdr:y>
    </cdr:from>
    <cdr:to>
      <cdr:x>0.85041</cdr:x>
      <cdr:y>0.10927</cdr:y>
    </cdr:to>
    <cdr:sp macro="" textlink="">
      <cdr:nvSpPr>
        <cdr:cNvPr id="2" name="Text Box 1"/>
        <cdr:cNvSpPr txBox="1"/>
      </cdr:nvSpPr>
      <cdr:spPr>
        <a:xfrm xmlns:a="http://schemas.openxmlformats.org/drawingml/2006/main">
          <a:off x="673100" y="63500"/>
          <a:ext cx="1962150" cy="14605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шинээр гаргасан төв</a:t>
          </a:r>
          <a:r>
            <a:rPr lang="mn-MN" sz="500" baseline="0"/>
            <a:t> банкны үнэт цаас,тэрбум төгрөг, баруун тал</a:t>
          </a:r>
          <a:endParaRPr lang="en-US" sz="500"/>
        </a:p>
      </cdr:txBody>
    </cdr:sp>
  </cdr:relSizeAnchor>
  <cdr:relSizeAnchor xmlns:cdr="http://schemas.openxmlformats.org/drawingml/2006/chartDrawing">
    <cdr:from>
      <cdr:x>0.21721</cdr:x>
      <cdr:y>0.09603</cdr:y>
    </cdr:from>
    <cdr:to>
      <cdr:x>0.86066</cdr:x>
      <cdr:y>0.17219</cdr:y>
    </cdr:to>
    <cdr:sp macro="" textlink="">
      <cdr:nvSpPr>
        <cdr:cNvPr id="3" name="Text Box 2"/>
        <cdr:cNvSpPr txBox="1"/>
      </cdr:nvSpPr>
      <cdr:spPr>
        <a:xfrm xmlns:a="http://schemas.openxmlformats.org/drawingml/2006/main">
          <a:off x="673100" y="184150"/>
          <a:ext cx="1993900" cy="14605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нөөц мөнгөний өсөлт, гсгд, өомү, </a:t>
          </a:r>
          <a:r>
            <a:rPr lang="en-US" sz="500"/>
            <a:t>%</a:t>
          </a:r>
        </a:p>
      </cdr:txBody>
    </cdr:sp>
  </cdr:relSizeAnchor>
</c:userShapes>
</file>

<file path=word/drawings/drawing27.xml><?xml version="1.0" encoding="utf-8"?>
<c:userShapes xmlns:c="http://schemas.openxmlformats.org/drawingml/2006/chart">
  <cdr:relSizeAnchor xmlns:cdr="http://schemas.openxmlformats.org/drawingml/2006/chartDrawing">
    <cdr:from>
      <cdr:x>0.28993</cdr:x>
      <cdr:y>0.0461</cdr:y>
    </cdr:from>
    <cdr:to>
      <cdr:x>0.54103</cdr:x>
      <cdr:y>0.12678</cdr:y>
    </cdr:to>
    <cdr:sp macro="" textlink="">
      <cdr:nvSpPr>
        <cdr:cNvPr id="2" name="Text Box 1"/>
        <cdr:cNvSpPr txBox="1"/>
      </cdr:nvSpPr>
      <cdr:spPr>
        <a:xfrm xmlns:a="http://schemas.openxmlformats.org/drawingml/2006/main">
          <a:off x="711200" y="76200"/>
          <a:ext cx="615950" cy="13335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ХАА</a:t>
          </a:r>
          <a:endParaRPr lang="en-US" sz="500"/>
        </a:p>
      </cdr:txBody>
    </cdr:sp>
  </cdr:relSizeAnchor>
  <cdr:relSizeAnchor xmlns:cdr="http://schemas.openxmlformats.org/drawingml/2006/chartDrawing">
    <cdr:from>
      <cdr:x>0.28993</cdr:x>
      <cdr:y>0.12678</cdr:y>
    </cdr:from>
    <cdr:to>
      <cdr:x>0.54362</cdr:x>
      <cdr:y>0.21129</cdr:y>
    </cdr:to>
    <cdr:sp macro="" textlink="">
      <cdr:nvSpPr>
        <cdr:cNvPr id="3" name="Text Box 2"/>
        <cdr:cNvSpPr txBox="1"/>
      </cdr:nvSpPr>
      <cdr:spPr>
        <a:xfrm xmlns:a="http://schemas.openxmlformats.org/drawingml/2006/main">
          <a:off x="711200" y="209550"/>
          <a:ext cx="622300" cy="1397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барилга</a:t>
          </a:r>
          <a:endParaRPr lang="en-US" sz="500"/>
        </a:p>
      </cdr:txBody>
    </cdr:sp>
  </cdr:relSizeAnchor>
  <cdr:relSizeAnchor xmlns:cdr="http://schemas.openxmlformats.org/drawingml/2006/chartDrawing">
    <cdr:from>
      <cdr:x>0.28734</cdr:x>
      <cdr:y>0.21129</cdr:y>
    </cdr:from>
    <cdr:to>
      <cdr:x>0.55656</cdr:x>
      <cdr:y>0.29197</cdr:y>
    </cdr:to>
    <cdr:sp macro="" textlink="">
      <cdr:nvSpPr>
        <cdr:cNvPr id="4" name="Text Box 3"/>
        <cdr:cNvSpPr txBox="1"/>
      </cdr:nvSpPr>
      <cdr:spPr>
        <a:xfrm xmlns:a="http://schemas.openxmlformats.org/drawingml/2006/main">
          <a:off x="704850" y="349250"/>
          <a:ext cx="660400" cy="13335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уул уурхай</a:t>
          </a:r>
          <a:endParaRPr lang="en-US" sz="500"/>
        </a:p>
      </cdr:txBody>
    </cdr:sp>
  </cdr:relSizeAnchor>
  <cdr:relSizeAnchor xmlns:cdr="http://schemas.openxmlformats.org/drawingml/2006/chartDrawing">
    <cdr:from>
      <cdr:x>0.28475</cdr:x>
      <cdr:y>0.29197</cdr:y>
    </cdr:from>
    <cdr:to>
      <cdr:x>0.55915</cdr:x>
      <cdr:y>0.36881</cdr:y>
    </cdr:to>
    <cdr:sp macro="" textlink="">
      <cdr:nvSpPr>
        <cdr:cNvPr id="5" name="Text Box 4"/>
        <cdr:cNvSpPr txBox="1"/>
      </cdr:nvSpPr>
      <cdr:spPr>
        <a:xfrm xmlns:a="http://schemas.openxmlformats.org/drawingml/2006/main">
          <a:off x="698500" y="482600"/>
          <a:ext cx="673100" cy="1270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аж үйлдвэрлэл</a:t>
          </a:r>
          <a:endParaRPr lang="en-US" sz="500"/>
        </a:p>
      </cdr:txBody>
    </cdr:sp>
  </cdr:relSizeAnchor>
  <cdr:relSizeAnchor xmlns:cdr="http://schemas.openxmlformats.org/drawingml/2006/chartDrawing">
    <cdr:from>
      <cdr:x>0.28475</cdr:x>
      <cdr:y>0.36112</cdr:y>
    </cdr:from>
    <cdr:to>
      <cdr:x>0.50997</cdr:x>
      <cdr:y>0.44564</cdr:y>
    </cdr:to>
    <cdr:sp macro="" textlink="">
      <cdr:nvSpPr>
        <cdr:cNvPr id="6" name="Text Box 5"/>
        <cdr:cNvSpPr txBox="1"/>
      </cdr:nvSpPr>
      <cdr:spPr>
        <a:xfrm xmlns:a="http://schemas.openxmlformats.org/drawingml/2006/main">
          <a:off x="698500" y="596900"/>
          <a:ext cx="552450" cy="1397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бөөний</a:t>
          </a:r>
          <a:endParaRPr lang="en-US" sz="500"/>
        </a:p>
      </cdr:txBody>
    </cdr:sp>
  </cdr:relSizeAnchor>
</c:userShapes>
</file>

<file path=word/drawings/drawing28.xml><?xml version="1.0" encoding="utf-8"?>
<c:userShapes xmlns:c="http://schemas.openxmlformats.org/drawingml/2006/chart">
  <cdr:relSizeAnchor xmlns:cdr="http://schemas.openxmlformats.org/drawingml/2006/chartDrawing">
    <cdr:from>
      <cdr:x>0.78867</cdr:x>
      <cdr:y>0.08678</cdr:y>
    </cdr:from>
    <cdr:to>
      <cdr:x>1</cdr:x>
      <cdr:y>0.24793</cdr:y>
    </cdr:to>
    <cdr:sp macro="" textlink="">
      <cdr:nvSpPr>
        <cdr:cNvPr id="2" name="Text Box 1"/>
        <cdr:cNvSpPr txBox="1"/>
      </cdr:nvSpPr>
      <cdr:spPr>
        <a:xfrm xmlns:a="http://schemas.openxmlformats.org/drawingml/2006/main">
          <a:off x="2298700" y="133350"/>
          <a:ext cx="615950" cy="24765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барилга, үл хөдлөх хөрөнгө</a:t>
          </a:r>
          <a:endParaRPr lang="en-US" sz="500"/>
        </a:p>
      </cdr:txBody>
    </cdr:sp>
  </cdr:relSizeAnchor>
  <cdr:relSizeAnchor xmlns:cdr="http://schemas.openxmlformats.org/drawingml/2006/chartDrawing">
    <cdr:from>
      <cdr:x>0.79085</cdr:x>
      <cdr:y>0.25207</cdr:y>
    </cdr:from>
    <cdr:to>
      <cdr:x>1</cdr:x>
      <cdr:y>0.3595</cdr:y>
    </cdr:to>
    <cdr:sp macro="" textlink="">
      <cdr:nvSpPr>
        <cdr:cNvPr id="3" name="Text Box 2"/>
        <cdr:cNvSpPr txBox="1"/>
      </cdr:nvSpPr>
      <cdr:spPr>
        <a:xfrm xmlns:a="http://schemas.openxmlformats.org/drawingml/2006/main">
          <a:off x="2305050" y="387350"/>
          <a:ext cx="609600" cy="1651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бусад</a:t>
          </a:r>
          <a:endParaRPr lang="en-US" sz="500"/>
        </a:p>
      </cdr:txBody>
    </cdr:sp>
  </cdr:relSizeAnchor>
  <cdr:relSizeAnchor xmlns:cdr="http://schemas.openxmlformats.org/drawingml/2006/chartDrawing">
    <cdr:from>
      <cdr:x>0.79085</cdr:x>
      <cdr:y>0.36777</cdr:y>
    </cdr:from>
    <cdr:to>
      <cdr:x>1</cdr:x>
      <cdr:y>0.46694</cdr:y>
    </cdr:to>
    <cdr:sp macro="" textlink="">
      <cdr:nvSpPr>
        <cdr:cNvPr id="4" name="Text Box 3"/>
        <cdr:cNvSpPr txBox="1"/>
      </cdr:nvSpPr>
      <cdr:spPr>
        <a:xfrm xmlns:a="http://schemas.openxmlformats.org/drawingml/2006/main">
          <a:off x="2305050" y="565150"/>
          <a:ext cx="609600" cy="1524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жижиглэн</a:t>
          </a:r>
          <a:endParaRPr lang="en-US" sz="500"/>
        </a:p>
      </cdr:txBody>
    </cdr:sp>
  </cdr:relSizeAnchor>
  <cdr:relSizeAnchor xmlns:cdr="http://schemas.openxmlformats.org/drawingml/2006/chartDrawing">
    <cdr:from>
      <cdr:x>0.79085</cdr:x>
      <cdr:y>0.47934</cdr:y>
    </cdr:from>
    <cdr:to>
      <cdr:x>1</cdr:x>
      <cdr:y>0.60744</cdr:y>
    </cdr:to>
    <cdr:sp macro="" textlink="">
      <cdr:nvSpPr>
        <cdr:cNvPr id="5" name="Text Box 4"/>
        <cdr:cNvSpPr txBox="1"/>
      </cdr:nvSpPr>
      <cdr:spPr>
        <a:xfrm xmlns:a="http://schemas.openxmlformats.org/drawingml/2006/main">
          <a:off x="2305050" y="736600"/>
          <a:ext cx="609600" cy="1968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0.79521</cdr:x>
      <cdr:y>0.48347</cdr:y>
    </cdr:from>
    <cdr:to>
      <cdr:x>1</cdr:x>
      <cdr:y>0.59504</cdr:y>
    </cdr:to>
    <cdr:sp macro="" textlink="">
      <cdr:nvSpPr>
        <cdr:cNvPr id="6" name="Text Box 5"/>
        <cdr:cNvSpPr txBox="1"/>
      </cdr:nvSpPr>
      <cdr:spPr>
        <a:xfrm xmlns:a="http://schemas.openxmlformats.org/drawingml/2006/main">
          <a:off x="2317750" y="742950"/>
          <a:ext cx="596900" cy="1714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0.79521</cdr:x>
      <cdr:y>0.48347</cdr:y>
    </cdr:from>
    <cdr:to>
      <cdr:x>1</cdr:x>
      <cdr:y>0.59091</cdr:y>
    </cdr:to>
    <cdr:sp macro="" textlink="">
      <cdr:nvSpPr>
        <cdr:cNvPr id="7" name="Text Box 6"/>
        <cdr:cNvSpPr txBox="1"/>
      </cdr:nvSpPr>
      <cdr:spPr>
        <a:xfrm xmlns:a="http://schemas.openxmlformats.org/drawingml/2006/main">
          <a:off x="2317750" y="742950"/>
          <a:ext cx="596900" cy="1651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0.79085</cdr:x>
      <cdr:y>0.5</cdr:y>
    </cdr:from>
    <cdr:to>
      <cdr:x>1</cdr:x>
      <cdr:y>0.57438</cdr:y>
    </cdr:to>
    <cdr:sp macro="" textlink="">
      <cdr:nvSpPr>
        <cdr:cNvPr id="8" name="Text Box 7"/>
        <cdr:cNvSpPr txBox="1"/>
      </cdr:nvSpPr>
      <cdr:spPr>
        <a:xfrm xmlns:a="http://schemas.openxmlformats.org/drawingml/2006/main">
          <a:off x="2305050" y="768350"/>
          <a:ext cx="609600" cy="1143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аж үйлдвэрлэл</a:t>
          </a:r>
          <a:endParaRPr lang="en-US" sz="500"/>
        </a:p>
      </cdr:txBody>
    </cdr:sp>
  </cdr:relSizeAnchor>
  <cdr:relSizeAnchor xmlns:cdr="http://schemas.openxmlformats.org/drawingml/2006/chartDrawing">
    <cdr:from>
      <cdr:x>0.79303</cdr:x>
      <cdr:y>0.59091</cdr:y>
    </cdr:from>
    <cdr:to>
      <cdr:x>0.98257</cdr:x>
      <cdr:y>0.72314</cdr:y>
    </cdr:to>
    <cdr:sp macro="" textlink="">
      <cdr:nvSpPr>
        <cdr:cNvPr id="9" name="Text Box 8"/>
        <cdr:cNvSpPr txBox="1"/>
      </cdr:nvSpPr>
      <cdr:spPr>
        <a:xfrm xmlns:a="http://schemas.openxmlformats.org/drawingml/2006/main">
          <a:off x="2311400" y="908050"/>
          <a:ext cx="552450" cy="2032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уул уурхай</a:t>
          </a:r>
          <a:endParaRPr lang="en-US" sz="500"/>
        </a:p>
      </cdr:txBody>
    </cdr:sp>
  </cdr:relSizeAnchor>
  <cdr:relSizeAnchor xmlns:cdr="http://schemas.openxmlformats.org/drawingml/2006/chartDrawing">
    <cdr:from>
      <cdr:x>0.79521</cdr:x>
      <cdr:y>0.73554</cdr:y>
    </cdr:from>
    <cdr:to>
      <cdr:x>0.97821</cdr:x>
      <cdr:y>0.83884</cdr:y>
    </cdr:to>
    <cdr:sp macro="" textlink="">
      <cdr:nvSpPr>
        <cdr:cNvPr id="10" name="Text Box 9"/>
        <cdr:cNvSpPr txBox="1"/>
      </cdr:nvSpPr>
      <cdr:spPr>
        <a:xfrm xmlns:a="http://schemas.openxmlformats.org/drawingml/2006/main">
          <a:off x="2317750" y="1130300"/>
          <a:ext cx="533400" cy="15875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ХАА</a:t>
          </a:r>
          <a:endParaRPr lang="en-US" sz="500"/>
        </a:p>
      </cdr:txBody>
    </cdr:sp>
  </cdr:relSizeAnchor>
</c:userShapes>
</file>

<file path=word/drawings/drawing29.xml><?xml version="1.0" encoding="utf-8"?>
<c:userShapes xmlns:c="http://schemas.openxmlformats.org/drawingml/2006/chart">
  <cdr:relSizeAnchor xmlns:cdr="http://schemas.openxmlformats.org/drawingml/2006/chartDrawing">
    <cdr:from>
      <cdr:x>0.4617</cdr:x>
      <cdr:y>0.03846</cdr:y>
    </cdr:from>
    <cdr:to>
      <cdr:x>0.73191</cdr:x>
      <cdr:y>0.11538</cdr:y>
    </cdr:to>
    <cdr:sp macro="" textlink="">
      <cdr:nvSpPr>
        <cdr:cNvPr id="2" name="Text Box 1"/>
        <cdr:cNvSpPr txBox="1"/>
      </cdr:nvSpPr>
      <cdr:spPr>
        <a:xfrm xmlns:a="http://schemas.openxmlformats.org/drawingml/2006/main">
          <a:off x="1377950" y="63500"/>
          <a:ext cx="806450" cy="1270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ЧЗХ:</a:t>
          </a:r>
          <a:r>
            <a:rPr lang="mn-MN" sz="500" baseline="0"/>
            <a:t> нийт</a:t>
          </a:r>
          <a:endParaRPr lang="en-US" sz="500"/>
        </a:p>
      </cdr:txBody>
    </cdr:sp>
  </cdr:relSizeAnchor>
  <cdr:relSizeAnchor xmlns:cdr="http://schemas.openxmlformats.org/drawingml/2006/chartDrawing">
    <cdr:from>
      <cdr:x>0.45957</cdr:x>
      <cdr:y>0.11923</cdr:y>
    </cdr:from>
    <cdr:to>
      <cdr:x>0.75532</cdr:x>
      <cdr:y>0.19615</cdr:y>
    </cdr:to>
    <cdr:sp macro="" textlink="">
      <cdr:nvSpPr>
        <cdr:cNvPr id="3" name="Text Box 2"/>
        <cdr:cNvSpPr txBox="1"/>
      </cdr:nvSpPr>
      <cdr:spPr>
        <a:xfrm xmlns:a="http://schemas.openxmlformats.org/drawingml/2006/main">
          <a:off x="1371600" y="196850"/>
          <a:ext cx="882650" cy="1270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ЧЗХ: хувийн салбар</a:t>
          </a:r>
          <a:endParaRPr lang="en-US" sz="500"/>
        </a:p>
      </cdr:txBody>
    </cdr:sp>
  </cdr:relSizeAnchor>
  <cdr:relSizeAnchor xmlns:cdr="http://schemas.openxmlformats.org/drawingml/2006/chartDrawing">
    <cdr:from>
      <cdr:x>0.45532</cdr:x>
      <cdr:y>0.19615</cdr:y>
    </cdr:from>
    <cdr:to>
      <cdr:x>0.75532</cdr:x>
      <cdr:y>0.27308</cdr:y>
    </cdr:to>
    <cdr:sp macro="" textlink="">
      <cdr:nvSpPr>
        <cdr:cNvPr id="4" name="Text Box 3"/>
        <cdr:cNvSpPr txBox="1"/>
      </cdr:nvSpPr>
      <cdr:spPr>
        <a:xfrm xmlns:a="http://schemas.openxmlformats.org/drawingml/2006/main">
          <a:off x="1358900" y="323850"/>
          <a:ext cx="895350" cy="1270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ЧЗХ: хувь хүмүүс</a:t>
          </a:r>
          <a:endParaRPr lang="en-US" sz="500"/>
        </a:p>
      </cdr:txBody>
    </cdr:sp>
  </cdr:relSizeAnchor>
  <cdr:relSizeAnchor xmlns:cdr="http://schemas.openxmlformats.org/drawingml/2006/chartDrawing">
    <cdr:from>
      <cdr:x>0.45319</cdr:x>
      <cdr:y>0.27308</cdr:y>
    </cdr:from>
    <cdr:to>
      <cdr:x>0.91915</cdr:x>
      <cdr:y>0.36538</cdr:y>
    </cdr:to>
    <cdr:sp macro="" textlink="">
      <cdr:nvSpPr>
        <cdr:cNvPr id="5" name="Text Box 4"/>
        <cdr:cNvSpPr txBox="1"/>
      </cdr:nvSpPr>
      <cdr:spPr>
        <a:xfrm xmlns:a="http://schemas.openxmlformats.org/drawingml/2006/main">
          <a:off x="1352550" y="450850"/>
          <a:ext cx="1390650" cy="1524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найдваргүй зээл нийт</a:t>
          </a:r>
          <a:endParaRPr lang="en-US" sz="500"/>
        </a:p>
      </cdr:txBody>
    </cdr:sp>
  </cdr:relSizeAnchor>
</c:userShapes>
</file>

<file path=word/drawings/drawing3.xml><?xml version="1.0" encoding="utf-8"?>
<c:userShapes xmlns:c="http://schemas.openxmlformats.org/drawingml/2006/chart">
  <cdr:relSizeAnchor xmlns:cdr="http://schemas.openxmlformats.org/drawingml/2006/chartDrawing">
    <cdr:from>
      <cdr:x>0.075</cdr:x>
      <cdr:y>0</cdr:y>
    </cdr:from>
    <cdr:to>
      <cdr:x>0.94688</cdr:x>
      <cdr:y>0.22222</cdr:y>
    </cdr:to>
    <cdr:sp macro="" textlink="">
      <cdr:nvSpPr>
        <cdr:cNvPr id="2" name="Text Box 1"/>
        <cdr:cNvSpPr txBox="1"/>
      </cdr:nvSpPr>
      <cdr:spPr>
        <a:xfrm xmlns:a="http://schemas.openxmlformats.org/drawingml/2006/main">
          <a:off x="228600" y="0"/>
          <a:ext cx="2657475" cy="4191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900" b="0"/>
        </a:p>
      </cdr:txBody>
    </cdr:sp>
  </cdr:relSizeAnchor>
  <cdr:relSizeAnchor xmlns:cdr="http://schemas.openxmlformats.org/drawingml/2006/chartDrawing">
    <cdr:from>
      <cdr:x>0.069</cdr:x>
      <cdr:y>0.83333</cdr:y>
    </cdr:from>
    <cdr:to>
      <cdr:x>0.26736</cdr:x>
      <cdr:y>0.9359</cdr:y>
    </cdr:to>
    <cdr:sp macro="" textlink="">
      <cdr:nvSpPr>
        <cdr:cNvPr id="3" name="Text Box 2"/>
        <cdr:cNvSpPr txBox="1"/>
      </cdr:nvSpPr>
      <cdr:spPr>
        <a:xfrm xmlns:a="http://schemas.openxmlformats.org/drawingml/2006/main">
          <a:off x="203200" y="1238250"/>
          <a:ext cx="584200" cy="152400"/>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wrap="square" rtlCol="0"/>
        <a:lstStyle xmlns:a="http://schemas.openxmlformats.org/drawingml/2006/main"/>
        <a:p xmlns:a="http://schemas.openxmlformats.org/drawingml/2006/main">
          <a:pPr algn="l"/>
          <a:r>
            <a:rPr lang="mn-MN" sz="500"/>
            <a:t>орон сууцны</a:t>
          </a:r>
          <a:endParaRPr lang="en-US" sz="500"/>
        </a:p>
      </cdr:txBody>
    </cdr:sp>
  </cdr:relSizeAnchor>
  <cdr:relSizeAnchor xmlns:cdr="http://schemas.openxmlformats.org/drawingml/2006/chartDrawing">
    <cdr:from>
      <cdr:x>0.22855</cdr:x>
      <cdr:y>0.82479</cdr:y>
    </cdr:from>
    <cdr:to>
      <cdr:x>0.46141</cdr:x>
      <cdr:y>0.97863</cdr:y>
    </cdr:to>
    <cdr:sp macro="" textlink="">
      <cdr:nvSpPr>
        <cdr:cNvPr id="5" name="Text Box 4"/>
        <cdr:cNvSpPr txBox="1"/>
      </cdr:nvSpPr>
      <cdr:spPr>
        <a:xfrm xmlns:a="http://schemas.openxmlformats.org/drawingml/2006/main">
          <a:off x="673100" y="1225550"/>
          <a:ext cx="685800" cy="228600"/>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wrap="square" rtlCol="0"/>
        <a:lstStyle xmlns:a="http://schemas.openxmlformats.org/drawingml/2006/main"/>
        <a:p xmlns:a="http://schemas.openxmlformats.org/drawingml/2006/main">
          <a:r>
            <a:rPr lang="mn-MN" sz="500"/>
            <a:t>орон сууцны бус</a:t>
          </a:r>
          <a:endParaRPr lang="en-US" sz="500"/>
        </a:p>
      </cdr:txBody>
    </cdr:sp>
  </cdr:relSizeAnchor>
  <cdr:relSizeAnchor xmlns:cdr="http://schemas.openxmlformats.org/drawingml/2006/chartDrawing">
    <cdr:from>
      <cdr:x>0.42475</cdr:x>
      <cdr:y>0.82479</cdr:y>
    </cdr:from>
    <cdr:to>
      <cdr:x>0.5304</cdr:x>
      <cdr:y>0.9359</cdr:y>
    </cdr:to>
    <cdr:sp macro="" textlink="">
      <cdr:nvSpPr>
        <cdr:cNvPr id="6" name="Text Box 5"/>
        <cdr:cNvSpPr txBox="1"/>
      </cdr:nvSpPr>
      <cdr:spPr>
        <a:xfrm xmlns:a="http://schemas.openxmlformats.org/drawingml/2006/main">
          <a:off x="1250950" y="1225550"/>
          <a:ext cx="311150" cy="165100"/>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wrap="square" rtlCol="0"/>
        <a:lstStyle xmlns:a="http://schemas.openxmlformats.org/drawingml/2006/main"/>
        <a:p xmlns:a="http://schemas.openxmlformats.org/drawingml/2006/main">
          <a:r>
            <a:rPr lang="mn-MN" sz="500"/>
            <a:t>зам</a:t>
          </a:r>
          <a:endParaRPr lang="en-US" sz="500"/>
        </a:p>
      </cdr:txBody>
    </cdr:sp>
  </cdr:relSizeAnchor>
  <cdr:relSizeAnchor xmlns:cdr="http://schemas.openxmlformats.org/drawingml/2006/chartDrawing">
    <cdr:from>
      <cdr:x>0.51962</cdr:x>
      <cdr:y>0.82051</cdr:y>
    </cdr:from>
    <cdr:to>
      <cdr:x>0.65545</cdr:x>
      <cdr:y>0.92308</cdr:y>
    </cdr:to>
    <cdr:sp macro="" textlink="">
      <cdr:nvSpPr>
        <cdr:cNvPr id="7" name="Text Box 6"/>
        <cdr:cNvSpPr txBox="1"/>
      </cdr:nvSpPr>
      <cdr:spPr>
        <a:xfrm xmlns:a="http://schemas.openxmlformats.org/drawingml/2006/main">
          <a:off x="1530350" y="1219200"/>
          <a:ext cx="400050" cy="152400"/>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wrap="square" rtlCol="0"/>
        <a:lstStyle xmlns:a="http://schemas.openxmlformats.org/drawingml/2006/main"/>
        <a:p xmlns:a="http://schemas.openxmlformats.org/drawingml/2006/main">
          <a:r>
            <a:rPr lang="mn-MN" sz="500"/>
            <a:t>гүүр</a:t>
          </a:r>
          <a:endParaRPr lang="en-US" sz="500"/>
        </a:p>
      </cdr:txBody>
    </cdr:sp>
  </cdr:relSizeAnchor>
  <cdr:relSizeAnchor xmlns:cdr="http://schemas.openxmlformats.org/drawingml/2006/chartDrawing">
    <cdr:from>
      <cdr:x>0.65114</cdr:x>
      <cdr:y>0.82479</cdr:y>
    </cdr:from>
    <cdr:to>
      <cdr:x>0.83226</cdr:x>
      <cdr:y>0.96154</cdr:y>
    </cdr:to>
    <cdr:sp macro="" textlink="">
      <cdr:nvSpPr>
        <cdr:cNvPr id="8" name="Text Box 7"/>
        <cdr:cNvSpPr txBox="1"/>
      </cdr:nvSpPr>
      <cdr:spPr>
        <a:xfrm xmlns:a="http://schemas.openxmlformats.org/drawingml/2006/main">
          <a:off x="1917700" y="1225550"/>
          <a:ext cx="533400" cy="203200"/>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wrap="square" rtlCol="0"/>
        <a:lstStyle xmlns:a="http://schemas.openxmlformats.org/drawingml/2006/main"/>
        <a:p xmlns:a="http://schemas.openxmlformats.org/drawingml/2006/main">
          <a:r>
            <a:rPr lang="mn-MN" sz="500"/>
            <a:t>кабел,</a:t>
          </a:r>
          <a:r>
            <a:rPr lang="mn-MN" sz="500" baseline="0"/>
            <a:t> суваг</a:t>
          </a:r>
          <a:endParaRPr lang="en-US" sz="500"/>
        </a:p>
      </cdr:txBody>
    </cdr:sp>
  </cdr:relSizeAnchor>
  <cdr:relSizeAnchor xmlns:cdr="http://schemas.openxmlformats.org/drawingml/2006/chartDrawing">
    <cdr:from>
      <cdr:x>0.84045</cdr:x>
      <cdr:y>0.82051</cdr:y>
    </cdr:from>
    <cdr:to>
      <cdr:x>1</cdr:x>
      <cdr:y>0.97009</cdr:y>
    </cdr:to>
    <cdr:sp macro="" textlink="">
      <cdr:nvSpPr>
        <cdr:cNvPr id="9" name="Text Box 8"/>
        <cdr:cNvSpPr txBox="1"/>
      </cdr:nvSpPr>
      <cdr:spPr>
        <a:xfrm xmlns:a="http://schemas.openxmlformats.org/drawingml/2006/main">
          <a:off x="2476500" y="1219200"/>
          <a:ext cx="469900" cy="2222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0.83614</cdr:x>
      <cdr:y>0.82906</cdr:y>
    </cdr:from>
    <cdr:to>
      <cdr:x>1</cdr:x>
      <cdr:y>0.97009</cdr:y>
    </cdr:to>
    <cdr:sp macro="" textlink="">
      <cdr:nvSpPr>
        <cdr:cNvPr id="10" name="Text Box 9"/>
        <cdr:cNvSpPr txBox="1"/>
      </cdr:nvSpPr>
      <cdr:spPr>
        <a:xfrm xmlns:a="http://schemas.openxmlformats.org/drawingml/2006/main">
          <a:off x="2463800" y="1231900"/>
          <a:ext cx="482600" cy="209550"/>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wrap="square" rtlCol="0"/>
        <a:lstStyle xmlns:a="http://schemas.openxmlformats.org/drawingml/2006/main"/>
        <a:p xmlns:a="http://schemas.openxmlformats.org/drawingml/2006/main">
          <a:r>
            <a:rPr lang="mn-MN" sz="500"/>
            <a:t>засвар</a:t>
          </a:r>
          <a:endParaRPr lang="en-US" sz="500"/>
        </a:p>
      </cdr:txBody>
    </cdr:sp>
  </cdr:relSizeAnchor>
</c:userShapes>
</file>

<file path=word/drawings/drawing30.xml><?xml version="1.0" encoding="utf-8"?>
<c:userShapes xmlns:c="http://schemas.openxmlformats.org/drawingml/2006/chart">
  <cdr:relSizeAnchor xmlns:cdr="http://schemas.openxmlformats.org/drawingml/2006/chartDrawing">
    <cdr:from>
      <cdr:x>0</cdr:x>
      <cdr:y>0.06776</cdr:y>
    </cdr:from>
    <cdr:to>
      <cdr:x>0.11539</cdr:x>
      <cdr:y>0.21259</cdr:y>
    </cdr:to>
    <cdr:sp macro="" textlink="">
      <cdr:nvSpPr>
        <cdr:cNvPr id="3" name="TextBox 2"/>
        <cdr:cNvSpPr txBox="1"/>
      </cdr:nvSpPr>
      <cdr:spPr>
        <a:xfrm xmlns:a="http://schemas.openxmlformats.org/drawingml/2006/main">
          <a:off x="-4097215" y="107825"/>
          <a:ext cx="326649" cy="23047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800"/>
            <a:t>(%)</a:t>
          </a:r>
        </a:p>
      </cdr:txBody>
    </cdr:sp>
  </cdr:relSizeAnchor>
  <cdr:relSizeAnchor xmlns:cdr="http://schemas.openxmlformats.org/drawingml/2006/chartDrawing">
    <cdr:from>
      <cdr:x>0.78845</cdr:x>
      <cdr:y>0.03578</cdr:y>
    </cdr:from>
    <cdr:to>
      <cdr:x>1</cdr:x>
      <cdr:y>0.16576</cdr:y>
    </cdr:to>
    <cdr:sp macro="" textlink="">
      <cdr:nvSpPr>
        <cdr:cNvPr id="2" name="Text Box 1"/>
        <cdr:cNvSpPr txBox="1"/>
      </cdr:nvSpPr>
      <cdr:spPr>
        <a:xfrm xmlns:a="http://schemas.openxmlformats.org/drawingml/2006/main">
          <a:off x="2231968" y="56941"/>
          <a:ext cx="598862" cy="20682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700"/>
            <a:t>(MNT bn)</a:t>
          </a:r>
        </a:p>
      </cdr:txBody>
    </cdr:sp>
  </cdr:relSizeAnchor>
</c:userShapes>
</file>

<file path=word/drawings/drawing31.xml><?xml version="1.0" encoding="utf-8"?>
<c:userShapes xmlns:c="http://schemas.openxmlformats.org/drawingml/2006/chart">
  <cdr:relSizeAnchor xmlns:cdr="http://schemas.openxmlformats.org/drawingml/2006/chartDrawing">
    <cdr:from>
      <cdr:x>0.25319</cdr:x>
      <cdr:y>0.05051</cdr:y>
    </cdr:from>
    <cdr:to>
      <cdr:x>0.43617</cdr:x>
      <cdr:y>0.12458</cdr:y>
    </cdr:to>
    <cdr:sp macro="" textlink="">
      <cdr:nvSpPr>
        <cdr:cNvPr id="2" name="Text Box 1"/>
        <cdr:cNvSpPr txBox="1"/>
      </cdr:nvSpPr>
      <cdr:spPr>
        <a:xfrm xmlns:a="http://schemas.openxmlformats.org/drawingml/2006/main">
          <a:off x="755650" y="95250"/>
          <a:ext cx="546100" cy="1397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экспорт</a:t>
          </a:r>
          <a:endParaRPr lang="en-US" sz="500"/>
        </a:p>
      </cdr:txBody>
    </cdr:sp>
  </cdr:relSizeAnchor>
  <cdr:relSizeAnchor xmlns:cdr="http://schemas.openxmlformats.org/drawingml/2006/chartDrawing">
    <cdr:from>
      <cdr:x>0.25106</cdr:x>
      <cdr:y>0.13131</cdr:y>
    </cdr:from>
    <cdr:to>
      <cdr:x>0.43191</cdr:x>
      <cdr:y>0.19865</cdr:y>
    </cdr:to>
    <cdr:sp macro="" textlink="">
      <cdr:nvSpPr>
        <cdr:cNvPr id="3" name="Text Box 2"/>
        <cdr:cNvSpPr txBox="1"/>
      </cdr:nvSpPr>
      <cdr:spPr>
        <a:xfrm xmlns:a="http://schemas.openxmlformats.org/drawingml/2006/main">
          <a:off x="749300" y="247650"/>
          <a:ext cx="539750" cy="1270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импорт</a:t>
          </a:r>
          <a:endParaRPr lang="en-US" sz="500"/>
        </a:p>
      </cdr:txBody>
    </cdr:sp>
  </cdr:relSizeAnchor>
  <cdr:relSizeAnchor xmlns:cdr="http://schemas.openxmlformats.org/drawingml/2006/chartDrawing">
    <cdr:from>
      <cdr:x>0.25106</cdr:x>
      <cdr:y>0.19529</cdr:y>
    </cdr:from>
    <cdr:to>
      <cdr:x>0.41064</cdr:x>
      <cdr:y>0.26936</cdr:y>
    </cdr:to>
    <cdr:sp macro="" textlink="">
      <cdr:nvSpPr>
        <cdr:cNvPr id="4" name="Text Box 3"/>
        <cdr:cNvSpPr txBox="1"/>
      </cdr:nvSpPr>
      <cdr:spPr>
        <a:xfrm xmlns:a="http://schemas.openxmlformats.org/drawingml/2006/main">
          <a:off x="749300" y="368300"/>
          <a:ext cx="476250" cy="1397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тэнцэл</a:t>
          </a:r>
          <a:endParaRPr lang="en-US" sz="500"/>
        </a:p>
      </cdr:txBody>
    </cdr:sp>
  </cdr:relSizeAnchor>
</c:userShapes>
</file>

<file path=word/drawings/drawing32.xml><?xml version="1.0" encoding="utf-8"?>
<c:userShapes xmlns:c="http://schemas.openxmlformats.org/drawingml/2006/chart">
  <cdr:relSizeAnchor xmlns:cdr="http://schemas.openxmlformats.org/drawingml/2006/chartDrawing">
    <cdr:from>
      <cdr:x>0.32059</cdr:x>
      <cdr:y>0</cdr:y>
    </cdr:from>
    <cdr:to>
      <cdr:x>0.58599</cdr:x>
      <cdr:y>0.1</cdr:y>
    </cdr:to>
    <cdr:sp macro="" textlink="">
      <cdr:nvSpPr>
        <cdr:cNvPr id="2" name="Text Box 1"/>
        <cdr:cNvSpPr txBox="1"/>
      </cdr:nvSpPr>
      <cdr:spPr>
        <a:xfrm xmlns:a="http://schemas.openxmlformats.org/drawingml/2006/main">
          <a:off x="958850" y="0"/>
          <a:ext cx="793750" cy="18415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600"/>
            <a:t>нүүрсний хэмжээ</a:t>
          </a:r>
          <a:endParaRPr lang="en-US" sz="600"/>
        </a:p>
      </cdr:txBody>
    </cdr:sp>
  </cdr:relSizeAnchor>
  <cdr:relSizeAnchor xmlns:cdr="http://schemas.openxmlformats.org/drawingml/2006/chartDrawing">
    <cdr:from>
      <cdr:x>0.31635</cdr:x>
      <cdr:y>0.10345</cdr:y>
    </cdr:from>
    <cdr:to>
      <cdr:x>0.58174</cdr:x>
      <cdr:y>0.18966</cdr:y>
    </cdr:to>
    <cdr:sp macro="" textlink="">
      <cdr:nvSpPr>
        <cdr:cNvPr id="3" name="Text Box 2"/>
        <cdr:cNvSpPr txBox="1"/>
      </cdr:nvSpPr>
      <cdr:spPr>
        <a:xfrm xmlns:a="http://schemas.openxmlformats.org/drawingml/2006/main">
          <a:off x="946150" y="190500"/>
          <a:ext cx="793750" cy="15875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нүүрсний нэгжийн үнэ</a:t>
          </a:r>
          <a:endParaRPr lang="en-US" sz="500"/>
        </a:p>
      </cdr:txBody>
    </cdr:sp>
  </cdr:relSizeAnchor>
</c:userShapes>
</file>

<file path=word/drawings/drawing33.xml><?xml version="1.0" encoding="utf-8"?>
<c:userShapes xmlns:c="http://schemas.openxmlformats.org/drawingml/2006/chart">
  <cdr:relSizeAnchor xmlns:cdr="http://schemas.openxmlformats.org/drawingml/2006/chartDrawing">
    <cdr:from>
      <cdr:x>0.3048</cdr:x>
      <cdr:y>0.07143</cdr:y>
    </cdr:from>
    <cdr:to>
      <cdr:x>0.67015</cdr:x>
      <cdr:y>0.17293</cdr:y>
    </cdr:to>
    <cdr:sp macro="" textlink="">
      <cdr:nvSpPr>
        <cdr:cNvPr id="2" name="Text Box 1"/>
        <cdr:cNvSpPr txBox="1"/>
      </cdr:nvSpPr>
      <cdr:spPr>
        <a:xfrm xmlns:a="http://schemas.openxmlformats.org/drawingml/2006/main">
          <a:off x="927100" y="120650"/>
          <a:ext cx="1111250" cy="17145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зэсийн баяжмалын хэмжээ</a:t>
          </a:r>
          <a:endParaRPr lang="en-US" sz="500"/>
        </a:p>
      </cdr:txBody>
    </cdr:sp>
  </cdr:relSizeAnchor>
  <cdr:relSizeAnchor xmlns:cdr="http://schemas.openxmlformats.org/drawingml/2006/chartDrawing">
    <cdr:from>
      <cdr:x>0.30063</cdr:x>
      <cdr:y>0.18045</cdr:y>
    </cdr:from>
    <cdr:to>
      <cdr:x>0.67641</cdr:x>
      <cdr:y>0.32707</cdr:y>
    </cdr:to>
    <cdr:sp macro="" textlink="">
      <cdr:nvSpPr>
        <cdr:cNvPr id="3" name="Text Box 2"/>
        <cdr:cNvSpPr txBox="1"/>
      </cdr:nvSpPr>
      <cdr:spPr>
        <a:xfrm xmlns:a="http://schemas.openxmlformats.org/drawingml/2006/main">
          <a:off x="914400" y="304800"/>
          <a:ext cx="1143000" cy="24765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зэсийн экспортын нэгжийн үнэ</a:t>
          </a:r>
          <a:endParaRPr lang="en-US" sz="500"/>
        </a:p>
      </cdr:txBody>
    </cdr:sp>
  </cdr:relSizeAnchor>
</c:userShapes>
</file>

<file path=word/drawings/drawing34.xml><?xml version="1.0" encoding="utf-8"?>
<c:userShapes xmlns:c="http://schemas.openxmlformats.org/drawingml/2006/chart">
  <cdr:relSizeAnchor xmlns:cdr="http://schemas.openxmlformats.org/drawingml/2006/chartDrawing">
    <cdr:from>
      <cdr:x>0.25238</cdr:x>
      <cdr:y>0.44571</cdr:y>
    </cdr:from>
    <cdr:to>
      <cdr:x>0.5881</cdr:x>
      <cdr:y>0.52269</cdr:y>
    </cdr:to>
    <cdr:sp macro="" textlink="">
      <cdr:nvSpPr>
        <cdr:cNvPr id="2" name="Text Box 1"/>
        <cdr:cNvSpPr txBox="1"/>
      </cdr:nvSpPr>
      <cdr:spPr>
        <a:xfrm xmlns:a="http://schemas.openxmlformats.org/drawingml/2006/main">
          <a:off x="673100" y="698500"/>
          <a:ext cx="895350" cy="12065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400"/>
            <a:t>барааны</a:t>
          </a:r>
          <a:r>
            <a:rPr lang="mn-MN" sz="400" baseline="0"/>
            <a:t> худалдааны тэнцэл</a:t>
          </a:r>
          <a:endParaRPr lang="en-US" sz="400"/>
        </a:p>
      </cdr:txBody>
    </cdr:sp>
  </cdr:relSizeAnchor>
  <cdr:relSizeAnchor xmlns:cdr="http://schemas.openxmlformats.org/drawingml/2006/chartDrawing">
    <cdr:from>
      <cdr:x>0.25</cdr:x>
      <cdr:y>0.52674</cdr:y>
    </cdr:from>
    <cdr:to>
      <cdr:x>0.5381</cdr:x>
      <cdr:y>0.59968</cdr:y>
    </cdr:to>
    <cdr:sp macro="" textlink="">
      <cdr:nvSpPr>
        <cdr:cNvPr id="3" name="Text Box 2"/>
        <cdr:cNvSpPr txBox="1"/>
      </cdr:nvSpPr>
      <cdr:spPr>
        <a:xfrm xmlns:a="http://schemas.openxmlformats.org/drawingml/2006/main">
          <a:off x="666750" y="825500"/>
          <a:ext cx="768350" cy="1143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400"/>
            <a:t>үйлчилгээний </a:t>
          </a:r>
          <a:r>
            <a:rPr lang="mn-MN" sz="500"/>
            <a:t>тэнцэл</a:t>
          </a:r>
          <a:endParaRPr lang="en-US" sz="500"/>
        </a:p>
      </cdr:txBody>
    </cdr:sp>
  </cdr:relSizeAnchor>
  <cdr:relSizeAnchor xmlns:cdr="http://schemas.openxmlformats.org/drawingml/2006/chartDrawing">
    <cdr:from>
      <cdr:x>0.24286</cdr:x>
      <cdr:y>0.59968</cdr:y>
    </cdr:from>
    <cdr:to>
      <cdr:x>0.53095</cdr:x>
      <cdr:y>0.66451</cdr:y>
    </cdr:to>
    <cdr:sp macro="" textlink="">
      <cdr:nvSpPr>
        <cdr:cNvPr id="4" name="Text Box 3"/>
        <cdr:cNvSpPr txBox="1"/>
      </cdr:nvSpPr>
      <cdr:spPr>
        <a:xfrm xmlns:a="http://schemas.openxmlformats.org/drawingml/2006/main">
          <a:off x="647700" y="939800"/>
          <a:ext cx="768350" cy="1016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400"/>
            <a:t>цэвэр орлого</a:t>
          </a:r>
          <a:endParaRPr lang="en-US" sz="400"/>
        </a:p>
      </cdr:txBody>
    </cdr:sp>
  </cdr:relSizeAnchor>
  <cdr:relSizeAnchor xmlns:cdr="http://schemas.openxmlformats.org/drawingml/2006/chartDrawing">
    <cdr:from>
      <cdr:x>0.24524</cdr:x>
      <cdr:y>0.66451</cdr:y>
    </cdr:from>
    <cdr:to>
      <cdr:x>0.53333</cdr:x>
      <cdr:y>0.73744</cdr:y>
    </cdr:to>
    <cdr:sp macro="" textlink="">
      <cdr:nvSpPr>
        <cdr:cNvPr id="5" name="Text Box 4"/>
        <cdr:cNvSpPr txBox="1"/>
      </cdr:nvSpPr>
      <cdr:spPr>
        <a:xfrm xmlns:a="http://schemas.openxmlformats.org/drawingml/2006/main">
          <a:off x="654050" y="1041400"/>
          <a:ext cx="768350" cy="1143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400"/>
            <a:t>урсгал шилжүүлэг</a:t>
          </a:r>
          <a:endParaRPr lang="en-US" sz="400"/>
        </a:p>
      </cdr:txBody>
    </cdr:sp>
  </cdr:relSizeAnchor>
  <cdr:relSizeAnchor xmlns:cdr="http://schemas.openxmlformats.org/drawingml/2006/chartDrawing">
    <cdr:from>
      <cdr:x>0.24762</cdr:x>
      <cdr:y>0.74149</cdr:y>
    </cdr:from>
    <cdr:to>
      <cdr:x>0.53333</cdr:x>
      <cdr:y>0.80632</cdr:y>
    </cdr:to>
    <cdr:sp macro="" textlink="">
      <cdr:nvSpPr>
        <cdr:cNvPr id="6" name="Text Box 5"/>
        <cdr:cNvSpPr txBox="1"/>
      </cdr:nvSpPr>
      <cdr:spPr>
        <a:xfrm xmlns:a="http://schemas.openxmlformats.org/drawingml/2006/main">
          <a:off x="660400" y="1162050"/>
          <a:ext cx="762000" cy="1016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400"/>
            <a:t>урсгал дансны</a:t>
          </a:r>
          <a:r>
            <a:rPr lang="mn-MN" sz="400" baseline="0"/>
            <a:t> тэнцэл</a:t>
          </a:r>
          <a:endParaRPr lang="en-US" sz="400"/>
        </a:p>
      </cdr:txBody>
    </cdr:sp>
  </cdr:relSizeAnchor>
</c:userShapes>
</file>

<file path=word/drawings/drawing35.xml><?xml version="1.0" encoding="utf-8"?>
<c:userShapes xmlns:c="http://schemas.openxmlformats.org/drawingml/2006/chart">
  <cdr:relSizeAnchor xmlns:cdr="http://schemas.openxmlformats.org/drawingml/2006/chartDrawing">
    <cdr:from>
      <cdr:x>0.22588</cdr:x>
      <cdr:y>0.03623</cdr:y>
    </cdr:from>
    <cdr:to>
      <cdr:x>0.5636</cdr:x>
      <cdr:y>0.1558</cdr:y>
    </cdr:to>
    <cdr:sp macro="" textlink="">
      <cdr:nvSpPr>
        <cdr:cNvPr id="2" name="Text Box 1"/>
        <cdr:cNvSpPr txBox="1"/>
      </cdr:nvSpPr>
      <cdr:spPr>
        <a:xfrm xmlns:a="http://schemas.openxmlformats.org/drawingml/2006/main">
          <a:off x="654050" y="63500"/>
          <a:ext cx="977900" cy="20955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цэвэр ГШХО </a:t>
          </a:r>
          <a:r>
            <a:rPr lang="en-US" sz="500"/>
            <a:t>(</a:t>
          </a:r>
          <a:r>
            <a:rPr lang="mn-MN" sz="500"/>
            <a:t>зүүн</a:t>
          </a:r>
          <a:r>
            <a:rPr lang="mn-MN" sz="500" baseline="0"/>
            <a:t> тал</a:t>
          </a:r>
          <a:r>
            <a:rPr lang="en-US" sz="500"/>
            <a:t>)</a:t>
          </a:r>
        </a:p>
      </cdr:txBody>
    </cdr:sp>
  </cdr:relSizeAnchor>
  <cdr:relSizeAnchor xmlns:cdr="http://schemas.openxmlformats.org/drawingml/2006/chartDrawing">
    <cdr:from>
      <cdr:x>0.22368</cdr:x>
      <cdr:y>0.15217</cdr:y>
    </cdr:from>
    <cdr:to>
      <cdr:x>0.57237</cdr:x>
      <cdr:y>0.28623</cdr:y>
    </cdr:to>
    <cdr:sp macro="" textlink="">
      <cdr:nvSpPr>
        <cdr:cNvPr id="3" name="Text Box 2"/>
        <cdr:cNvSpPr txBox="1"/>
      </cdr:nvSpPr>
      <cdr:spPr>
        <a:xfrm xmlns:a="http://schemas.openxmlformats.org/drawingml/2006/main">
          <a:off x="647700" y="266700"/>
          <a:ext cx="1009650" cy="23495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цэвэр багцын</a:t>
          </a:r>
          <a:r>
            <a:rPr lang="mn-MN" sz="500" baseline="0"/>
            <a:t> хө ор</a:t>
          </a:r>
          <a:r>
            <a:rPr lang="en-US" sz="500" baseline="0"/>
            <a:t>(</a:t>
          </a:r>
          <a:r>
            <a:rPr lang="mn-MN" sz="500" baseline="0"/>
            <a:t>зүүн тал</a:t>
          </a:r>
          <a:r>
            <a:rPr lang="en-US" sz="500" baseline="0"/>
            <a:t>)</a:t>
          </a:r>
          <a:endParaRPr lang="en-US" sz="500"/>
        </a:p>
      </cdr:txBody>
    </cdr:sp>
  </cdr:relSizeAnchor>
  <cdr:relSizeAnchor xmlns:cdr="http://schemas.openxmlformats.org/drawingml/2006/chartDrawing">
    <cdr:from>
      <cdr:x>0.22368</cdr:x>
      <cdr:y>0.28623</cdr:y>
    </cdr:from>
    <cdr:to>
      <cdr:x>0.54167</cdr:x>
      <cdr:y>0.40942</cdr:y>
    </cdr:to>
    <cdr:sp macro="" textlink="">
      <cdr:nvSpPr>
        <cdr:cNvPr id="4" name="Text Box 3"/>
        <cdr:cNvSpPr txBox="1"/>
      </cdr:nvSpPr>
      <cdr:spPr>
        <a:xfrm xmlns:a="http://schemas.openxmlformats.org/drawingml/2006/main">
          <a:off x="647700" y="501650"/>
          <a:ext cx="920750" cy="2159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хөрөнгийн тэнцэл</a:t>
          </a:r>
          <a:endParaRPr lang="en-US" sz="500"/>
        </a:p>
      </cdr:txBody>
    </cdr:sp>
  </cdr:relSizeAnchor>
</c:userShapes>
</file>

<file path=word/drawings/drawing36.xml><?xml version="1.0" encoding="utf-8"?>
<c:userShapes xmlns:c="http://schemas.openxmlformats.org/drawingml/2006/chart">
  <cdr:relSizeAnchor xmlns:cdr="http://schemas.openxmlformats.org/drawingml/2006/chartDrawing">
    <cdr:from>
      <cdr:x>0.29238</cdr:x>
      <cdr:y>0.07333</cdr:y>
    </cdr:from>
    <cdr:to>
      <cdr:x>0.66585</cdr:x>
      <cdr:y>0.18</cdr:y>
    </cdr:to>
    <cdr:sp macro="" textlink="">
      <cdr:nvSpPr>
        <cdr:cNvPr id="2" name="Text Box 1"/>
        <cdr:cNvSpPr txBox="1"/>
      </cdr:nvSpPr>
      <cdr:spPr>
        <a:xfrm xmlns:a="http://schemas.openxmlformats.org/drawingml/2006/main">
          <a:off x="755650" y="139700"/>
          <a:ext cx="965200" cy="2032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валютын нийт нөөц,</a:t>
          </a:r>
          <a:r>
            <a:rPr lang="mn-MN" sz="500" baseline="0"/>
            <a:t> сая ам.доллар, зүүн тал</a:t>
          </a:r>
          <a:endParaRPr lang="en-US" sz="500"/>
        </a:p>
      </cdr:txBody>
    </cdr:sp>
  </cdr:relSizeAnchor>
  <cdr:relSizeAnchor xmlns:cdr="http://schemas.openxmlformats.org/drawingml/2006/chartDrawing">
    <cdr:from>
      <cdr:x>0.29484</cdr:x>
      <cdr:y>0.2</cdr:y>
    </cdr:from>
    <cdr:to>
      <cdr:x>0.63882</cdr:x>
      <cdr:y>0.33333</cdr:y>
    </cdr:to>
    <cdr:sp macro="" textlink="">
      <cdr:nvSpPr>
        <cdr:cNvPr id="3" name="Text Box 2"/>
        <cdr:cNvSpPr txBox="1"/>
      </cdr:nvSpPr>
      <cdr:spPr>
        <a:xfrm xmlns:a="http://schemas.openxmlformats.org/drawingml/2006/main">
          <a:off x="762000" y="381000"/>
          <a:ext cx="889000" cy="2540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валютын ханш</a:t>
          </a:r>
          <a:endParaRPr lang="en-US" sz="500"/>
        </a:p>
      </cdr:txBody>
    </cdr:sp>
  </cdr:relSizeAnchor>
</c:userShapes>
</file>

<file path=word/drawings/drawing37.xml><?xml version="1.0" encoding="utf-8"?>
<c:userShapes xmlns:c="http://schemas.openxmlformats.org/drawingml/2006/chart">
  <cdr:relSizeAnchor xmlns:cdr="http://schemas.openxmlformats.org/drawingml/2006/chartDrawing">
    <cdr:from>
      <cdr:x>0.66325</cdr:x>
      <cdr:y>0.19567</cdr:y>
    </cdr:from>
    <cdr:to>
      <cdr:x>0.99933</cdr:x>
      <cdr:y>0.32145</cdr:y>
    </cdr:to>
    <cdr:sp macro="" textlink="">
      <cdr:nvSpPr>
        <cdr:cNvPr id="2" name="Text Box 1"/>
        <cdr:cNvSpPr txBox="1"/>
      </cdr:nvSpPr>
      <cdr:spPr>
        <a:xfrm xmlns:a="http://schemas.openxmlformats.org/drawingml/2006/main">
          <a:off x="1892300" y="355600"/>
          <a:ext cx="958850" cy="2286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МУ дахь ГШХО</a:t>
          </a:r>
          <a:endParaRPr lang="en-US" sz="500"/>
        </a:p>
      </cdr:txBody>
    </cdr:sp>
  </cdr:relSizeAnchor>
  <cdr:relSizeAnchor xmlns:cdr="http://schemas.openxmlformats.org/drawingml/2006/chartDrawing">
    <cdr:from>
      <cdr:x>0.66548</cdr:x>
      <cdr:y>0.31447</cdr:y>
    </cdr:from>
    <cdr:to>
      <cdr:x>0.99933</cdr:x>
      <cdr:y>0.41929</cdr:y>
    </cdr:to>
    <cdr:sp macro="" textlink="">
      <cdr:nvSpPr>
        <cdr:cNvPr id="3" name="Text Box 2"/>
        <cdr:cNvSpPr txBox="1"/>
      </cdr:nvSpPr>
      <cdr:spPr>
        <a:xfrm xmlns:a="http://schemas.openxmlformats.org/drawingml/2006/main">
          <a:off x="1898650" y="571500"/>
          <a:ext cx="952500" cy="1905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багцын ХО</a:t>
          </a:r>
          <a:endParaRPr lang="en-US" sz="500"/>
        </a:p>
      </cdr:txBody>
    </cdr:sp>
  </cdr:relSizeAnchor>
  <cdr:relSizeAnchor xmlns:cdr="http://schemas.openxmlformats.org/drawingml/2006/chartDrawing">
    <cdr:from>
      <cdr:x>0.66993</cdr:x>
      <cdr:y>0.42278</cdr:y>
    </cdr:from>
    <cdr:to>
      <cdr:x>0.99933</cdr:x>
      <cdr:y>0.53459</cdr:y>
    </cdr:to>
    <cdr:sp macro="" textlink="">
      <cdr:nvSpPr>
        <cdr:cNvPr id="4" name="Text Box 3"/>
        <cdr:cNvSpPr txBox="1"/>
      </cdr:nvSpPr>
      <cdr:spPr>
        <a:xfrm xmlns:a="http://schemas.openxmlformats.org/drawingml/2006/main">
          <a:off x="1911350" y="768350"/>
          <a:ext cx="939800" cy="2032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0.67438</cdr:x>
      <cdr:y>0.42628</cdr:y>
    </cdr:from>
    <cdr:to>
      <cdr:x>0.9882</cdr:x>
      <cdr:y>0.51013</cdr:y>
    </cdr:to>
    <cdr:sp macro="" textlink="">
      <cdr:nvSpPr>
        <cdr:cNvPr id="5" name="Text Box 4"/>
        <cdr:cNvSpPr txBox="1"/>
      </cdr:nvSpPr>
      <cdr:spPr>
        <a:xfrm xmlns:a="http://schemas.openxmlformats.org/drawingml/2006/main">
          <a:off x="1924050" y="774700"/>
          <a:ext cx="895350" cy="1524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худалдааны зээл</a:t>
          </a:r>
          <a:endParaRPr lang="en-US" sz="500"/>
        </a:p>
      </cdr:txBody>
    </cdr:sp>
  </cdr:relSizeAnchor>
  <cdr:relSizeAnchor xmlns:cdr="http://schemas.openxmlformats.org/drawingml/2006/chartDrawing">
    <cdr:from>
      <cdr:x>0.66993</cdr:x>
      <cdr:y>0.51363</cdr:y>
    </cdr:from>
    <cdr:to>
      <cdr:x>0.92143</cdr:x>
      <cdr:y>0.61495</cdr:y>
    </cdr:to>
    <cdr:sp macro="" textlink="">
      <cdr:nvSpPr>
        <cdr:cNvPr id="6" name="Text Box 5"/>
        <cdr:cNvSpPr txBox="1"/>
      </cdr:nvSpPr>
      <cdr:spPr>
        <a:xfrm xmlns:a="http://schemas.openxmlformats.org/drawingml/2006/main">
          <a:off x="1911350" y="933450"/>
          <a:ext cx="717550" cy="18415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зээл</a:t>
          </a:r>
          <a:endParaRPr lang="en-US" sz="500"/>
        </a:p>
      </cdr:txBody>
    </cdr:sp>
  </cdr:relSizeAnchor>
  <cdr:relSizeAnchor xmlns:cdr="http://schemas.openxmlformats.org/drawingml/2006/chartDrawing">
    <cdr:from>
      <cdr:x>0.67438</cdr:x>
      <cdr:y>0.61845</cdr:y>
    </cdr:from>
    <cdr:to>
      <cdr:x>0.9793</cdr:x>
      <cdr:y>0.75122</cdr:y>
    </cdr:to>
    <cdr:sp macro="" textlink="">
      <cdr:nvSpPr>
        <cdr:cNvPr id="7" name="Text Box 6"/>
        <cdr:cNvSpPr txBox="1"/>
      </cdr:nvSpPr>
      <cdr:spPr>
        <a:xfrm xmlns:a="http://schemas.openxmlformats.org/drawingml/2006/main">
          <a:off x="1924050" y="1123950"/>
          <a:ext cx="869950" cy="2413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данс болон хадгаламж</a:t>
          </a:r>
          <a:endParaRPr lang="en-US" sz="500"/>
        </a:p>
      </cdr:txBody>
    </cdr:sp>
  </cdr:relSizeAnchor>
  <cdr:relSizeAnchor xmlns:cdr="http://schemas.openxmlformats.org/drawingml/2006/chartDrawing">
    <cdr:from>
      <cdr:x>0.67661</cdr:x>
      <cdr:y>0.75472</cdr:y>
    </cdr:from>
    <cdr:to>
      <cdr:x>0.94814</cdr:x>
      <cdr:y>0.86653</cdr:y>
    </cdr:to>
    <cdr:sp macro="" textlink="">
      <cdr:nvSpPr>
        <cdr:cNvPr id="8" name="Text Box 7"/>
        <cdr:cNvSpPr txBox="1"/>
      </cdr:nvSpPr>
      <cdr:spPr>
        <a:xfrm xmlns:a="http://schemas.openxmlformats.org/drawingml/2006/main">
          <a:off x="1930400" y="1371600"/>
          <a:ext cx="774700" cy="2032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бусад өр төлбөр</a:t>
          </a:r>
          <a:endParaRPr lang="en-US" sz="500"/>
        </a:p>
      </cdr:txBody>
    </cdr:sp>
  </cdr:relSizeAnchor>
</c:userShapes>
</file>

<file path=word/drawings/drawing38.xml><?xml version="1.0" encoding="utf-8"?>
<c:userShapes xmlns:c="http://schemas.openxmlformats.org/drawingml/2006/chart">
  <cdr:relSizeAnchor xmlns:cdr="http://schemas.openxmlformats.org/drawingml/2006/chartDrawing">
    <cdr:from>
      <cdr:x>0.23434</cdr:x>
      <cdr:y>0.02056</cdr:y>
    </cdr:from>
    <cdr:to>
      <cdr:x>0.54943</cdr:x>
      <cdr:y>0.08225</cdr:y>
    </cdr:to>
    <cdr:sp macro="" textlink="">
      <cdr:nvSpPr>
        <cdr:cNvPr id="2" name="Text Box 1"/>
        <cdr:cNvSpPr txBox="1"/>
      </cdr:nvSpPr>
      <cdr:spPr>
        <a:xfrm xmlns:a="http://schemas.openxmlformats.org/drawingml/2006/main">
          <a:off x="755650" y="38100"/>
          <a:ext cx="1016000" cy="1143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10 жилийн Чингис</a:t>
          </a:r>
          <a:r>
            <a:rPr lang="mn-MN" sz="500" baseline="0"/>
            <a:t> бонд</a:t>
          </a:r>
          <a:endParaRPr lang="en-US" sz="500"/>
        </a:p>
      </cdr:txBody>
    </cdr:sp>
  </cdr:relSizeAnchor>
  <cdr:relSizeAnchor xmlns:cdr="http://schemas.openxmlformats.org/drawingml/2006/chartDrawing">
    <cdr:from>
      <cdr:x>0.23041</cdr:x>
      <cdr:y>0.08225</cdr:y>
    </cdr:from>
    <cdr:to>
      <cdr:x>0.5514</cdr:x>
      <cdr:y>0.15079</cdr:y>
    </cdr:to>
    <cdr:sp macro="" textlink="">
      <cdr:nvSpPr>
        <cdr:cNvPr id="3" name="Text Box 2"/>
        <cdr:cNvSpPr txBox="1"/>
      </cdr:nvSpPr>
      <cdr:spPr>
        <a:xfrm xmlns:a="http://schemas.openxmlformats.org/drawingml/2006/main">
          <a:off x="742950" y="152400"/>
          <a:ext cx="1035050" cy="1270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5</a:t>
          </a:r>
          <a:r>
            <a:rPr lang="mn-MN" sz="500" baseline="0"/>
            <a:t> жилийн Чингис бонд</a:t>
          </a:r>
          <a:endParaRPr lang="en-US" sz="500"/>
        </a:p>
      </cdr:txBody>
    </cdr:sp>
  </cdr:relSizeAnchor>
  <cdr:relSizeAnchor xmlns:cdr="http://schemas.openxmlformats.org/drawingml/2006/chartDrawing">
    <cdr:from>
      <cdr:x>0.23041</cdr:x>
      <cdr:y>0.15422</cdr:y>
    </cdr:from>
    <cdr:to>
      <cdr:x>0.5514</cdr:x>
      <cdr:y>0.22276</cdr:y>
    </cdr:to>
    <cdr:sp macro="" textlink="">
      <cdr:nvSpPr>
        <cdr:cNvPr id="4" name="Text Box 3"/>
        <cdr:cNvSpPr txBox="1"/>
      </cdr:nvSpPr>
      <cdr:spPr>
        <a:xfrm xmlns:a="http://schemas.openxmlformats.org/drawingml/2006/main">
          <a:off x="742950" y="285750"/>
          <a:ext cx="1035050" cy="1270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5 жилийн МУХБ бонд</a:t>
          </a:r>
          <a:endParaRPr lang="en-US" sz="500"/>
        </a:p>
      </cdr:txBody>
    </cdr:sp>
  </cdr:relSizeAnchor>
</c:userShapes>
</file>

<file path=word/drawings/drawing4.xml><?xml version="1.0" encoding="utf-8"?>
<c:userShapes xmlns:c="http://schemas.openxmlformats.org/drawingml/2006/chart">
  <cdr:relSizeAnchor xmlns:cdr="http://schemas.openxmlformats.org/drawingml/2006/chartDrawing">
    <cdr:from>
      <cdr:x>0.04565</cdr:x>
      <cdr:y>0.85474</cdr:y>
    </cdr:from>
    <cdr:to>
      <cdr:x>0.7431</cdr:x>
      <cdr:y>0.93272</cdr:y>
    </cdr:to>
    <cdr:sp macro="" textlink="">
      <cdr:nvSpPr>
        <cdr:cNvPr id="3" name="Text Box 1"/>
        <cdr:cNvSpPr txBox="1"/>
      </cdr:nvSpPr>
      <cdr:spPr>
        <a:xfrm xmlns:a="http://schemas.openxmlformats.org/drawingml/2006/main">
          <a:off x="136540" y="1774822"/>
          <a:ext cx="2085960" cy="161928"/>
        </a:xfrm>
        <a:prstGeom xmlns:a="http://schemas.openxmlformats.org/drawingml/2006/main" prst="rect">
          <a:avLst/>
        </a:prstGeom>
      </cdr:spPr>
    </cdr:sp>
  </cdr:relSizeAnchor>
  <cdr:relSizeAnchor xmlns:cdr="http://schemas.openxmlformats.org/drawingml/2006/chartDrawing">
    <cdr:from>
      <cdr:x>0.22158</cdr:x>
      <cdr:y>0.08497</cdr:y>
    </cdr:from>
    <cdr:to>
      <cdr:x>0.44981</cdr:x>
      <cdr:y>0.23529</cdr:y>
    </cdr:to>
    <cdr:sp macro="" textlink="">
      <cdr:nvSpPr>
        <cdr:cNvPr id="2" name="Text Box 1"/>
        <cdr:cNvSpPr txBox="1"/>
      </cdr:nvSpPr>
      <cdr:spPr>
        <a:xfrm xmlns:a="http://schemas.openxmlformats.org/drawingml/2006/main">
          <a:off x="635000" y="165100"/>
          <a:ext cx="654050" cy="292100"/>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wrap="square" rtlCol="0"/>
        <a:lstStyle xmlns:a="http://schemas.openxmlformats.org/drawingml/2006/main"/>
        <a:p xmlns:a="http://schemas.openxmlformats.org/drawingml/2006/main">
          <a:r>
            <a:rPr lang="mn-MN" sz="500"/>
            <a:t>уул уурхайн</a:t>
          </a:r>
          <a:r>
            <a:rPr lang="en-US" sz="500"/>
            <a:t> </a:t>
          </a:r>
          <a:r>
            <a:rPr lang="mn-MN" sz="500"/>
            <a:t>бус ДНБ өсөлт </a:t>
          </a:r>
          <a:r>
            <a:rPr lang="en-US" sz="500"/>
            <a:t>(%)</a:t>
          </a:r>
        </a:p>
      </cdr:txBody>
    </cdr:sp>
  </cdr:relSizeAnchor>
  <cdr:relSizeAnchor xmlns:cdr="http://schemas.openxmlformats.org/drawingml/2006/chartDrawing">
    <cdr:from>
      <cdr:x>0.2238</cdr:x>
      <cdr:y>0.24837</cdr:y>
    </cdr:from>
    <cdr:to>
      <cdr:x>0.42987</cdr:x>
      <cdr:y>0.35294</cdr:y>
    </cdr:to>
    <cdr:sp macro="" textlink="">
      <cdr:nvSpPr>
        <cdr:cNvPr id="4" name="Text Box 3"/>
        <cdr:cNvSpPr txBox="1"/>
      </cdr:nvSpPr>
      <cdr:spPr>
        <a:xfrm xmlns:a="http://schemas.openxmlformats.org/drawingml/2006/main">
          <a:off x="641350" y="482600"/>
          <a:ext cx="590550" cy="203200"/>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wrap="square" rtlCol="0"/>
        <a:lstStyle xmlns:a="http://schemas.openxmlformats.org/drawingml/2006/main"/>
        <a:p xmlns:a="http://schemas.openxmlformats.org/drawingml/2006/main">
          <a:r>
            <a:rPr lang="mn-MN" sz="500"/>
            <a:t>уул уурхайн ДНБ өсөлт </a:t>
          </a:r>
          <a:r>
            <a:rPr lang="en-US" sz="500"/>
            <a:t>(%)</a:t>
          </a:r>
        </a:p>
      </cdr:txBody>
    </cdr:sp>
  </cdr:relSizeAnchor>
</c:userShapes>
</file>

<file path=word/drawings/drawing5.xml><?xml version="1.0" encoding="utf-8"?>
<c:userShapes xmlns:c="http://schemas.openxmlformats.org/drawingml/2006/chart">
  <cdr:relSizeAnchor xmlns:cdr="http://schemas.openxmlformats.org/drawingml/2006/chartDrawing">
    <cdr:from>
      <cdr:x>0.21373</cdr:x>
      <cdr:y>0.03843</cdr:y>
    </cdr:from>
    <cdr:to>
      <cdr:x>0.50289</cdr:x>
      <cdr:y>0.1153</cdr:y>
    </cdr:to>
    <cdr:sp macro="" textlink="">
      <cdr:nvSpPr>
        <cdr:cNvPr id="2" name="Text Box 1"/>
        <cdr:cNvSpPr txBox="1"/>
      </cdr:nvSpPr>
      <cdr:spPr>
        <a:xfrm xmlns:a="http://schemas.openxmlformats.org/drawingml/2006/main">
          <a:off x="539750" y="69850"/>
          <a:ext cx="730250" cy="139700"/>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wrap="square" rtlCol="0"/>
        <a:lstStyle xmlns:a="http://schemas.openxmlformats.org/drawingml/2006/main"/>
        <a:p xmlns:a="http://schemas.openxmlformats.org/drawingml/2006/main">
          <a:r>
            <a:rPr lang="mn-MN" sz="600"/>
            <a:t>эцсийн</a:t>
          </a:r>
          <a:r>
            <a:rPr lang="mn-MN" sz="600" baseline="0"/>
            <a:t> хэрэглээ</a:t>
          </a:r>
          <a:endParaRPr lang="en-US" sz="600"/>
        </a:p>
      </cdr:txBody>
    </cdr:sp>
  </cdr:relSizeAnchor>
  <cdr:relSizeAnchor xmlns:cdr="http://schemas.openxmlformats.org/drawingml/2006/chartDrawing">
    <cdr:from>
      <cdr:x>0.21624</cdr:x>
      <cdr:y>0.11181</cdr:y>
    </cdr:from>
    <cdr:to>
      <cdr:x>0.5557</cdr:x>
      <cdr:y>0.20266</cdr:y>
    </cdr:to>
    <cdr:sp macro="" textlink="">
      <cdr:nvSpPr>
        <cdr:cNvPr id="3" name="Text Box 2"/>
        <cdr:cNvSpPr txBox="1"/>
      </cdr:nvSpPr>
      <cdr:spPr>
        <a:xfrm xmlns:a="http://schemas.openxmlformats.org/drawingml/2006/main">
          <a:off x="546100" y="203200"/>
          <a:ext cx="857250" cy="165100"/>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wrap="square" rtlCol="0"/>
        <a:lstStyle xmlns:a="http://schemas.openxmlformats.org/drawingml/2006/main"/>
        <a:p xmlns:a="http://schemas.openxmlformats.org/drawingml/2006/main">
          <a:r>
            <a:rPr lang="mn-MN" sz="600"/>
            <a:t>нийт хуримтлал</a:t>
          </a:r>
          <a:endParaRPr lang="en-US" sz="600"/>
        </a:p>
      </cdr:txBody>
    </cdr:sp>
  </cdr:relSizeAnchor>
  <cdr:relSizeAnchor xmlns:cdr="http://schemas.openxmlformats.org/drawingml/2006/chartDrawing">
    <cdr:from>
      <cdr:x>0.21624</cdr:x>
      <cdr:y>0.18169</cdr:y>
    </cdr:from>
    <cdr:to>
      <cdr:x>0.47775</cdr:x>
      <cdr:y>0.27254</cdr:y>
    </cdr:to>
    <cdr:sp macro="" textlink="">
      <cdr:nvSpPr>
        <cdr:cNvPr id="4" name="Text Box 3"/>
        <cdr:cNvSpPr txBox="1"/>
      </cdr:nvSpPr>
      <cdr:spPr>
        <a:xfrm xmlns:a="http://schemas.openxmlformats.org/drawingml/2006/main">
          <a:off x="546100" y="330200"/>
          <a:ext cx="660400" cy="165100"/>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wrap="square" rtlCol="0"/>
        <a:lstStyle xmlns:a="http://schemas.openxmlformats.org/drawingml/2006/main"/>
        <a:p xmlns:a="http://schemas.openxmlformats.org/drawingml/2006/main">
          <a:r>
            <a:rPr lang="mn-MN" sz="600"/>
            <a:t>цэвэр экспорт</a:t>
          </a:r>
          <a:endParaRPr lang="en-US" sz="600"/>
        </a:p>
      </cdr:txBody>
    </cdr:sp>
  </cdr:relSizeAnchor>
</c:userShapes>
</file>

<file path=word/drawings/drawing6.xml><?xml version="1.0" encoding="utf-8"?>
<c:userShapes xmlns:c="http://schemas.openxmlformats.org/drawingml/2006/chart">
  <cdr:relSizeAnchor xmlns:cdr="http://schemas.openxmlformats.org/drawingml/2006/chartDrawing">
    <cdr:from>
      <cdr:x>0.15455</cdr:x>
      <cdr:y>0.49055</cdr:y>
    </cdr:from>
    <cdr:to>
      <cdr:x>0.5333</cdr:x>
      <cdr:y>0.62645</cdr:y>
    </cdr:to>
    <cdr:sp macro="" textlink="">
      <cdr:nvSpPr>
        <cdr:cNvPr id="2" name="Text Box 1"/>
        <cdr:cNvSpPr txBox="1"/>
      </cdr:nvSpPr>
      <cdr:spPr>
        <a:xfrm xmlns:a="http://schemas.openxmlformats.org/drawingml/2006/main">
          <a:off x="450850" y="939800"/>
          <a:ext cx="1104900" cy="260350"/>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wrap="square" rtlCol="0"/>
        <a:lstStyle xmlns:a="http://schemas.openxmlformats.org/drawingml/2006/main"/>
        <a:p xmlns:a="http://schemas.openxmlformats.org/drawingml/2006/main">
          <a:r>
            <a:rPr lang="mn-MN" sz="500"/>
            <a:t>урсгал</a:t>
          </a:r>
          <a:r>
            <a:rPr lang="mn-MN" sz="500" baseline="0"/>
            <a:t> дансны алдагдлын ДНБ харьцаа </a:t>
          </a:r>
          <a:r>
            <a:rPr lang="en-US" sz="500" baseline="0"/>
            <a:t>(%)</a:t>
          </a:r>
          <a:r>
            <a:rPr lang="mn-MN" sz="500" baseline="0"/>
            <a:t>, баруун тал</a:t>
          </a:r>
          <a:endParaRPr lang="en-US" sz="500"/>
        </a:p>
      </cdr:txBody>
    </cdr:sp>
  </cdr:relSizeAnchor>
  <cdr:relSizeAnchor xmlns:cdr="http://schemas.openxmlformats.org/drawingml/2006/chartDrawing">
    <cdr:from>
      <cdr:x>0.15455</cdr:x>
      <cdr:y>0.64302</cdr:y>
    </cdr:from>
    <cdr:to>
      <cdr:x>0.5529</cdr:x>
      <cdr:y>0.70268</cdr:y>
    </cdr:to>
    <cdr:sp macro="" textlink="">
      <cdr:nvSpPr>
        <cdr:cNvPr id="3" name="Text Box 2"/>
        <cdr:cNvSpPr txBox="1"/>
      </cdr:nvSpPr>
      <cdr:spPr>
        <a:xfrm xmlns:a="http://schemas.openxmlformats.org/drawingml/2006/main">
          <a:off x="450850" y="1231900"/>
          <a:ext cx="1162050" cy="1143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0.1589</cdr:x>
      <cdr:y>0.5227</cdr:y>
    </cdr:from>
    <cdr:to>
      <cdr:x>0.47236</cdr:x>
      <cdr:y>0.65297</cdr:y>
    </cdr:to>
    <cdr:sp macro="" textlink="">
      <cdr:nvSpPr>
        <cdr:cNvPr id="4" name="Text Box 3"/>
        <cdr:cNvSpPr txBox="1"/>
      </cdr:nvSpPr>
      <cdr:spPr>
        <a:xfrm xmlns:a="http://schemas.openxmlformats.org/drawingml/2006/main">
          <a:off x="463550" y="1001395"/>
          <a:ext cx="914400" cy="24955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0.1589</cdr:x>
      <cdr:y>0.61651</cdr:y>
    </cdr:from>
    <cdr:to>
      <cdr:x>0.5246</cdr:x>
      <cdr:y>0.6828</cdr:y>
    </cdr:to>
    <cdr:sp macro="" textlink="">
      <cdr:nvSpPr>
        <cdr:cNvPr id="5" name="Text Box 4"/>
        <cdr:cNvSpPr txBox="1"/>
      </cdr:nvSpPr>
      <cdr:spPr>
        <a:xfrm xmlns:a="http://schemas.openxmlformats.org/drawingml/2006/main">
          <a:off x="463550" y="1181100"/>
          <a:ext cx="1066800" cy="127000"/>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wrap="square" rtlCol="0"/>
        <a:lstStyle xmlns:a="http://schemas.openxmlformats.org/drawingml/2006/main"/>
        <a:p xmlns:a="http://schemas.openxmlformats.org/drawingml/2006/main">
          <a:r>
            <a:rPr lang="mn-MN" sz="500"/>
            <a:t>бодит ДНБ өсөлт</a:t>
          </a:r>
          <a:r>
            <a:rPr lang="en-US" sz="500"/>
            <a:t>(%)</a:t>
          </a:r>
          <a:r>
            <a:rPr lang="mn-MN" sz="500"/>
            <a:t>,</a:t>
          </a:r>
          <a:r>
            <a:rPr lang="mn-MN" sz="500" baseline="0"/>
            <a:t> зүүн тал</a:t>
          </a:r>
          <a:endParaRPr lang="en-US" sz="500"/>
        </a:p>
      </cdr:txBody>
    </cdr:sp>
  </cdr:relSizeAnchor>
</c:userShapes>
</file>

<file path=word/drawings/drawing7.xml><?xml version="1.0" encoding="utf-8"?>
<c:userShapes xmlns:c="http://schemas.openxmlformats.org/drawingml/2006/chart">
  <cdr:relSizeAnchor xmlns:cdr="http://schemas.openxmlformats.org/drawingml/2006/chartDrawing">
    <cdr:from>
      <cdr:x>0.10268</cdr:x>
      <cdr:y>0.92404</cdr:y>
    </cdr:from>
    <cdr:to>
      <cdr:x>0.4014</cdr:x>
      <cdr:y>0.99843</cdr:y>
    </cdr:to>
    <cdr:sp macro="" textlink="">
      <cdr:nvSpPr>
        <cdr:cNvPr id="2" name="Text Box 1"/>
        <cdr:cNvSpPr txBox="1"/>
      </cdr:nvSpPr>
      <cdr:spPr>
        <a:xfrm xmlns:a="http://schemas.openxmlformats.org/drawingml/2006/main">
          <a:off x="279400" y="1498600"/>
          <a:ext cx="812800" cy="120650"/>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wrap="square" rtlCol="0"/>
        <a:lstStyle xmlns:a="http://schemas.openxmlformats.org/drawingml/2006/main"/>
        <a:p xmlns:a="http://schemas.openxmlformats.org/drawingml/2006/main">
          <a:r>
            <a:rPr lang="mn-MN" sz="500"/>
            <a:t>үндэсний хэмжээнд</a:t>
          </a:r>
          <a:endParaRPr lang="en-US" sz="500"/>
        </a:p>
      </cdr:txBody>
    </cdr:sp>
  </cdr:relSizeAnchor>
  <cdr:relSizeAnchor xmlns:cdr="http://schemas.openxmlformats.org/drawingml/2006/chartDrawing">
    <cdr:from>
      <cdr:x>0.43407</cdr:x>
      <cdr:y>0.92013</cdr:y>
    </cdr:from>
    <cdr:to>
      <cdr:x>0.64644</cdr:x>
      <cdr:y>0.99843</cdr:y>
    </cdr:to>
    <cdr:sp macro="" textlink="">
      <cdr:nvSpPr>
        <cdr:cNvPr id="3" name="Text Box 2"/>
        <cdr:cNvSpPr txBox="1"/>
      </cdr:nvSpPr>
      <cdr:spPr>
        <a:xfrm xmlns:a="http://schemas.openxmlformats.org/drawingml/2006/main">
          <a:off x="1181100" y="1492250"/>
          <a:ext cx="577850" cy="127000"/>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wrap="square" rtlCol="0"/>
        <a:lstStyle xmlns:a="http://schemas.openxmlformats.org/drawingml/2006/main"/>
        <a:p xmlns:a="http://schemas.openxmlformats.org/drawingml/2006/main">
          <a:r>
            <a:rPr lang="mn-MN" sz="500"/>
            <a:t>хотын бүсэд</a:t>
          </a:r>
          <a:endParaRPr lang="en-US" sz="500"/>
        </a:p>
      </cdr:txBody>
    </cdr:sp>
  </cdr:relSizeAnchor>
  <cdr:relSizeAnchor xmlns:cdr="http://schemas.openxmlformats.org/drawingml/2006/chartDrawing">
    <cdr:from>
      <cdr:x>0.68845</cdr:x>
      <cdr:y>0.92404</cdr:y>
    </cdr:from>
    <cdr:to>
      <cdr:x>0.96383</cdr:x>
      <cdr:y>0.99843</cdr:y>
    </cdr:to>
    <cdr:sp macro="" textlink="">
      <cdr:nvSpPr>
        <cdr:cNvPr id="4" name="Text Box 3"/>
        <cdr:cNvSpPr txBox="1"/>
      </cdr:nvSpPr>
      <cdr:spPr>
        <a:xfrm xmlns:a="http://schemas.openxmlformats.org/drawingml/2006/main">
          <a:off x="1873250" y="1498600"/>
          <a:ext cx="749300" cy="120650"/>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wrap="square" rtlCol="0"/>
        <a:lstStyle xmlns:a="http://schemas.openxmlformats.org/drawingml/2006/main"/>
        <a:p xmlns:a="http://schemas.openxmlformats.org/drawingml/2006/main">
          <a:r>
            <a:rPr lang="mn-MN" sz="500"/>
            <a:t>хөдөөгийн</a:t>
          </a:r>
          <a:r>
            <a:rPr lang="mn-MN" sz="500" baseline="0"/>
            <a:t> бүсэд</a:t>
          </a:r>
          <a:endParaRPr lang="en-US" sz="500"/>
        </a:p>
      </cdr:txBody>
    </cdr:sp>
  </cdr:relSizeAnchor>
</c:userShapes>
</file>

<file path=word/drawings/drawing8.xml><?xml version="1.0" encoding="utf-8"?>
<c:userShapes xmlns:c="http://schemas.openxmlformats.org/drawingml/2006/chart">
  <cdr:relSizeAnchor xmlns:cdr="http://schemas.openxmlformats.org/drawingml/2006/chartDrawing">
    <cdr:from>
      <cdr:x>0.21165</cdr:x>
      <cdr:y>0.06222</cdr:y>
    </cdr:from>
    <cdr:to>
      <cdr:x>0.53022</cdr:x>
      <cdr:y>0.12789</cdr:y>
    </cdr:to>
    <cdr:sp macro="" textlink="">
      <cdr:nvSpPr>
        <cdr:cNvPr id="2" name="Text Box 1"/>
        <cdr:cNvSpPr txBox="1"/>
      </cdr:nvSpPr>
      <cdr:spPr>
        <a:xfrm xmlns:a="http://schemas.openxmlformats.org/drawingml/2006/main">
          <a:off x="615950" y="114300"/>
          <a:ext cx="927100" cy="12065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мах, сүү,</a:t>
          </a:r>
          <a:r>
            <a:rPr lang="mn-MN" sz="500" baseline="0"/>
            <a:t> бяслаг</a:t>
          </a:r>
          <a:endParaRPr lang="en-US" sz="500"/>
        </a:p>
      </cdr:txBody>
    </cdr:sp>
  </cdr:relSizeAnchor>
  <cdr:relSizeAnchor xmlns:cdr="http://schemas.openxmlformats.org/drawingml/2006/chartDrawing">
    <cdr:from>
      <cdr:x>0.21165</cdr:x>
      <cdr:y>0.13481</cdr:y>
    </cdr:from>
    <cdr:to>
      <cdr:x>0.53458</cdr:x>
      <cdr:y>0.19357</cdr:y>
    </cdr:to>
    <cdr:sp macro="" textlink="">
      <cdr:nvSpPr>
        <cdr:cNvPr id="3" name="Text Box 2"/>
        <cdr:cNvSpPr txBox="1"/>
      </cdr:nvSpPr>
      <cdr:spPr>
        <a:xfrm xmlns:a="http://schemas.openxmlformats.org/drawingml/2006/main">
          <a:off x="615950" y="247650"/>
          <a:ext cx="939800" cy="10795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талх, гурил, тариа</a:t>
          </a:r>
          <a:endParaRPr lang="en-US" sz="500"/>
        </a:p>
      </cdr:txBody>
    </cdr:sp>
  </cdr:relSizeAnchor>
  <cdr:relSizeAnchor xmlns:cdr="http://schemas.openxmlformats.org/drawingml/2006/chartDrawing">
    <cdr:from>
      <cdr:x>0.21165</cdr:x>
      <cdr:y>0.20048</cdr:y>
    </cdr:from>
    <cdr:to>
      <cdr:x>0.45603</cdr:x>
      <cdr:y>0.25579</cdr:y>
    </cdr:to>
    <cdr:sp macro="" textlink="">
      <cdr:nvSpPr>
        <cdr:cNvPr id="4" name="Text Box 3"/>
        <cdr:cNvSpPr txBox="1"/>
      </cdr:nvSpPr>
      <cdr:spPr>
        <a:xfrm xmlns:a="http://schemas.openxmlformats.org/drawingml/2006/main">
          <a:off x="615950" y="368300"/>
          <a:ext cx="711200" cy="1016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бусад хүнс</a:t>
          </a:r>
          <a:endParaRPr lang="en-US" sz="500"/>
        </a:p>
      </cdr:txBody>
    </cdr:sp>
  </cdr:relSizeAnchor>
  <cdr:relSizeAnchor xmlns:cdr="http://schemas.openxmlformats.org/drawingml/2006/chartDrawing">
    <cdr:from>
      <cdr:x>0.21165</cdr:x>
      <cdr:y>0.25925</cdr:y>
    </cdr:from>
    <cdr:to>
      <cdr:x>0.72878</cdr:x>
      <cdr:y>0.33184</cdr:y>
    </cdr:to>
    <cdr:sp macro="" textlink="">
      <cdr:nvSpPr>
        <cdr:cNvPr id="5" name="Text Box 4"/>
        <cdr:cNvSpPr txBox="1"/>
      </cdr:nvSpPr>
      <cdr:spPr>
        <a:xfrm xmlns:a="http://schemas.openxmlformats.org/drawingml/2006/main">
          <a:off x="615950" y="476250"/>
          <a:ext cx="1504950" cy="13335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бүх</a:t>
          </a:r>
          <a:r>
            <a:rPr lang="mn-MN" sz="500" baseline="0"/>
            <a:t> хүнс, эрчим хүчийг хасаад суурь инфляци</a:t>
          </a:r>
          <a:endParaRPr lang="en-US" sz="500"/>
        </a:p>
      </cdr:txBody>
    </cdr:sp>
  </cdr:relSizeAnchor>
  <cdr:relSizeAnchor xmlns:cdr="http://schemas.openxmlformats.org/drawingml/2006/chartDrawing">
    <cdr:from>
      <cdr:x>0.21165</cdr:x>
      <cdr:y>0.33875</cdr:y>
    </cdr:from>
    <cdr:to>
      <cdr:x>0.49967</cdr:x>
      <cdr:y>0.43553</cdr:y>
    </cdr:to>
    <cdr:sp macro="" textlink="">
      <cdr:nvSpPr>
        <cdr:cNvPr id="6" name="Text Box 5"/>
        <cdr:cNvSpPr txBox="1"/>
      </cdr:nvSpPr>
      <cdr:spPr>
        <a:xfrm xmlns:a="http://schemas.openxmlformats.org/drawingml/2006/main">
          <a:off x="615950" y="622300"/>
          <a:ext cx="838200" cy="1778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ХҮИ</a:t>
          </a:r>
          <a:r>
            <a:rPr lang="mn-MN" sz="500" baseline="0"/>
            <a:t> инфляци</a:t>
          </a:r>
          <a:endParaRPr lang="en-US" sz="500"/>
        </a:p>
      </cdr:txBody>
    </cdr:sp>
  </cdr:relSizeAnchor>
</c:userShapes>
</file>

<file path=word/drawings/drawing9.xml><?xml version="1.0" encoding="utf-8"?>
<c:userShapes xmlns:c="http://schemas.openxmlformats.org/drawingml/2006/chart">
  <cdr:relSizeAnchor xmlns:cdr="http://schemas.openxmlformats.org/drawingml/2006/chartDrawing">
    <cdr:from>
      <cdr:x>0.70936</cdr:x>
      <cdr:y>0</cdr:y>
    </cdr:from>
    <cdr:to>
      <cdr:x>0.95731</cdr:x>
      <cdr:y>0.08401</cdr:y>
    </cdr:to>
    <cdr:sp macro="" textlink="">
      <cdr:nvSpPr>
        <cdr:cNvPr id="2" name="Text Box 1"/>
        <cdr:cNvSpPr txBox="1"/>
      </cdr:nvSpPr>
      <cdr:spPr>
        <a:xfrm xmlns:a="http://schemas.openxmlformats.org/drawingml/2006/main">
          <a:off x="2089150" y="0"/>
          <a:ext cx="730250" cy="15875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талх, тариа</a:t>
          </a:r>
          <a:endParaRPr lang="en-US" sz="500"/>
        </a:p>
      </cdr:txBody>
    </cdr:sp>
  </cdr:relSizeAnchor>
  <cdr:relSizeAnchor xmlns:cdr="http://schemas.openxmlformats.org/drawingml/2006/chartDrawing">
    <cdr:from>
      <cdr:x>0.71583</cdr:x>
      <cdr:y>0.11089</cdr:y>
    </cdr:from>
    <cdr:to>
      <cdr:x>0.96593</cdr:x>
      <cdr:y>0.23185</cdr:y>
    </cdr:to>
    <cdr:sp macro="" textlink="">
      <cdr:nvSpPr>
        <cdr:cNvPr id="3" name="Text Box 2"/>
        <cdr:cNvSpPr txBox="1"/>
      </cdr:nvSpPr>
      <cdr:spPr>
        <a:xfrm xmlns:a="http://schemas.openxmlformats.org/drawingml/2006/main">
          <a:off x="2108200" y="209550"/>
          <a:ext cx="736600" cy="2286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сүү, бяслаг,</a:t>
          </a:r>
          <a:r>
            <a:rPr lang="mn-MN" sz="500" baseline="0"/>
            <a:t> өндөг</a:t>
          </a:r>
          <a:endParaRPr lang="en-US" sz="500"/>
        </a:p>
      </cdr:txBody>
    </cdr:sp>
  </cdr:relSizeAnchor>
  <cdr:relSizeAnchor xmlns:cdr="http://schemas.openxmlformats.org/drawingml/2006/chartDrawing">
    <cdr:from>
      <cdr:x>0.71583</cdr:x>
      <cdr:y>0.23858</cdr:y>
    </cdr:from>
    <cdr:to>
      <cdr:x>0.93575</cdr:x>
      <cdr:y>0.32594</cdr:y>
    </cdr:to>
    <cdr:sp macro="" textlink="">
      <cdr:nvSpPr>
        <cdr:cNvPr id="4" name="Text Box 3"/>
        <cdr:cNvSpPr txBox="1"/>
      </cdr:nvSpPr>
      <cdr:spPr>
        <a:xfrm xmlns:a="http://schemas.openxmlformats.org/drawingml/2006/main">
          <a:off x="2108200" y="450850"/>
          <a:ext cx="647700" cy="1651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ногоо</a:t>
          </a:r>
          <a:endParaRPr lang="en-US" sz="500"/>
        </a:p>
      </cdr:txBody>
    </cdr:sp>
  </cdr:relSizeAnchor>
  <cdr:relSizeAnchor xmlns:cdr="http://schemas.openxmlformats.org/drawingml/2006/chartDrawing">
    <cdr:from>
      <cdr:x>0.71798</cdr:x>
      <cdr:y>0.33938</cdr:y>
    </cdr:from>
    <cdr:to>
      <cdr:x>0.92928</cdr:x>
      <cdr:y>0.46035</cdr:y>
    </cdr:to>
    <cdr:sp macro="" textlink="">
      <cdr:nvSpPr>
        <cdr:cNvPr id="5" name="Text Box 4"/>
        <cdr:cNvSpPr txBox="1"/>
      </cdr:nvSpPr>
      <cdr:spPr>
        <a:xfrm xmlns:a="http://schemas.openxmlformats.org/drawingml/2006/main">
          <a:off x="2114550" y="641350"/>
          <a:ext cx="622300" cy="228600"/>
        </a:xfrm>
        <a:prstGeom xmlns:a="http://schemas.openxmlformats.org/drawingml/2006/main" prst="rect">
          <a:avLst/>
        </a:prstGeom>
        <a:solidFill xmlns:a="http://schemas.openxmlformats.org/drawingml/2006/main">
          <a:schemeClr val="lt1"/>
        </a:solidFill>
      </cdr:spPr>
      <cdr:txBody>
        <a:bodyPr xmlns:a="http://schemas.openxmlformats.org/drawingml/2006/main" vertOverflow="clip" wrap="square" rtlCol="0"/>
        <a:lstStyle xmlns:a="http://schemas.openxmlformats.org/drawingml/2006/main"/>
        <a:p xmlns:a="http://schemas.openxmlformats.org/drawingml/2006/main">
          <a:r>
            <a:rPr lang="mn-MN" sz="500"/>
            <a:t>архины бус ундаа</a:t>
          </a:r>
          <a:endParaRPr lang="en-US" sz="5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2013-03-01T00:00:00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A05F1FE-B64E-46E8-93A5-40DDE2C649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59</Pages>
  <Words>24506</Words>
  <Characters>139686</Characters>
  <Application>Microsoft Office Word</Application>
  <DocSecurity>0</DocSecurity>
  <Lines>1164</Lines>
  <Paragraphs>327</Paragraphs>
  <ScaleCrop>false</ScaleCrop>
  <HeadingPairs>
    <vt:vector size="2" baseType="variant">
      <vt:variant>
        <vt:lpstr>Title</vt:lpstr>
      </vt:variant>
      <vt:variant>
        <vt:i4>1</vt:i4>
      </vt:variant>
    </vt:vector>
  </HeadingPairs>
  <TitlesOfParts>
    <vt:vector size="1" baseType="lpstr">
      <vt:lpstr> Монгол улсын эдийн засгийн улирлын тойм </vt:lpstr>
    </vt:vector>
  </TitlesOfParts>
  <Company>The World Bank Group</Company>
  <LinksUpToDate>false</LinksUpToDate>
  <CharactersWithSpaces>163865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Монгол улсын эдийн засгийн улирлын тойм</dc:title>
  <dc:creator>Gregory Smith</dc:creator>
  <cp:lastModifiedBy>World Bank Group</cp:lastModifiedBy>
  <cp:revision>6</cp:revision>
  <cp:lastPrinted>2013-10-30T08:18:00Z</cp:lastPrinted>
  <dcterms:created xsi:type="dcterms:W3CDTF">2013-11-06T08:39:00Z</dcterms:created>
  <dcterms:modified xsi:type="dcterms:W3CDTF">2013-11-07T18:50:00Z</dcterms:modified>
</cp:coreProperties>
</file>