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E8" w:rsidRPr="00DD72E8" w:rsidRDefault="00A40FA4" w:rsidP="00C74DE8">
      <w:pPr>
        <w:autoSpaceDE w:val="0"/>
        <w:autoSpaceDN w:val="0"/>
        <w:adjustRightInd w:val="0"/>
        <w:spacing w:line="240" w:lineRule="atLeast"/>
        <w:jc w:val="center"/>
        <w:rPr>
          <w:caps/>
          <w:color w:val="000000"/>
          <w:sz w:val="36"/>
          <w:szCs w:val="36"/>
          <w:lang w:val="fr-FR"/>
        </w:rPr>
      </w:pPr>
      <w:r>
        <w:rPr>
          <w:caps/>
          <w:noProof/>
          <w:color w:val="000000"/>
          <w:sz w:val="36"/>
          <w:szCs w:val="36"/>
        </w:rPr>
        <w:pict>
          <v:shapetype id="_x0000_t202" coordsize="21600,21600" o:spt="202" path="m,l,21600r21600,l21600,xe">
            <v:stroke joinstyle="miter"/>
            <v:path gradientshapeok="t" o:connecttype="rect"/>
          </v:shapetype>
          <v:shape id="_x0000_s1026" type="#_x0000_t202" style="position:absolute;left:0;text-align:left;margin-left:404.25pt;margin-top:-61.5pt;width:126pt;height:45pt;z-index:251658240" stroked="f">
            <v:textbox>
              <w:txbxContent>
                <w:p w:rsidR="00A40FA4" w:rsidRPr="00A40FA4" w:rsidRDefault="00A40FA4">
                  <w:pPr>
                    <w:rPr>
                      <w:rFonts w:ascii="Arial" w:hAnsi="Arial" w:cs="Arial"/>
                      <w:sz w:val="44"/>
                      <w:szCs w:val="44"/>
                    </w:rPr>
                  </w:pPr>
                  <w:r>
                    <w:rPr>
                      <w:rFonts w:ascii="Arial" w:hAnsi="Arial" w:cs="Arial"/>
                      <w:sz w:val="44"/>
                      <w:szCs w:val="44"/>
                    </w:rPr>
                    <w:t>E3039</w:t>
                  </w:r>
                </w:p>
              </w:txbxContent>
            </v:textbox>
          </v:shape>
        </w:pict>
      </w:r>
      <w:r w:rsidR="00C74DE8" w:rsidRPr="00DD72E8">
        <w:rPr>
          <w:caps/>
          <w:noProof/>
          <w:color w:val="000000"/>
          <w:sz w:val="36"/>
          <w:szCs w:val="36"/>
          <w:lang w:val="fr-FR"/>
        </w:rPr>
        <w:t>ROYAUME DU MAROC</w:t>
      </w:r>
    </w:p>
    <w:p w:rsidR="00C74DE8" w:rsidRPr="00DD72E8" w:rsidRDefault="00C74DE8" w:rsidP="00C74DE8">
      <w:pPr>
        <w:autoSpaceDE w:val="0"/>
        <w:autoSpaceDN w:val="0"/>
        <w:adjustRightInd w:val="0"/>
        <w:spacing w:line="240" w:lineRule="atLeast"/>
        <w:jc w:val="center"/>
        <w:rPr>
          <w:caps/>
          <w:color w:val="000000"/>
          <w:sz w:val="36"/>
          <w:szCs w:val="36"/>
          <w:lang w:val="fr-FR"/>
        </w:rPr>
      </w:pPr>
    </w:p>
    <w:p w:rsidR="00C74DE8" w:rsidRPr="00DD72E8" w:rsidRDefault="00C74DE8" w:rsidP="00C74DE8">
      <w:pPr>
        <w:autoSpaceDE w:val="0"/>
        <w:autoSpaceDN w:val="0"/>
        <w:adjustRightInd w:val="0"/>
        <w:spacing w:line="240" w:lineRule="atLeast"/>
        <w:jc w:val="center"/>
        <w:rPr>
          <w:caps/>
          <w:color w:val="000000"/>
          <w:sz w:val="36"/>
          <w:szCs w:val="36"/>
          <w:lang w:val="fr-FR"/>
        </w:rPr>
      </w:pPr>
    </w:p>
    <w:p w:rsidR="00C74DE8" w:rsidRPr="00DD72E8" w:rsidRDefault="00C74DE8" w:rsidP="00C74DE8">
      <w:pPr>
        <w:autoSpaceDE w:val="0"/>
        <w:autoSpaceDN w:val="0"/>
        <w:adjustRightInd w:val="0"/>
        <w:spacing w:line="240" w:lineRule="atLeast"/>
        <w:jc w:val="center"/>
        <w:rPr>
          <w:caps/>
          <w:color w:val="000000"/>
          <w:sz w:val="36"/>
          <w:szCs w:val="36"/>
          <w:lang w:val="fr-FR"/>
        </w:rPr>
      </w:pPr>
    </w:p>
    <w:p w:rsidR="00C74DE8" w:rsidRPr="00DD72E8" w:rsidRDefault="00C74DE8" w:rsidP="00C74DE8">
      <w:pPr>
        <w:jc w:val="center"/>
        <w:rPr>
          <w:noProof/>
          <w:sz w:val="36"/>
          <w:szCs w:val="36"/>
          <w:lang w:val="fr-FR"/>
        </w:rPr>
      </w:pPr>
      <w:r w:rsidRPr="00DD72E8">
        <w:rPr>
          <w:noProof/>
          <w:sz w:val="36"/>
          <w:szCs w:val="36"/>
          <w:lang w:val="fr-FR"/>
        </w:rPr>
        <w:t xml:space="preserve">PROJET D’AMÉLIORATION DE LA PERFORMANCE </w:t>
      </w:r>
    </w:p>
    <w:p w:rsidR="00C74DE8" w:rsidRPr="00DD72E8" w:rsidRDefault="00C74DE8" w:rsidP="00C74DE8">
      <w:pPr>
        <w:jc w:val="center"/>
        <w:rPr>
          <w:sz w:val="36"/>
          <w:szCs w:val="36"/>
          <w:lang w:val="fr-FR"/>
        </w:rPr>
      </w:pPr>
      <w:r w:rsidRPr="00DD72E8">
        <w:rPr>
          <w:noProof/>
          <w:sz w:val="36"/>
          <w:szCs w:val="36"/>
          <w:lang w:val="fr-FR"/>
        </w:rPr>
        <w:t>ET DU SERVICE AUX CITOYENS DU SYSTÈME JUDICIAIRE</w:t>
      </w:r>
    </w:p>
    <w:p w:rsidR="00C74DE8" w:rsidRPr="00DD72E8" w:rsidRDefault="00C74DE8" w:rsidP="00C74DE8">
      <w:pPr>
        <w:jc w:val="center"/>
        <w:rPr>
          <w:sz w:val="36"/>
          <w:szCs w:val="36"/>
          <w:lang w:val="fr-FR"/>
        </w:rPr>
      </w:pPr>
      <w:r w:rsidRPr="00DD72E8">
        <w:rPr>
          <w:noProof/>
          <w:sz w:val="36"/>
          <w:szCs w:val="36"/>
          <w:lang w:val="fr-FR"/>
        </w:rPr>
        <w:t>(« Mahkamati »)</w:t>
      </w:r>
    </w:p>
    <w:p w:rsidR="00C74DE8" w:rsidRPr="00DD72E8" w:rsidRDefault="00C74DE8" w:rsidP="00C74DE8">
      <w:pPr>
        <w:autoSpaceDE w:val="0"/>
        <w:autoSpaceDN w:val="0"/>
        <w:adjustRightInd w:val="0"/>
        <w:spacing w:line="240" w:lineRule="atLeast"/>
        <w:jc w:val="center"/>
        <w:rPr>
          <w:caps/>
          <w:color w:val="000000"/>
          <w:sz w:val="36"/>
          <w:szCs w:val="36"/>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r w:rsidRPr="00DD72E8">
        <w:rPr>
          <w:i/>
          <w:noProof/>
          <w:sz w:val="36"/>
          <w:szCs w:val="36"/>
          <w:lang w:val="fr-FR"/>
        </w:rPr>
        <w:t>Mesures hygiène, sécurité et environnement</w:t>
      </w: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Pr="00DD72E8" w:rsidRDefault="00C74DE8" w:rsidP="00C74DE8">
      <w:pPr>
        <w:autoSpaceDE w:val="0"/>
        <w:autoSpaceDN w:val="0"/>
        <w:adjustRightInd w:val="0"/>
        <w:spacing w:line="240" w:lineRule="atLeast"/>
        <w:jc w:val="center"/>
        <w:rPr>
          <w:i/>
          <w:noProof/>
          <w:sz w:val="36"/>
          <w:szCs w:val="36"/>
          <w:lang w:val="fr-FR"/>
        </w:rPr>
      </w:pPr>
    </w:p>
    <w:p w:rsidR="00C74DE8" w:rsidRDefault="00C74DE8" w:rsidP="00C74DE8">
      <w:pPr>
        <w:autoSpaceDE w:val="0"/>
        <w:autoSpaceDN w:val="0"/>
        <w:adjustRightInd w:val="0"/>
        <w:spacing w:line="240" w:lineRule="atLeast"/>
        <w:jc w:val="center"/>
        <w:rPr>
          <w:i/>
          <w:noProof/>
          <w:sz w:val="22"/>
          <w:lang w:val="fr-FR"/>
        </w:rPr>
      </w:pPr>
    </w:p>
    <w:p w:rsidR="00C74DE8" w:rsidRDefault="00C74DE8" w:rsidP="00C74DE8">
      <w:pPr>
        <w:autoSpaceDE w:val="0"/>
        <w:autoSpaceDN w:val="0"/>
        <w:adjustRightInd w:val="0"/>
        <w:spacing w:line="240" w:lineRule="atLeast"/>
        <w:jc w:val="center"/>
        <w:rPr>
          <w:i/>
          <w:noProof/>
          <w:sz w:val="22"/>
          <w:lang w:val="fr-FR"/>
        </w:rPr>
      </w:pPr>
    </w:p>
    <w:p w:rsidR="00C74DE8" w:rsidRDefault="00C74DE8" w:rsidP="00C74DE8">
      <w:pPr>
        <w:autoSpaceDE w:val="0"/>
        <w:autoSpaceDN w:val="0"/>
        <w:adjustRightInd w:val="0"/>
        <w:spacing w:line="240" w:lineRule="atLeast"/>
        <w:jc w:val="center"/>
        <w:rPr>
          <w:i/>
          <w:noProof/>
          <w:sz w:val="22"/>
          <w:lang w:val="fr-FR"/>
        </w:rPr>
      </w:pPr>
    </w:p>
    <w:p w:rsidR="00C74DE8" w:rsidRDefault="00C74DE8" w:rsidP="00C74DE8">
      <w:pPr>
        <w:autoSpaceDE w:val="0"/>
        <w:autoSpaceDN w:val="0"/>
        <w:adjustRightInd w:val="0"/>
        <w:spacing w:line="240" w:lineRule="atLeast"/>
        <w:jc w:val="center"/>
        <w:rPr>
          <w:i/>
          <w:noProof/>
          <w:sz w:val="22"/>
          <w:lang w:val="fr-FR"/>
        </w:rPr>
      </w:pPr>
    </w:p>
    <w:p w:rsidR="00C74DE8" w:rsidRDefault="00D8287A" w:rsidP="00C74DE8">
      <w:pPr>
        <w:autoSpaceDE w:val="0"/>
        <w:autoSpaceDN w:val="0"/>
        <w:adjustRightInd w:val="0"/>
        <w:spacing w:line="240" w:lineRule="atLeast"/>
        <w:jc w:val="center"/>
        <w:rPr>
          <w:caps/>
          <w:color w:val="000000"/>
        </w:rPr>
      </w:pPr>
      <w:r>
        <w:rPr>
          <w:caps/>
          <w:color w:val="000000"/>
        </w:rPr>
        <w:t>16</w:t>
      </w:r>
      <w:r w:rsidR="00C74DE8">
        <w:rPr>
          <w:caps/>
          <w:color w:val="000000"/>
        </w:rPr>
        <w:t xml:space="preserve"> Mai 2012</w:t>
      </w:r>
    </w:p>
    <w:p w:rsidR="00C74DE8" w:rsidRDefault="00C74DE8" w:rsidP="00C74DE8">
      <w:pPr>
        <w:spacing w:after="200" w:line="276" w:lineRule="auto"/>
        <w:rPr>
          <w:caps/>
          <w:color w:val="000000"/>
        </w:rPr>
      </w:pPr>
      <w:r>
        <w:rPr>
          <w:caps/>
          <w:color w:val="000000"/>
        </w:rPr>
        <w:br w:type="page"/>
      </w:r>
    </w:p>
    <w:p w:rsidR="00C74DE8" w:rsidRDefault="00C74DE8" w:rsidP="00C74DE8">
      <w:pPr>
        <w:spacing w:after="200" w:line="276" w:lineRule="auto"/>
        <w:rPr>
          <w:caps/>
          <w:color w:val="000000"/>
        </w:rPr>
      </w:pPr>
    </w:p>
    <w:p w:rsidR="00C74DE8" w:rsidRPr="00BF223B" w:rsidRDefault="00C74DE8" w:rsidP="00C74DE8">
      <w:pPr>
        <w:pStyle w:val="AdjustmentLendingHeading1"/>
        <w:jc w:val="both"/>
        <w:rPr>
          <w:rFonts w:ascii="MS Mincho" w:eastAsia="MS Mincho"/>
          <w:szCs w:val="24"/>
          <w:lang w:val="fr-FR"/>
        </w:rPr>
      </w:pPr>
      <w:r w:rsidRPr="00BF223B">
        <w:rPr>
          <w:noProof/>
          <w:szCs w:val="24"/>
          <w:lang w:val="fr-FR"/>
        </w:rPr>
        <w:t>Le projet proposé est un projet de catégorie C en ce qui concerne les exigences environnementales.</w:t>
      </w:r>
      <w:r w:rsidRPr="00BF223B">
        <w:rPr>
          <w:i/>
          <w:szCs w:val="24"/>
          <w:lang w:val="fr-FR"/>
        </w:rPr>
        <w:t xml:space="preserve"> </w:t>
      </w:r>
      <w:r w:rsidRPr="00BF223B">
        <w:rPr>
          <w:b w:val="0"/>
          <w:noProof/>
          <w:szCs w:val="24"/>
          <w:lang w:val="fr-FR"/>
        </w:rPr>
        <w:t>Dans le cadre de la composante 1.2 des opérations proposées, les travaux publics comprenant la reconfiguration et la remise en état de l’espace limité pour l’installation d’une séparation fonctionnelle entre les guichets d’accueil et les bureaux administratifs à l’intérieur des</w:t>
      </w:r>
      <w:r>
        <w:rPr>
          <w:b w:val="0"/>
          <w:noProof/>
          <w:szCs w:val="24"/>
          <w:lang w:val="fr-FR"/>
        </w:rPr>
        <w:t xml:space="preserve"> </w:t>
      </w:r>
      <w:r w:rsidRPr="00BF223B">
        <w:rPr>
          <w:b w:val="0"/>
          <w:noProof/>
          <w:szCs w:val="24"/>
          <w:lang w:val="fr-FR"/>
        </w:rPr>
        <w:t>bâtiments</w:t>
      </w:r>
      <w:r>
        <w:rPr>
          <w:b w:val="0"/>
          <w:noProof/>
          <w:szCs w:val="24"/>
          <w:lang w:val="fr-FR"/>
        </w:rPr>
        <w:t xml:space="preserve"> </w:t>
      </w:r>
      <w:r w:rsidRPr="00BF223B">
        <w:rPr>
          <w:b w:val="0"/>
          <w:noProof/>
          <w:szCs w:val="24"/>
          <w:lang w:val="fr-FR"/>
        </w:rPr>
        <w:t>auront lieu dans certain</w:t>
      </w:r>
      <w:r>
        <w:rPr>
          <w:b w:val="0"/>
          <w:noProof/>
          <w:szCs w:val="24"/>
          <w:lang w:val="fr-FR"/>
        </w:rPr>
        <w:t>e</w:t>
      </w:r>
      <w:r w:rsidRPr="00BF223B">
        <w:rPr>
          <w:b w:val="0"/>
          <w:noProof/>
          <w:szCs w:val="24"/>
          <w:lang w:val="fr-FR"/>
        </w:rPr>
        <w:t xml:space="preserve">s </w:t>
      </w:r>
      <w:r>
        <w:rPr>
          <w:b w:val="0"/>
          <w:noProof/>
          <w:szCs w:val="24"/>
          <w:lang w:val="fr-FR"/>
        </w:rPr>
        <w:t>juridictions pilotes</w:t>
      </w:r>
      <w:r w:rsidRPr="00BF223B">
        <w:rPr>
          <w:b w:val="0"/>
          <w:noProof/>
          <w:szCs w:val="24"/>
          <w:lang w:val="fr-FR"/>
        </w:rPr>
        <w:t>.</w:t>
      </w:r>
      <w:r w:rsidRPr="00BF223B">
        <w:rPr>
          <w:i/>
          <w:szCs w:val="24"/>
          <w:lang w:val="fr-FR"/>
        </w:rPr>
        <w:t xml:space="preserve"> </w:t>
      </w:r>
      <w:r w:rsidRPr="00BF223B">
        <w:rPr>
          <w:b w:val="0"/>
          <w:noProof/>
          <w:szCs w:val="24"/>
          <w:lang w:val="fr-FR"/>
        </w:rPr>
        <w:t>Aucune rénovation structurelle, aucun agrandissement ou expansion de bâtiments existants ne seront effectués.</w:t>
      </w:r>
      <w:r w:rsidRPr="00BF223B">
        <w:rPr>
          <w:b w:val="0"/>
          <w:szCs w:val="24"/>
          <w:lang w:val="fr-FR"/>
        </w:rPr>
        <w:t xml:space="preserve"> </w:t>
      </w:r>
      <w:r w:rsidRPr="00BF223B">
        <w:rPr>
          <w:b w:val="0"/>
          <w:noProof/>
          <w:szCs w:val="24"/>
          <w:lang w:val="fr-FR"/>
        </w:rPr>
        <w:t>La politique de protection (OP/BP 4.01) relative aux évaluations environnementales a été déclenchée de manière à gérer les travaux des entrepreneurs de manière appropriée et de minimiser les répercussions pouvant survenir lors de tels travaux de réfection.</w:t>
      </w:r>
      <w:r w:rsidRPr="00BF223B">
        <w:rPr>
          <w:b w:val="0"/>
          <w:szCs w:val="24"/>
          <w:lang w:val="fr-FR"/>
        </w:rPr>
        <w:t xml:space="preserve"> </w:t>
      </w:r>
      <w:r w:rsidRPr="00BF223B">
        <w:rPr>
          <w:b w:val="0"/>
          <w:noProof/>
          <w:szCs w:val="24"/>
          <w:lang w:val="fr-FR"/>
        </w:rPr>
        <w:t>Le projet ne financera pas des travaux effectués dans des bâtiments historiques.</w:t>
      </w:r>
      <w:r w:rsidRPr="00BF223B">
        <w:rPr>
          <w:b w:val="0"/>
          <w:szCs w:val="24"/>
          <w:lang w:val="fr-FR"/>
        </w:rPr>
        <w:t xml:space="preserve"> </w:t>
      </w:r>
      <w:r w:rsidRPr="00BF223B">
        <w:rPr>
          <w:b w:val="0"/>
          <w:noProof/>
          <w:szCs w:val="24"/>
          <w:lang w:val="fr-FR"/>
        </w:rPr>
        <w:t xml:space="preserve">La liste des normes environnementales que les entrepreneurs doivent observer lorsqu’ils procèdent à des travaux mineurs figure </w:t>
      </w:r>
      <w:r>
        <w:rPr>
          <w:b w:val="0"/>
          <w:noProof/>
          <w:szCs w:val="24"/>
          <w:lang w:val="fr-FR"/>
        </w:rPr>
        <w:t>ci-dessous</w:t>
      </w:r>
      <w:r w:rsidRPr="00BF223B">
        <w:rPr>
          <w:b w:val="0"/>
          <w:noProof/>
          <w:szCs w:val="24"/>
          <w:lang w:val="fr-FR"/>
        </w:rPr>
        <w:t>. Il sera fait mention de ces conditions dans le manuel opérationnel.</w:t>
      </w:r>
      <w:r w:rsidRPr="00BF223B">
        <w:rPr>
          <w:b w:val="0"/>
          <w:szCs w:val="24"/>
          <w:lang w:val="fr-FR"/>
        </w:rPr>
        <w:t xml:space="preserve"> </w:t>
      </w:r>
      <w:r w:rsidRPr="00BF223B">
        <w:rPr>
          <w:b w:val="0"/>
          <w:noProof/>
          <w:szCs w:val="24"/>
          <w:lang w:val="fr-FR"/>
        </w:rPr>
        <w:t>Lors de l’embauche d’entrepreneurs pour effectuer des travaux mineurs, les documents d’appel d’offres et les contrats comprendront les directives et exigences spécifiques, selon le besoin, devant être suivies afin d’éviter toute incidence éventuelle sur l’environnement.</w:t>
      </w:r>
      <w:r w:rsidRPr="00BF223B">
        <w:rPr>
          <w:b w:val="0"/>
          <w:szCs w:val="24"/>
          <w:lang w:val="fr-FR"/>
        </w:rPr>
        <w:t xml:space="preserve"> </w:t>
      </w:r>
    </w:p>
    <w:p w:rsidR="00C74DE8" w:rsidRDefault="00C74DE8" w:rsidP="00C74DE8">
      <w:pPr>
        <w:spacing w:after="200" w:line="276" w:lineRule="auto"/>
        <w:rPr>
          <w:caps/>
          <w:color w:val="000000"/>
        </w:rPr>
      </w:pPr>
    </w:p>
    <w:p w:rsidR="00C74DE8" w:rsidRPr="00BF223B" w:rsidRDefault="00C74DE8" w:rsidP="00C74DE8">
      <w:pPr>
        <w:jc w:val="both"/>
        <w:rPr>
          <w:rFonts w:ascii="MS Mincho" w:eastAsia="MS Mincho"/>
          <w:b/>
          <w:u w:val="single"/>
          <w:lang w:val="fr-FR"/>
        </w:rPr>
      </w:pPr>
      <w:r w:rsidRPr="00BF223B">
        <w:rPr>
          <w:b/>
          <w:noProof/>
          <w:u w:val="single"/>
          <w:lang w:val="fr-FR"/>
        </w:rPr>
        <w:t>Volet environnemental et social (y compris les mesures de protection)</w:t>
      </w:r>
      <w:r w:rsidRPr="00BF223B">
        <w:rPr>
          <w:b/>
          <w:u w:val="single"/>
          <w:lang w:val="fr-FR"/>
        </w:rPr>
        <w:t xml:space="preserve"> </w:t>
      </w:r>
    </w:p>
    <w:p w:rsidR="00C74DE8" w:rsidRPr="00BF223B" w:rsidRDefault="00C74DE8" w:rsidP="00C74DE8">
      <w:pPr>
        <w:jc w:val="both"/>
        <w:rPr>
          <w:rFonts w:ascii="SimSun"/>
          <w:b/>
          <w:u w:val="single"/>
          <w:lang w:val="fr-FR"/>
        </w:rPr>
      </w:pPr>
    </w:p>
    <w:p w:rsidR="00C74DE8" w:rsidRPr="00BF223B" w:rsidRDefault="00C74DE8" w:rsidP="00C74DE8">
      <w:pPr>
        <w:rPr>
          <w:rFonts w:ascii="MS Mincho" w:eastAsia="MS Mincho"/>
          <w:lang w:val="fr-FR"/>
        </w:rPr>
      </w:pPr>
      <w:r w:rsidRPr="00BF223B">
        <w:rPr>
          <w:rFonts w:ascii="TimesNewRomanPSMT" w:hAnsi="TimesNewRomanPSMT"/>
          <w:noProof/>
          <w:lang w:val="fr-FR"/>
        </w:rPr>
        <w:t>L’objectif du projet proposé est de renforcer les capacités du secteur de la justice au Maroc de manière à assurer des services efficaces, rapides et transparents :</w:t>
      </w:r>
      <w:r w:rsidRPr="00BF223B">
        <w:rPr>
          <w:rFonts w:ascii="TimesNewRomanPSMT" w:hAnsi="TimesNewRomanPSMT"/>
          <w:lang w:val="fr-FR"/>
        </w:rPr>
        <w:t xml:space="preserve"> </w:t>
      </w:r>
      <w:r w:rsidRPr="00BF223B">
        <w:rPr>
          <w:rFonts w:ascii="TimesNewRomanPSMT" w:hAnsi="TimesNewRomanPSMT"/>
          <w:noProof/>
          <w:lang w:val="fr-FR"/>
        </w:rPr>
        <w:t>a</w:t>
      </w:r>
      <w:r w:rsidRPr="00BF223B">
        <w:rPr>
          <w:noProof/>
          <w:lang w:val="fr-FR"/>
        </w:rPr>
        <w:t>)</w:t>
      </w:r>
      <w:r w:rsidRPr="00BF223B">
        <w:rPr>
          <w:rFonts w:ascii="MS Mincho" w:eastAsia="MS Mincho"/>
          <w:noProof/>
          <w:lang w:val="fr-FR"/>
        </w:rPr>
        <w:t> </w:t>
      </w:r>
      <w:r w:rsidRPr="00BF223B">
        <w:rPr>
          <w:noProof/>
          <w:lang w:val="fr-FR"/>
        </w:rPr>
        <w:t xml:space="preserve">en </w:t>
      </w:r>
      <w:r w:rsidRPr="00BF223B">
        <w:rPr>
          <w:rFonts w:ascii="TimesNewRomanPSMT" w:hAnsi="TimesNewRomanPSMT"/>
          <w:noProof/>
          <w:lang w:val="fr-FR"/>
        </w:rPr>
        <w:t xml:space="preserve">menant un processus participatif de réformes au niveau des </w:t>
      </w:r>
      <w:r>
        <w:rPr>
          <w:rFonts w:ascii="TimesNewRomanPSMT" w:hAnsi="TimesNewRomanPSMT"/>
          <w:noProof/>
          <w:lang w:val="fr-FR"/>
        </w:rPr>
        <w:t>juridictions</w:t>
      </w:r>
      <w:r w:rsidRPr="00BF223B">
        <w:rPr>
          <w:rFonts w:ascii="TimesNewRomanPSMT" w:hAnsi="TimesNewRomanPSMT"/>
          <w:noProof/>
          <w:lang w:val="fr-FR"/>
        </w:rPr>
        <w:t xml:space="preserve">, faisant intervenir les juges, le personnel administratif, les auxiliaires de la justice et les usagers des </w:t>
      </w:r>
      <w:r>
        <w:rPr>
          <w:rFonts w:ascii="TimesNewRomanPSMT" w:hAnsi="TimesNewRomanPSMT"/>
          <w:noProof/>
          <w:lang w:val="fr-FR"/>
        </w:rPr>
        <w:t>juridictions</w:t>
      </w:r>
      <w:r w:rsidRPr="00BF223B">
        <w:rPr>
          <w:rFonts w:ascii="TimesNewRomanPSMT" w:hAnsi="TimesNewRomanPSMT"/>
          <w:noProof/>
          <w:lang w:val="fr-FR"/>
        </w:rPr>
        <w:t xml:space="preserve"> sélectionné</w:t>
      </w:r>
      <w:r>
        <w:rPr>
          <w:rFonts w:ascii="TimesNewRomanPSMT" w:hAnsi="TimesNewRomanPSMT"/>
          <w:noProof/>
          <w:lang w:val="fr-FR"/>
        </w:rPr>
        <w:t>e</w:t>
      </w:r>
      <w:r w:rsidRPr="00BF223B">
        <w:rPr>
          <w:rFonts w:ascii="TimesNewRomanPSMT" w:hAnsi="TimesNewRomanPSMT"/>
          <w:noProof/>
          <w:lang w:val="fr-FR"/>
        </w:rPr>
        <w:t>s et b) en renforçant les capacités institutionnelles des fonctions centrales du ministère de la Justice et des Libertés, ainsi que de l’Institut supérieur de la magistrature afin de mieux soutenir et surveiller le système judiciaire.</w:t>
      </w:r>
      <w:r w:rsidRPr="00BF223B">
        <w:rPr>
          <w:rFonts w:ascii="TimesNewRomanPSMT" w:hAnsi="TimesNewRomanPSMT"/>
          <w:lang w:val="fr-FR"/>
        </w:rPr>
        <w:t xml:space="preserve"> </w:t>
      </w:r>
      <w:r w:rsidRPr="00BF223B">
        <w:rPr>
          <w:rFonts w:ascii="TimesNewRomanPSMT" w:hAnsi="TimesNewRomanPSMT"/>
          <w:noProof/>
          <w:lang w:val="fr-FR"/>
        </w:rPr>
        <w:t>Plus précisément, l’</w:t>
      </w:r>
      <w:r w:rsidRPr="00BF223B">
        <w:rPr>
          <w:noProof/>
          <w:lang w:val="fr-FR"/>
        </w:rPr>
        <w:t xml:space="preserve">objectif de la composante 1.2 (« Refonte des processus administratifs pour une amélioration des services ») consiste à mieux canaliser les échanges entre les parties prenantes et les fournisseurs de services judiciaires (c’est-à-dire les fonctionnaires des </w:t>
      </w:r>
      <w:r>
        <w:rPr>
          <w:noProof/>
          <w:lang w:val="fr-FR"/>
        </w:rPr>
        <w:t>juridictions</w:t>
      </w:r>
      <w:r w:rsidRPr="00BF223B">
        <w:rPr>
          <w:noProof/>
          <w:lang w:val="fr-FR"/>
        </w:rPr>
        <w:t xml:space="preserve"> chargés de répondre aux demandes des usagers, en majorité au niveau des employés de bureau).</w:t>
      </w:r>
      <w:r w:rsidRPr="00BF223B">
        <w:rPr>
          <w:lang w:val="fr-FR"/>
        </w:rPr>
        <w:t xml:space="preserve"> </w:t>
      </w:r>
      <w:r w:rsidRPr="00BF223B">
        <w:rPr>
          <w:noProof/>
          <w:lang w:val="fr-FR"/>
        </w:rPr>
        <w:t xml:space="preserve">À cette fin, les services administratifs internes seront réorganisés dans les </w:t>
      </w:r>
      <w:r>
        <w:rPr>
          <w:noProof/>
          <w:lang w:val="fr-FR"/>
        </w:rPr>
        <w:t>juridictions</w:t>
      </w:r>
      <w:r w:rsidRPr="00BF223B">
        <w:rPr>
          <w:noProof/>
          <w:lang w:val="fr-FR"/>
        </w:rPr>
        <w:t xml:space="preserve"> pilotes par l’instauration d’une structure moderne, avec séparation des fonctions en contact avec le public et des fonctions purement administratives.</w:t>
      </w:r>
      <w:r w:rsidRPr="00BF223B">
        <w:rPr>
          <w:lang w:val="fr-FR"/>
        </w:rPr>
        <w:t xml:space="preserve"> </w:t>
      </w:r>
      <w:r w:rsidRPr="00BF223B">
        <w:rPr>
          <w:noProof/>
          <w:lang w:val="fr-FR"/>
        </w:rPr>
        <w:t>Aucune rénovation structurelle, aucun agrandissement ou expansion de bâtiments existants ne seront effectués.</w:t>
      </w:r>
      <w:r w:rsidRPr="00BF223B">
        <w:rPr>
          <w:lang w:val="fr-FR"/>
        </w:rPr>
        <w:t xml:space="preserve"> </w:t>
      </w:r>
      <w:r w:rsidRPr="00BF223B">
        <w:rPr>
          <w:noProof/>
          <w:lang w:val="fr-FR"/>
        </w:rPr>
        <w:t xml:space="preserve">La reconfiguration et la remise en état de l’espace limité à l’intérieur des tribunaux pilotes, en vue de mettre en place les nouveaux processus de fourniture de services et la nouvelle disposition des salles d’audience, auront lieu dans les bâtiments </w:t>
      </w:r>
      <w:r>
        <w:rPr>
          <w:noProof/>
          <w:lang w:val="fr-FR"/>
        </w:rPr>
        <w:t>de 10 à 12 juridictions pilotes selectionnées parmi les juridictions suivantes des ressorts de Casablanca, Kenitra et Settat</w:t>
      </w:r>
      <w:r w:rsidRPr="00BF223B">
        <w:rPr>
          <w:noProof/>
          <w:lang w:val="fr-FR"/>
        </w:rPr>
        <w:t> :</w:t>
      </w:r>
      <w:r w:rsidRPr="00BF223B">
        <w:rPr>
          <w:lang w:val="fr-FR"/>
        </w:rPr>
        <w:t xml:space="preserve"> </w:t>
      </w:r>
    </w:p>
    <w:p w:rsidR="00C74DE8" w:rsidRPr="00BF223B" w:rsidRDefault="00C74DE8" w:rsidP="00C74DE8">
      <w:pPr>
        <w:autoSpaceDE w:val="0"/>
        <w:autoSpaceDN w:val="0"/>
        <w:adjustRightInd w:val="0"/>
        <w:jc w:val="both"/>
        <w:rPr>
          <w:rFonts w:ascii="SimSun"/>
          <w:lang w:val="fr-FR"/>
        </w:rPr>
      </w:pP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La Cour d’appel de Casablanca</w:t>
      </w:r>
    </w:p>
    <w:p w:rsidR="00C74DE8" w:rsidRDefault="00C74DE8" w:rsidP="00C74DE8">
      <w:pPr>
        <w:autoSpaceDE w:val="0"/>
        <w:autoSpaceDN w:val="0"/>
        <w:adjustRightInd w:val="0"/>
        <w:jc w:val="both"/>
        <w:rPr>
          <w:rFonts w:ascii="TimesNewRomanPSMT" w:hAnsi="TimesNewRomanPSMT"/>
          <w:lang w:val="fr-FR"/>
        </w:rPr>
      </w:pPr>
      <w:r w:rsidRPr="00BF223B">
        <w:rPr>
          <w:rFonts w:ascii="TimesNewRomanPSMT" w:hAnsi="TimesNewRomanPSMT"/>
          <w:noProof/>
          <w:lang w:val="fr-FR"/>
        </w:rPr>
        <w:t>La Cour d’appel de Kenitra</w:t>
      </w:r>
    </w:p>
    <w:p w:rsidR="00C74DE8" w:rsidRPr="00BF223B" w:rsidRDefault="00C74DE8" w:rsidP="00C74DE8">
      <w:pPr>
        <w:autoSpaceDE w:val="0"/>
        <w:autoSpaceDN w:val="0"/>
        <w:adjustRightInd w:val="0"/>
        <w:jc w:val="both"/>
        <w:rPr>
          <w:rFonts w:ascii="MS Mincho" w:eastAsia="MS Mincho"/>
          <w:lang w:val="fr-FR"/>
        </w:rPr>
      </w:pPr>
      <w:r>
        <w:rPr>
          <w:rFonts w:ascii="TimesNewRomanPSMT" w:hAnsi="TimesNewRomanPSMT"/>
          <w:noProof/>
          <w:lang w:val="fr-FR"/>
        </w:rPr>
        <w:t>La Cour d’appel de Settat</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La Cour d’appel de commerce de Casablanca</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La Cour de commerce de Casablanca</w:t>
      </w:r>
    </w:p>
    <w:p w:rsidR="00C74DE8" w:rsidRDefault="00C74DE8" w:rsidP="00C74DE8">
      <w:pPr>
        <w:autoSpaceDE w:val="0"/>
        <w:autoSpaceDN w:val="0"/>
        <w:adjustRightInd w:val="0"/>
        <w:jc w:val="both"/>
        <w:rPr>
          <w:rFonts w:ascii="TimesNewRomanPSMT" w:hAnsi="TimesNewRomanPSMT"/>
          <w:lang w:val="fr-FR"/>
        </w:rPr>
      </w:pPr>
      <w:r w:rsidRPr="00BF223B">
        <w:rPr>
          <w:rFonts w:ascii="TimesNewRomanPSMT" w:hAnsi="TimesNewRomanPSMT"/>
          <w:noProof/>
          <w:lang w:val="fr-FR"/>
        </w:rPr>
        <w:t>Le Tribunal de première instance de Kenitra</w:t>
      </w:r>
    </w:p>
    <w:p w:rsidR="00C74DE8" w:rsidRDefault="00C74DE8" w:rsidP="00C74DE8">
      <w:pPr>
        <w:autoSpaceDE w:val="0"/>
        <w:autoSpaceDN w:val="0"/>
        <w:adjustRightInd w:val="0"/>
        <w:jc w:val="both"/>
        <w:rPr>
          <w:rFonts w:ascii="TimesNewRomanPSMT" w:hAnsi="TimesNewRomanPSMT"/>
          <w:noProof/>
          <w:lang w:val="fr-FR"/>
        </w:rPr>
      </w:pPr>
      <w:r w:rsidRPr="00BF223B">
        <w:rPr>
          <w:rFonts w:ascii="TimesNewRomanPSMT" w:hAnsi="TimesNewRomanPSMT"/>
          <w:noProof/>
          <w:lang w:val="fr-FR"/>
        </w:rPr>
        <w:lastRenderedPageBreak/>
        <w:t xml:space="preserve">Le Tribunal de première instance de </w:t>
      </w:r>
      <w:r>
        <w:rPr>
          <w:rFonts w:ascii="TimesNewRomanPSMT" w:hAnsi="TimesNewRomanPSMT"/>
          <w:noProof/>
          <w:lang w:val="fr-FR"/>
        </w:rPr>
        <w:t>Settat</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Le Tribunal de première instance de Sidi Kacem</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Le Tribunal de première instance de Casablanca spécialisé en matière civile et sociale</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Le Tribunal de première instance de Mohammedia</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Le Tribunal de première instance de Benslimane</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Le Tribunal de première instance de Sidi Slimane</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Le Tribunal de première instance de Ouazzane</w:t>
      </w:r>
    </w:p>
    <w:p w:rsidR="00C74DE8" w:rsidRPr="00BF223B" w:rsidRDefault="00C74DE8" w:rsidP="00C74DE8">
      <w:pPr>
        <w:autoSpaceDE w:val="0"/>
        <w:autoSpaceDN w:val="0"/>
        <w:adjustRightInd w:val="0"/>
        <w:jc w:val="both"/>
        <w:rPr>
          <w:rFonts w:ascii="MS Mincho" w:eastAsia="MS Mincho"/>
          <w:lang w:val="fr-FR"/>
        </w:rPr>
      </w:pPr>
      <w:r w:rsidRPr="00BF223B">
        <w:rPr>
          <w:rFonts w:ascii="TimesNewRomanPSMT" w:hAnsi="TimesNewRomanPSMT"/>
          <w:noProof/>
          <w:lang w:val="fr-FR"/>
        </w:rPr>
        <w:t>Le Tribunal de première instance de Souk Larbaa</w:t>
      </w:r>
    </w:p>
    <w:p w:rsidR="00C74DE8" w:rsidRPr="00BF223B" w:rsidRDefault="00C74DE8" w:rsidP="00C74DE8">
      <w:pPr>
        <w:autoSpaceDE w:val="0"/>
        <w:autoSpaceDN w:val="0"/>
        <w:adjustRightInd w:val="0"/>
        <w:jc w:val="both"/>
        <w:rPr>
          <w:rFonts w:ascii="SimSun"/>
          <w:lang w:val="fr-FR"/>
        </w:rPr>
      </w:pPr>
    </w:p>
    <w:p w:rsidR="00C74DE8" w:rsidRPr="00BF223B" w:rsidRDefault="00C74DE8" w:rsidP="00C74DE8">
      <w:pPr>
        <w:rPr>
          <w:rFonts w:ascii="MS Mincho" w:eastAsia="MS Mincho"/>
          <w:lang w:val="fr-FR"/>
        </w:rPr>
      </w:pPr>
      <w:r w:rsidRPr="00BF223B">
        <w:rPr>
          <w:rFonts w:ascii="TimesNewRomanPSMT" w:hAnsi="TimesNewRomanPSMT"/>
          <w:noProof/>
          <w:lang w:val="fr-FR"/>
        </w:rPr>
        <w:t>D’après les activités à effectuer, il s’agit d’un projet de catégorie « C</w:t>
      </w:r>
      <w:r w:rsidRPr="00BF223B">
        <w:rPr>
          <w:rFonts w:ascii="MS Mincho" w:eastAsia="MS Mincho"/>
          <w:noProof/>
          <w:lang w:val="fr-FR"/>
        </w:rPr>
        <w:t> </w:t>
      </w:r>
      <w:r w:rsidRPr="00BF223B">
        <w:rPr>
          <w:rFonts w:ascii="TimesNewRomanPSMT" w:hAnsi="TimesNewRomanPSMT"/>
          <w:noProof/>
          <w:lang w:val="fr-FR"/>
        </w:rPr>
        <w:t>» en ce qui concerne les risques pour l’environnement.</w:t>
      </w:r>
      <w:r w:rsidRPr="00BF223B">
        <w:rPr>
          <w:rFonts w:ascii="TimesNewRomanPSMT" w:hAnsi="TimesNewRomanPSMT"/>
          <w:lang w:val="fr-FR"/>
        </w:rPr>
        <w:t xml:space="preserve"> </w:t>
      </w:r>
      <w:r w:rsidRPr="00BF223B">
        <w:rPr>
          <w:rFonts w:ascii="TimesNewRomanPSMT" w:hAnsi="TimesNewRomanPSMT"/>
          <w:noProof/>
          <w:lang w:val="fr-FR"/>
        </w:rPr>
        <w:t>Ce projet financera uniquement de petits travaux dans des infrastructures existantes et aucune construction nouvelle ne sera financée.</w:t>
      </w:r>
      <w:r w:rsidRPr="00BF223B">
        <w:rPr>
          <w:rFonts w:ascii="TimesNewRomanPSMT" w:hAnsi="TimesNewRomanPSMT"/>
          <w:lang w:val="fr-FR"/>
        </w:rPr>
        <w:t xml:space="preserve"> </w:t>
      </w:r>
      <w:r w:rsidRPr="00BF223B">
        <w:rPr>
          <w:noProof/>
          <w:lang w:val="fr-FR"/>
        </w:rPr>
        <w:t>Aucune construction ou acquisition de terres ne seront financées.</w:t>
      </w:r>
      <w:r w:rsidRPr="00BF223B">
        <w:rPr>
          <w:lang w:val="fr-FR"/>
        </w:rPr>
        <w:t xml:space="preserve"> </w:t>
      </w:r>
      <w:r w:rsidRPr="00BF223B">
        <w:rPr>
          <w:noProof/>
          <w:lang w:val="fr-FR"/>
        </w:rPr>
        <w:t>Le projet ne financera pas de travaux dans un bâtiment historique ou un bâtiment contenant de l’amiante.</w:t>
      </w:r>
      <w:r w:rsidRPr="00BF223B">
        <w:rPr>
          <w:lang w:val="fr-FR"/>
        </w:rPr>
        <w:t xml:space="preserve"> </w:t>
      </w:r>
      <w:r w:rsidRPr="00BF223B">
        <w:rPr>
          <w:rFonts w:ascii="TimesNewRomanPSMT" w:hAnsi="TimesNewRomanPSMT"/>
          <w:noProof/>
          <w:lang w:val="fr-FR"/>
        </w:rPr>
        <w:t>Afin d’éviter la possibilité d’effets nuisibles sur l’environnement de ces travaux mineurs, les entrepreneurs seront tenus d’observer les</w:t>
      </w:r>
      <w:r>
        <w:rPr>
          <w:rFonts w:ascii="TimesNewRomanPSMT" w:hAnsi="TimesNewRomanPSMT"/>
          <w:noProof/>
          <w:lang w:val="fr-FR"/>
        </w:rPr>
        <w:t xml:space="preserve"> lignes directrices hygiène, sécurité et environnement du Groupe </w:t>
      </w:r>
      <w:r w:rsidRPr="00BF223B">
        <w:rPr>
          <w:rFonts w:ascii="TimesNewRomanPSMT" w:hAnsi="TimesNewRomanPSMT"/>
          <w:noProof/>
          <w:lang w:val="fr-FR"/>
        </w:rPr>
        <w:t>Banque mondiale</w:t>
      </w:r>
      <w:r>
        <w:rPr>
          <w:rStyle w:val="FootnoteReference"/>
          <w:rFonts w:ascii="TimesNewRomanPSMT" w:hAnsi="TimesNewRomanPSMT"/>
          <w:noProof/>
          <w:lang w:val="fr-FR"/>
        </w:rPr>
        <w:footnoteReference w:id="1"/>
      </w:r>
      <w:r w:rsidRPr="00BF223B">
        <w:rPr>
          <w:rFonts w:ascii="TimesNewRomanPSMT" w:hAnsi="TimesNewRomanPSMT"/>
          <w:noProof/>
          <w:lang w:val="fr-FR"/>
        </w:rPr>
        <w:t>, ainsi que les lois, réglementations ou directives du gouvernement marocain.</w:t>
      </w:r>
    </w:p>
    <w:p w:rsidR="00C74DE8" w:rsidRPr="00BF223B" w:rsidRDefault="00C74DE8" w:rsidP="00C74DE8">
      <w:pPr>
        <w:rPr>
          <w:rFonts w:ascii="SimSun"/>
          <w:lang w:val="fr-FR"/>
        </w:rPr>
      </w:pPr>
    </w:p>
    <w:p w:rsidR="00C74DE8" w:rsidRPr="00BF223B" w:rsidRDefault="00C74DE8" w:rsidP="00C74DE8">
      <w:pPr>
        <w:autoSpaceDE w:val="0"/>
        <w:autoSpaceDN w:val="0"/>
        <w:adjustRightInd w:val="0"/>
        <w:jc w:val="both"/>
        <w:rPr>
          <w:rFonts w:ascii="TimesNewRomanPSMT" w:hAnsi="TimesNewRomanPSMT"/>
          <w:lang w:val="fr-FR"/>
        </w:rPr>
      </w:pPr>
      <w:r w:rsidRPr="00BF223B">
        <w:rPr>
          <w:rFonts w:ascii="TimesNewRomanPSMT" w:hAnsi="TimesNewRomanPSMT"/>
          <w:noProof/>
          <w:lang w:val="fr-FR"/>
        </w:rPr>
        <w:t>La liste suivante contient les exigences environnementales que doivent observer les entrepreneurs lorsqu’ils effectuent ces travaux mineurs.</w:t>
      </w:r>
      <w:r w:rsidRPr="00BF223B">
        <w:rPr>
          <w:rFonts w:ascii="TimesNewRomanPSMT" w:hAnsi="TimesNewRomanPSMT"/>
          <w:lang w:val="fr-FR"/>
        </w:rPr>
        <w:t xml:space="preserve"> </w:t>
      </w:r>
      <w:r w:rsidRPr="00BF223B">
        <w:rPr>
          <w:noProof/>
          <w:lang w:val="fr-FR"/>
        </w:rPr>
        <w:t xml:space="preserve">Il sera fait mention de ces </w:t>
      </w:r>
      <w:r w:rsidRPr="00BF223B">
        <w:rPr>
          <w:rFonts w:ascii="TimesNewRomanPSMT" w:hAnsi="TimesNewRomanPSMT"/>
          <w:noProof/>
          <w:lang w:val="fr-FR"/>
        </w:rPr>
        <w:t xml:space="preserve">exigences </w:t>
      </w:r>
      <w:r w:rsidRPr="00BF223B">
        <w:rPr>
          <w:noProof/>
          <w:lang w:val="fr-FR"/>
        </w:rPr>
        <w:t>dans le manuel opérationnel</w:t>
      </w:r>
      <w:r w:rsidRPr="00BF223B">
        <w:rPr>
          <w:b/>
          <w:noProof/>
          <w:lang w:val="fr-FR"/>
        </w:rPr>
        <w:t xml:space="preserve"> </w:t>
      </w:r>
      <w:r w:rsidRPr="00BF223B">
        <w:rPr>
          <w:rFonts w:ascii="TimesNewRomanPSMT" w:hAnsi="TimesNewRomanPSMT"/>
          <w:noProof/>
          <w:lang w:val="fr-FR"/>
        </w:rPr>
        <w:t>du projet.</w:t>
      </w:r>
      <w:r w:rsidRPr="00BF223B">
        <w:rPr>
          <w:rFonts w:ascii="TimesNewRomanPSMT" w:hAnsi="TimesNewRomanPSMT"/>
          <w:lang w:val="fr-FR"/>
        </w:rPr>
        <w:t xml:space="preserve"> </w:t>
      </w:r>
      <w:r w:rsidRPr="00BF223B">
        <w:rPr>
          <w:rFonts w:ascii="TimesNewRomanPSMT" w:hAnsi="TimesNewRomanPSMT"/>
          <w:noProof/>
          <w:lang w:val="fr-FR"/>
        </w:rPr>
        <w:t>Lors de l’embauche d’entrepreneurs pour effectuer des travaux mineurs, les termes de référence, les documents d’appel d’offres et les contrats comprendront les exigences suivantes, afin d’éviter toute incidence éventuelle néfaste sur l’environnement des travaux envisagés.</w:t>
      </w:r>
      <w:r w:rsidRPr="00BF223B">
        <w:rPr>
          <w:rFonts w:ascii="TimesNewRomanPSMT" w:hAnsi="TimesNewRomanPSMT"/>
          <w:lang w:val="fr-FR"/>
        </w:rPr>
        <w:t xml:space="preserve"> </w:t>
      </w:r>
      <w:r w:rsidRPr="00BF223B">
        <w:rPr>
          <w:rFonts w:ascii="TimesNewRomanPSMT" w:hAnsi="TimesNewRomanPSMT"/>
          <w:noProof/>
          <w:lang w:val="fr-FR"/>
        </w:rPr>
        <w:t>Des références spécifiques supplémentaires seront incluses, selon le besoin, dans ces documents pour assurer que la réalisation des travaux mineurs prévus sera effectuée conformément aux normes environnementales de la Banque.</w:t>
      </w:r>
      <w:r w:rsidRPr="00BF223B">
        <w:rPr>
          <w:rFonts w:ascii="TimesNewRomanPSMT" w:hAnsi="TimesNewRomanPSMT"/>
          <w:lang w:val="fr-FR"/>
        </w:rPr>
        <w:t xml:space="preserve"> </w:t>
      </w:r>
    </w:p>
    <w:p w:rsidR="00C74DE8" w:rsidRPr="00BF223B" w:rsidRDefault="00C74DE8" w:rsidP="00C74DE8">
      <w:pPr>
        <w:autoSpaceDE w:val="0"/>
        <w:autoSpaceDN w:val="0"/>
        <w:adjustRightInd w:val="0"/>
        <w:jc w:val="both"/>
        <w:rPr>
          <w:rFonts w:ascii="TimesNewRomanPSMT" w:hAnsi="TimesNewRomanPSMT"/>
          <w:lang w:val="fr-FR"/>
        </w:rPr>
      </w:pPr>
    </w:p>
    <w:p w:rsidR="00C74DE8" w:rsidRPr="00BF223B" w:rsidRDefault="00C74DE8" w:rsidP="00C74DE8">
      <w:pPr>
        <w:autoSpaceDE w:val="0"/>
        <w:autoSpaceDN w:val="0"/>
        <w:adjustRightInd w:val="0"/>
        <w:jc w:val="both"/>
        <w:rPr>
          <w:rFonts w:ascii="TimesNewRomanPSMT" w:hAnsi="TimesNewRomanPSMT"/>
          <w:lang w:val="fr-FR"/>
        </w:rPr>
      </w:pPr>
      <w:r w:rsidRPr="00BF223B">
        <w:rPr>
          <w:rFonts w:ascii="TimesNewRomanPSMT" w:hAnsi="TimesNewRomanPSMT"/>
          <w:noProof/>
          <w:lang w:val="fr-FR"/>
        </w:rPr>
        <w:t>Les exigences que les entrepreneurs seront tenus d’observer lors de l’exécution des travaux mineurs dans le cadre du projet comprendront ce qui suit :</w:t>
      </w:r>
      <w:r w:rsidRPr="00BF223B">
        <w:rPr>
          <w:rFonts w:ascii="TimesNewRomanPSMT" w:hAnsi="TimesNewRomanPSMT"/>
          <w:lang w:val="fr-FR"/>
        </w:rPr>
        <w:t xml:space="preserve"> </w:t>
      </w:r>
    </w:p>
    <w:p w:rsidR="00C74DE8" w:rsidRPr="00BF223B" w:rsidRDefault="00C74DE8" w:rsidP="00C74DE8">
      <w:pPr>
        <w:autoSpaceDE w:val="0"/>
        <w:autoSpaceDN w:val="0"/>
        <w:adjustRightInd w:val="0"/>
        <w:jc w:val="both"/>
        <w:rPr>
          <w:rFonts w:ascii="TimesNewRomanPSMT" w:hAnsi="TimesNewRomanPSMT"/>
          <w:lang w:val="fr-FR"/>
        </w:rPr>
      </w:pPr>
    </w:p>
    <w:p w:rsidR="00C74DE8" w:rsidRPr="00BF223B" w:rsidRDefault="00C74DE8" w:rsidP="00C74DE8">
      <w:pPr>
        <w:numPr>
          <w:ilvl w:val="1"/>
          <w:numId w:val="1"/>
        </w:numPr>
        <w:autoSpaceDE w:val="0"/>
        <w:autoSpaceDN w:val="0"/>
        <w:adjustRightInd w:val="0"/>
        <w:ind w:left="0" w:firstLine="0"/>
        <w:jc w:val="both"/>
        <w:rPr>
          <w:rFonts w:ascii="MS Mincho" w:eastAsia="MS Mincho"/>
          <w:lang w:val="fr-FR"/>
        </w:rPr>
      </w:pPr>
      <w:r w:rsidRPr="00BF223B">
        <w:rPr>
          <w:rFonts w:ascii="TimesNewRomanPSMT" w:hAnsi="TimesNewRomanPSMT"/>
          <w:noProof/>
          <w:u w:val="single"/>
          <w:lang w:val="fr-FR"/>
        </w:rPr>
        <w:t>Lois, réglementations et directives en vigueur</w:t>
      </w:r>
      <w:r w:rsidRPr="00BF223B">
        <w:rPr>
          <w:rFonts w:ascii="TimesNewRomanPSMT" w:hAnsi="TimesNewRomanPSMT"/>
          <w:noProof/>
          <w:lang w:val="fr-FR"/>
        </w:rPr>
        <w:t>.</w:t>
      </w:r>
      <w:r w:rsidRPr="00BF223B">
        <w:rPr>
          <w:rFonts w:ascii="TimesNewRomanPSMT" w:hAnsi="TimesNewRomanPSMT"/>
          <w:lang w:val="fr-FR"/>
        </w:rPr>
        <w:t xml:space="preserve"> </w:t>
      </w:r>
      <w:r w:rsidRPr="00BF223B">
        <w:rPr>
          <w:rFonts w:ascii="TimesNewRomanPSMT" w:hAnsi="TimesNewRomanPSMT"/>
          <w:noProof/>
          <w:lang w:val="fr-FR"/>
        </w:rPr>
        <w:t>Les travaux mineurs pour la réhabilitation, l’agrandissement, l’adaptation et la modernisation des infrastructures seront exécutés conformément aux lois, réglementations et directives nationales pour le traitement des matériaux utilisés, les démolitions et la gestion de tous les effets directs et indirects de ces ouvrages de manière à protéger l’environnement, notamment :</w:t>
      </w:r>
    </w:p>
    <w:p w:rsidR="00C74DE8" w:rsidRPr="00BF223B" w:rsidRDefault="00C74DE8" w:rsidP="00C74DE8">
      <w:pPr>
        <w:autoSpaceDE w:val="0"/>
        <w:autoSpaceDN w:val="0"/>
        <w:adjustRightInd w:val="0"/>
        <w:jc w:val="both"/>
        <w:rPr>
          <w:rFonts w:ascii="SimSun"/>
          <w:lang w:val="fr-FR"/>
        </w:rPr>
      </w:pPr>
    </w:p>
    <w:p w:rsidR="00C74DE8" w:rsidRPr="00BF223B" w:rsidRDefault="00C74DE8" w:rsidP="00C74DE8">
      <w:pPr>
        <w:pStyle w:val="ListParagraph1"/>
        <w:numPr>
          <w:ilvl w:val="0"/>
          <w:numId w:val="2"/>
        </w:numPr>
        <w:autoSpaceDE w:val="0"/>
        <w:autoSpaceDN w:val="0"/>
        <w:adjustRightInd w:val="0"/>
        <w:jc w:val="both"/>
        <w:rPr>
          <w:rFonts w:ascii="MS Mincho" w:eastAsia="MS Mincho"/>
          <w:lang w:val="fr-FR"/>
        </w:rPr>
      </w:pPr>
      <w:r w:rsidRPr="00BF223B">
        <w:rPr>
          <w:rFonts w:ascii="TimesNewRomanPSMT" w:hAnsi="TimesNewRomanPSMT"/>
          <w:noProof/>
          <w:lang w:val="fr-FR"/>
        </w:rPr>
        <w:t>Dahir n° 1-03-194 (11</w:t>
      </w:r>
      <w:r w:rsidRPr="00BF223B">
        <w:rPr>
          <w:rFonts w:ascii="MS Mincho" w:eastAsia="MS Mincho"/>
          <w:noProof/>
          <w:lang w:val="fr-FR"/>
        </w:rPr>
        <w:t> </w:t>
      </w:r>
      <w:r w:rsidRPr="00BF223B">
        <w:rPr>
          <w:rFonts w:ascii="TimesNewRomanPSMT" w:hAnsi="TimesNewRomanPSMT"/>
          <w:noProof/>
          <w:lang w:val="fr-FR"/>
        </w:rPr>
        <w:t>septembre 2003) pour le code du travail</w:t>
      </w:r>
    </w:p>
    <w:p w:rsidR="00C74DE8" w:rsidRPr="00BF223B" w:rsidRDefault="00C74DE8" w:rsidP="00C74DE8">
      <w:pPr>
        <w:pStyle w:val="ListParagraph1"/>
        <w:numPr>
          <w:ilvl w:val="0"/>
          <w:numId w:val="2"/>
        </w:numPr>
        <w:autoSpaceDE w:val="0"/>
        <w:autoSpaceDN w:val="0"/>
        <w:adjustRightInd w:val="0"/>
        <w:jc w:val="both"/>
        <w:rPr>
          <w:rFonts w:ascii="MS Mincho" w:eastAsia="MS Mincho"/>
          <w:lang w:val="fr-FR"/>
        </w:rPr>
      </w:pPr>
      <w:r w:rsidRPr="00BF223B">
        <w:rPr>
          <w:rFonts w:ascii="TimesNewRomanPSMT" w:hAnsi="TimesNewRomanPSMT"/>
          <w:noProof/>
          <w:lang w:val="fr-FR"/>
        </w:rPr>
        <w:t>Loi n°</w:t>
      </w:r>
      <w:r w:rsidRPr="00BF223B">
        <w:rPr>
          <w:rFonts w:ascii="MS Mincho" w:eastAsia="MS Mincho"/>
          <w:noProof/>
          <w:lang w:val="fr-FR"/>
        </w:rPr>
        <w:t> </w:t>
      </w:r>
      <w:r w:rsidRPr="00BF223B">
        <w:rPr>
          <w:rFonts w:ascii="TimesNewRomanPSMT" w:hAnsi="TimesNewRomanPSMT"/>
          <w:noProof/>
          <w:lang w:val="fr-FR"/>
        </w:rPr>
        <w:t>28-00 sur la gestion des déchets (Bulletin officiel du 7</w:t>
      </w:r>
      <w:r w:rsidRPr="00BF223B">
        <w:rPr>
          <w:rFonts w:ascii="MS Mincho" w:eastAsia="MS Mincho"/>
          <w:noProof/>
          <w:lang w:val="fr-FR"/>
        </w:rPr>
        <w:t> </w:t>
      </w:r>
      <w:r w:rsidRPr="00BF223B">
        <w:rPr>
          <w:rFonts w:ascii="TimesNewRomanPSMT" w:hAnsi="TimesNewRomanPSMT"/>
          <w:noProof/>
          <w:lang w:val="fr-FR"/>
        </w:rPr>
        <w:t>décembre 2006)</w:t>
      </w:r>
    </w:p>
    <w:p w:rsidR="00C74DE8" w:rsidRPr="00BF223B" w:rsidRDefault="00C74DE8" w:rsidP="00C74DE8">
      <w:pPr>
        <w:pStyle w:val="ListParagraph1"/>
        <w:numPr>
          <w:ilvl w:val="0"/>
          <w:numId w:val="2"/>
        </w:numPr>
        <w:autoSpaceDE w:val="0"/>
        <w:autoSpaceDN w:val="0"/>
        <w:adjustRightInd w:val="0"/>
        <w:jc w:val="both"/>
        <w:rPr>
          <w:rFonts w:ascii="MS Mincho" w:eastAsia="MS Mincho"/>
          <w:lang w:val="fr-FR"/>
        </w:rPr>
      </w:pPr>
      <w:r w:rsidRPr="00BF223B">
        <w:rPr>
          <w:rFonts w:ascii="TimesNewRomanPSMT" w:hAnsi="TimesNewRomanPSMT"/>
          <w:noProof/>
          <w:lang w:val="fr-FR"/>
        </w:rPr>
        <w:t>Ordonnance interministérielle du ministère de l’Emploi et de la Formation professionnelle, du ministère de la Santé, du ministère du Commerce et des Nouvelles technologies, du ministère de l’Énergie, des Mines, de l’Eau et de l’Environnement, n°</w:t>
      </w:r>
      <w:r w:rsidRPr="00BF223B">
        <w:rPr>
          <w:rFonts w:ascii="MS Mincho" w:eastAsia="MS Mincho"/>
          <w:noProof/>
          <w:lang w:val="fr-FR"/>
        </w:rPr>
        <w:t> </w:t>
      </w:r>
      <w:r w:rsidRPr="00BF223B">
        <w:rPr>
          <w:rFonts w:ascii="TimesNewRomanPSMT" w:hAnsi="TimesNewRomanPSMT"/>
          <w:noProof/>
          <w:lang w:val="fr-FR"/>
        </w:rPr>
        <w:t>3352-10 (26</w:t>
      </w:r>
      <w:r w:rsidRPr="00BF223B">
        <w:rPr>
          <w:rFonts w:ascii="MS Mincho" w:eastAsia="MS Mincho"/>
          <w:noProof/>
          <w:lang w:val="fr-FR"/>
        </w:rPr>
        <w:t> </w:t>
      </w:r>
      <w:r w:rsidRPr="00BF223B">
        <w:rPr>
          <w:rFonts w:ascii="TimesNewRomanPSMT" w:hAnsi="TimesNewRomanPSMT"/>
          <w:noProof/>
          <w:lang w:val="fr-FR"/>
        </w:rPr>
        <w:t>octobre 2010) définissant les normes relatives à l’amiante</w:t>
      </w:r>
    </w:p>
    <w:p w:rsidR="00C74DE8" w:rsidRPr="00BF223B" w:rsidRDefault="00C74DE8" w:rsidP="00C74DE8">
      <w:pPr>
        <w:pStyle w:val="ListParagraph1"/>
        <w:numPr>
          <w:ilvl w:val="0"/>
          <w:numId w:val="2"/>
        </w:numPr>
        <w:autoSpaceDE w:val="0"/>
        <w:autoSpaceDN w:val="0"/>
        <w:adjustRightInd w:val="0"/>
        <w:jc w:val="both"/>
        <w:rPr>
          <w:rFonts w:ascii="MS Mincho" w:eastAsia="MS Mincho"/>
          <w:lang w:val="fr-FR"/>
        </w:rPr>
      </w:pPr>
      <w:r w:rsidRPr="00BF223B">
        <w:rPr>
          <w:rFonts w:ascii="TimesNewRomanPSMT" w:hAnsi="TimesNewRomanPSMT"/>
          <w:noProof/>
          <w:lang w:val="fr-FR"/>
        </w:rPr>
        <w:lastRenderedPageBreak/>
        <w:t>Ordonnance du ministère de l’Emploi et de la Formation professionnelle n°</w:t>
      </w:r>
      <w:r w:rsidRPr="00BF223B">
        <w:rPr>
          <w:rFonts w:ascii="MS Mincho" w:eastAsia="MS Mincho"/>
          <w:noProof/>
          <w:lang w:val="fr-FR"/>
        </w:rPr>
        <w:t> </w:t>
      </w:r>
      <w:r w:rsidRPr="00BF223B">
        <w:rPr>
          <w:rFonts w:ascii="TimesNewRomanPSMT" w:hAnsi="TimesNewRomanPSMT"/>
          <w:noProof/>
          <w:lang w:val="fr-FR"/>
        </w:rPr>
        <w:t>93-08 (12</w:t>
      </w:r>
      <w:r w:rsidRPr="00BF223B">
        <w:rPr>
          <w:rFonts w:ascii="MS Mincho" w:eastAsia="MS Mincho"/>
          <w:noProof/>
          <w:lang w:val="fr-FR"/>
        </w:rPr>
        <w:t> </w:t>
      </w:r>
      <w:r w:rsidRPr="00BF223B">
        <w:rPr>
          <w:rFonts w:ascii="TimesNewRomanPSMT" w:hAnsi="TimesNewRomanPSMT"/>
          <w:noProof/>
          <w:lang w:val="fr-FR"/>
        </w:rPr>
        <w:t>mai 2008) déterminant les mesures spécifiques et générales applicables aux normes de sécurité contenues dans le code du travail</w:t>
      </w:r>
    </w:p>
    <w:p w:rsidR="00C74DE8" w:rsidRPr="00BF223B" w:rsidRDefault="00C74DE8" w:rsidP="00C74DE8">
      <w:pPr>
        <w:autoSpaceDE w:val="0"/>
        <w:autoSpaceDN w:val="0"/>
        <w:adjustRightInd w:val="0"/>
        <w:jc w:val="both"/>
        <w:rPr>
          <w:rFonts w:ascii="SimSun"/>
          <w:lang w:val="fr-FR"/>
        </w:rPr>
      </w:pPr>
    </w:p>
    <w:p w:rsidR="00C74DE8" w:rsidRPr="00BF223B" w:rsidRDefault="00C74DE8" w:rsidP="00C74DE8">
      <w:pPr>
        <w:numPr>
          <w:ilvl w:val="1"/>
          <w:numId w:val="1"/>
        </w:numPr>
        <w:autoSpaceDE w:val="0"/>
        <w:autoSpaceDN w:val="0"/>
        <w:adjustRightInd w:val="0"/>
        <w:ind w:left="0" w:firstLine="0"/>
        <w:jc w:val="both"/>
        <w:rPr>
          <w:rFonts w:ascii="MS Mincho" w:eastAsia="MS Mincho"/>
          <w:lang w:val="fr-FR"/>
        </w:rPr>
      </w:pPr>
      <w:r w:rsidRPr="00BF223B">
        <w:rPr>
          <w:rFonts w:ascii="TimesNewRomanPSMT" w:hAnsi="TimesNewRomanPSMT"/>
          <w:noProof/>
          <w:u w:val="single"/>
          <w:lang w:val="fr-FR"/>
        </w:rPr>
        <w:t>Sécurité</w:t>
      </w:r>
      <w:r w:rsidRPr="00BF223B">
        <w:rPr>
          <w:rFonts w:ascii="MS Mincho" w:eastAsia="MS Mincho"/>
          <w:noProof/>
          <w:lang w:val="fr-FR"/>
        </w:rPr>
        <w:t> </w:t>
      </w:r>
      <w:r w:rsidRPr="00BF223B">
        <w:rPr>
          <w:rFonts w:ascii="TimesNewRomanPSMT" w:hAnsi="TimesNewRomanPSMT"/>
          <w:noProof/>
          <w:lang w:val="fr-FR"/>
        </w:rPr>
        <w:t>:</w:t>
      </w:r>
      <w:r w:rsidRPr="00BF223B">
        <w:rPr>
          <w:rFonts w:ascii="TimesNewRomanPSMT" w:hAnsi="TimesNewRomanPSMT"/>
          <w:lang w:val="fr-FR"/>
        </w:rPr>
        <w:t xml:space="preserve"> </w:t>
      </w:r>
      <w:r w:rsidRPr="00BF223B">
        <w:rPr>
          <w:rFonts w:ascii="TimesNewRomanPSMT" w:hAnsi="TimesNewRomanPSMT"/>
          <w:noProof/>
          <w:lang w:val="fr-FR"/>
        </w:rPr>
        <w:t>les entrepreneurs devront :</w:t>
      </w:r>
      <w:r w:rsidRPr="00BF223B">
        <w:rPr>
          <w:rFonts w:ascii="TimesNewRomanPSMT" w:hAnsi="TimesNewRomanPSMT"/>
          <w:lang w:val="fr-FR"/>
        </w:rPr>
        <w:t xml:space="preserve"> </w:t>
      </w:r>
      <w:r w:rsidRPr="00BF223B">
        <w:rPr>
          <w:rFonts w:ascii="TimesNewRomanPSMT" w:hAnsi="TimesNewRomanPSMT"/>
          <w:noProof/>
          <w:lang w:val="fr-FR"/>
        </w:rPr>
        <w:t>a) utiliser des filets pour retenir les briques et autre matériel de construction afin d’éviter tout accident à des tiers ; b)</w:t>
      </w:r>
      <w:r w:rsidRPr="00BF223B">
        <w:rPr>
          <w:rFonts w:ascii="MS Mincho" w:eastAsia="MS Mincho"/>
          <w:noProof/>
          <w:lang w:val="fr-FR"/>
        </w:rPr>
        <w:t> </w:t>
      </w:r>
      <w:r w:rsidRPr="00BF223B">
        <w:rPr>
          <w:rFonts w:ascii="TimesNewRomanPSMT" w:hAnsi="TimesNewRomanPSMT"/>
          <w:noProof/>
          <w:lang w:val="fr-FR"/>
        </w:rPr>
        <w:t>s’assurer qu’une signalisation appropriée est utilisée à l’intention des piétons, des ouvriers et autres personnes se trouvant dans la zone de travail ou à proximité ; c)</w:t>
      </w:r>
      <w:r w:rsidRPr="00BF223B">
        <w:rPr>
          <w:rFonts w:ascii="MS Mincho" w:eastAsia="MS Mincho"/>
          <w:noProof/>
          <w:lang w:val="fr-FR"/>
        </w:rPr>
        <w:t> </w:t>
      </w:r>
      <w:r w:rsidRPr="00BF223B">
        <w:rPr>
          <w:rFonts w:ascii="TimesNewRomanPSMT" w:hAnsi="TimesNewRomanPSMT"/>
          <w:noProof/>
          <w:lang w:val="fr-FR"/>
        </w:rPr>
        <w:t>faciliter le passage des piétons tout en assurant leur sécurité et d)</w:t>
      </w:r>
      <w:r w:rsidRPr="00BF223B">
        <w:rPr>
          <w:rFonts w:ascii="MS Mincho" w:eastAsia="MS Mincho"/>
          <w:noProof/>
          <w:lang w:val="fr-FR"/>
        </w:rPr>
        <w:t> </w:t>
      </w:r>
      <w:r w:rsidRPr="00BF223B">
        <w:rPr>
          <w:rFonts w:ascii="TimesNewRomanPSMT" w:hAnsi="TimesNewRomanPSMT"/>
          <w:noProof/>
          <w:lang w:val="fr-FR"/>
        </w:rPr>
        <w:t>veiller à ce que les ouvriers en bâtiment aient connaissance et comprennent bien les règles de sécurité, de façon à éviter les accidents.</w:t>
      </w:r>
    </w:p>
    <w:p w:rsidR="00C74DE8" w:rsidRPr="00BF223B" w:rsidRDefault="00C74DE8" w:rsidP="00C74DE8">
      <w:pPr>
        <w:autoSpaceDE w:val="0"/>
        <w:autoSpaceDN w:val="0"/>
        <w:adjustRightInd w:val="0"/>
        <w:jc w:val="both"/>
        <w:rPr>
          <w:rFonts w:ascii="SimSun"/>
          <w:lang w:val="fr-FR"/>
        </w:rPr>
      </w:pPr>
    </w:p>
    <w:p w:rsidR="00C74DE8" w:rsidRPr="00BF223B" w:rsidRDefault="00C74DE8" w:rsidP="00C74DE8">
      <w:pPr>
        <w:numPr>
          <w:ilvl w:val="1"/>
          <w:numId w:val="1"/>
        </w:numPr>
        <w:autoSpaceDE w:val="0"/>
        <w:autoSpaceDN w:val="0"/>
        <w:adjustRightInd w:val="0"/>
        <w:ind w:left="0" w:firstLine="0"/>
        <w:jc w:val="both"/>
        <w:rPr>
          <w:rFonts w:ascii="MS Mincho" w:eastAsia="MS Mincho"/>
          <w:lang w:val="fr-FR"/>
        </w:rPr>
      </w:pPr>
      <w:r w:rsidRPr="00BF223B">
        <w:rPr>
          <w:rFonts w:ascii="TimesNewRomanPSMT" w:hAnsi="TimesNewRomanPSMT"/>
          <w:noProof/>
          <w:u w:val="single"/>
          <w:lang w:val="fr-FR"/>
        </w:rPr>
        <w:t>Déchets solides et assainissement</w:t>
      </w:r>
      <w:r w:rsidRPr="00BF223B">
        <w:rPr>
          <w:rFonts w:ascii="MS Mincho" w:eastAsia="MS Mincho"/>
          <w:noProof/>
          <w:lang w:val="fr-FR"/>
        </w:rPr>
        <w:t> </w:t>
      </w:r>
      <w:r w:rsidRPr="00BF223B">
        <w:rPr>
          <w:rFonts w:ascii="TimesNewRomanPSMT" w:hAnsi="TimesNewRomanPSMT"/>
          <w:noProof/>
          <w:lang w:val="fr-FR"/>
        </w:rPr>
        <w:t>:</w:t>
      </w:r>
      <w:r w:rsidRPr="00BF223B">
        <w:rPr>
          <w:rFonts w:ascii="TimesNewRomanPSMT" w:hAnsi="TimesNewRomanPSMT"/>
          <w:lang w:val="fr-FR"/>
        </w:rPr>
        <w:t xml:space="preserve"> </w:t>
      </w:r>
      <w:r w:rsidRPr="00BF223B">
        <w:rPr>
          <w:rFonts w:ascii="TimesNewRomanPSMT" w:hAnsi="TimesNewRomanPSMT"/>
          <w:noProof/>
          <w:lang w:val="fr-FR"/>
        </w:rPr>
        <w:t>les entrepreneurs devront :</w:t>
      </w:r>
      <w:r w:rsidRPr="00BF223B">
        <w:rPr>
          <w:rFonts w:ascii="TimesNewRomanPSMT" w:hAnsi="TimesNewRomanPSMT"/>
          <w:lang w:val="fr-FR"/>
        </w:rPr>
        <w:t xml:space="preserve"> </w:t>
      </w:r>
      <w:r w:rsidRPr="00BF223B">
        <w:rPr>
          <w:rFonts w:ascii="TimesNewRomanPSMT" w:hAnsi="TimesNewRomanPSMT"/>
          <w:noProof/>
          <w:lang w:val="fr-FR"/>
        </w:rPr>
        <w:t>a) préciser l’emplacement où seront jetés les déchets en conformité avec les lois, réglementations ou directives environnementales locales ; b)</w:t>
      </w:r>
      <w:r w:rsidRPr="00BF223B">
        <w:rPr>
          <w:rFonts w:ascii="MS Mincho" w:eastAsia="MS Mincho"/>
          <w:noProof/>
          <w:lang w:val="fr-FR"/>
        </w:rPr>
        <w:t> </w:t>
      </w:r>
      <w:r w:rsidRPr="00BF223B">
        <w:rPr>
          <w:rFonts w:ascii="TimesNewRomanPSMT" w:hAnsi="TimesNewRomanPSMT"/>
          <w:noProof/>
          <w:lang w:val="fr-FR"/>
        </w:rPr>
        <w:t>préciser le traitement des huiles usagées et des liquides utilisés dans les machines et par le personnel ; c) déterminer l’entreposage approprié des matériaux utilisés pour la remise à neuf pendant la période de rénovation ; d)</w:t>
      </w:r>
      <w:r w:rsidRPr="00BF223B">
        <w:rPr>
          <w:rFonts w:ascii="MS Mincho" w:eastAsia="MS Mincho"/>
          <w:noProof/>
          <w:lang w:val="fr-FR"/>
        </w:rPr>
        <w:t> </w:t>
      </w:r>
      <w:r w:rsidRPr="00BF223B">
        <w:rPr>
          <w:rFonts w:ascii="TimesNewRomanPSMT" w:hAnsi="TimesNewRomanPSMT"/>
          <w:noProof/>
          <w:lang w:val="fr-FR"/>
        </w:rPr>
        <w:t>jeter les restes des repas des ouvriers, identifier et s’assurer de la disponibilité de poubelles de taille appropriée ; e)</w:t>
      </w:r>
      <w:r w:rsidRPr="00BF223B">
        <w:rPr>
          <w:rFonts w:ascii="MS Mincho" w:eastAsia="MS Mincho"/>
          <w:noProof/>
          <w:lang w:val="fr-FR"/>
        </w:rPr>
        <w:t> </w:t>
      </w:r>
      <w:r w:rsidRPr="00BF223B">
        <w:rPr>
          <w:rFonts w:ascii="TimesNewRomanPSMT" w:hAnsi="TimesNewRomanPSMT"/>
          <w:noProof/>
          <w:lang w:val="fr-FR"/>
        </w:rPr>
        <w:t>s’assurer que les restes laissés par les personnes qui vendent des plats cuisinés aux ouvriers sont jetés de façon à éviter une accumulation de déchets supplémentaires dans la zone de travail ; f)</w:t>
      </w:r>
      <w:r w:rsidRPr="00BF223B">
        <w:rPr>
          <w:rFonts w:ascii="MS Mincho" w:eastAsia="MS Mincho"/>
          <w:noProof/>
          <w:lang w:val="fr-FR"/>
        </w:rPr>
        <w:t> </w:t>
      </w:r>
      <w:r w:rsidRPr="00BF223B">
        <w:rPr>
          <w:rFonts w:ascii="TimesNewRomanPSMT" w:hAnsi="TimesNewRomanPSMT"/>
          <w:noProof/>
          <w:lang w:val="fr-FR"/>
        </w:rPr>
        <w:t xml:space="preserve">veiller à la disponibilité de toilettes/installations sanitaires appropriées pour les ouvriers durant toute la période où seront réalisés les travaux mineurs ; </w:t>
      </w:r>
      <w:r w:rsidRPr="00BF223B">
        <w:rPr>
          <w:rFonts w:ascii="MS Mincho" w:eastAsia="MS Mincho"/>
          <w:noProof/>
          <w:vertAlign w:val="superscript"/>
          <w:lang w:val="fr-FR"/>
        </w:rPr>
        <w:footnoteReference w:id="2"/>
      </w:r>
      <w:r w:rsidRPr="00BF223B">
        <w:rPr>
          <w:rFonts w:ascii="TimesNewRomanPSMT" w:hAnsi="TimesNewRomanPSMT"/>
          <w:noProof/>
          <w:lang w:val="fr-FR"/>
        </w:rPr>
        <w:t>et g) contrôler et atténuer les effets des poussières produites par les travaux.</w:t>
      </w:r>
    </w:p>
    <w:p w:rsidR="00C74DE8" w:rsidRPr="00BF223B" w:rsidRDefault="00C74DE8" w:rsidP="00C74DE8">
      <w:pPr>
        <w:autoSpaceDE w:val="0"/>
        <w:autoSpaceDN w:val="0"/>
        <w:adjustRightInd w:val="0"/>
        <w:jc w:val="both"/>
        <w:rPr>
          <w:rFonts w:ascii="SimSun"/>
          <w:lang w:val="fr-FR"/>
        </w:rPr>
      </w:pPr>
    </w:p>
    <w:p w:rsidR="00C74DE8" w:rsidRPr="00BF223B" w:rsidRDefault="00C74DE8" w:rsidP="00C74DE8">
      <w:pPr>
        <w:numPr>
          <w:ilvl w:val="1"/>
          <w:numId w:val="1"/>
        </w:numPr>
        <w:autoSpaceDE w:val="0"/>
        <w:autoSpaceDN w:val="0"/>
        <w:adjustRightInd w:val="0"/>
        <w:ind w:left="0" w:firstLine="0"/>
        <w:jc w:val="both"/>
        <w:rPr>
          <w:rFonts w:ascii="MS Mincho" w:eastAsia="MS Mincho"/>
          <w:lang w:val="fr-FR"/>
        </w:rPr>
      </w:pPr>
      <w:r w:rsidRPr="00BF223B">
        <w:rPr>
          <w:rFonts w:ascii="TimesNewRomanPSMT" w:hAnsi="TimesNewRomanPSMT"/>
          <w:noProof/>
          <w:u w:val="single"/>
          <w:lang w:val="fr-FR"/>
        </w:rPr>
        <w:t>Heures de travail et bruit</w:t>
      </w:r>
      <w:r w:rsidRPr="00BF223B">
        <w:rPr>
          <w:rFonts w:ascii="MS Mincho" w:eastAsia="MS Mincho"/>
          <w:noProof/>
          <w:lang w:val="fr-FR"/>
        </w:rPr>
        <w:t> </w:t>
      </w:r>
      <w:r w:rsidRPr="00BF223B">
        <w:rPr>
          <w:rFonts w:ascii="TimesNewRomanPSMT" w:hAnsi="TimesNewRomanPSMT"/>
          <w:noProof/>
          <w:lang w:val="fr-FR"/>
        </w:rPr>
        <w:t>:</w:t>
      </w:r>
      <w:r w:rsidRPr="00BF223B">
        <w:rPr>
          <w:rFonts w:ascii="TimesNewRomanPSMT" w:hAnsi="TimesNewRomanPSMT"/>
          <w:lang w:val="fr-FR"/>
        </w:rPr>
        <w:t xml:space="preserve"> </w:t>
      </w:r>
      <w:r w:rsidRPr="00BF223B">
        <w:rPr>
          <w:rFonts w:ascii="TimesNewRomanPSMT" w:hAnsi="TimesNewRomanPSMT"/>
          <w:noProof/>
          <w:lang w:val="fr-FR"/>
        </w:rPr>
        <w:t>les entrepreneurs adopteront un horaire de travail adéquat, veilleront à ce que les voisins ne soient pas trop incommodés par le bruit et mettront en place les outils nécessaires pour contrôler le bruit produit par les travaux mineurs.</w:t>
      </w:r>
    </w:p>
    <w:p w:rsidR="00C74DE8" w:rsidRPr="00BF223B" w:rsidRDefault="00C74DE8" w:rsidP="00C74DE8">
      <w:pPr>
        <w:autoSpaceDE w:val="0"/>
        <w:autoSpaceDN w:val="0"/>
        <w:adjustRightInd w:val="0"/>
        <w:jc w:val="both"/>
        <w:rPr>
          <w:rFonts w:ascii="SimSun"/>
          <w:lang w:val="fr-FR"/>
        </w:rPr>
      </w:pPr>
    </w:p>
    <w:p w:rsidR="00C74DE8" w:rsidRPr="00BF223B" w:rsidRDefault="00C74DE8" w:rsidP="00C74DE8">
      <w:pPr>
        <w:numPr>
          <w:ilvl w:val="1"/>
          <w:numId w:val="1"/>
        </w:numPr>
        <w:autoSpaceDE w:val="0"/>
        <w:autoSpaceDN w:val="0"/>
        <w:adjustRightInd w:val="0"/>
        <w:ind w:left="0" w:firstLine="0"/>
        <w:jc w:val="both"/>
        <w:rPr>
          <w:rFonts w:ascii="MS Mincho" w:eastAsia="MS Mincho"/>
          <w:lang w:val="fr-FR"/>
        </w:rPr>
      </w:pPr>
      <w:r w:rsidRPr="00BF223B">
        <w:rPr>
          <w:rFonts w:ascii="TimesNewRomanPSMT" w:hAnsi="TimesNewRomanPSMT"/>
          <w:noProof/>
          <w:u w:val="single"/>
          <w:lang w:val="fr-FR"/>
        </w:rPr>
        <w:t>Permis municipaux</w:t>
      </w:r>
      <w:r w:rsidRPr="00BF223B">
        <w:rPr>
          <w:rFonts w:ascii="MS Mincho" w:eastAsia="MS Mincho"/>
          <w:noProof/>
          <w:lang w:val="fr-FR"/>
        </w:rPr>
        <w:t> </w:t>
      </w:r>
      <w:r w:rsidRPr="00BF223B">
        <w:rPr>
          <w:rFonts w:ascii="TimesNewRomanPSMT" w:hAnsi="TimesNewRomanPSMT"/>
          <w:noProof/>
          <w:lang w:val="fr-FR"/>
        </w:rPr>
        <w:t>:</w:t>
      </w:r>
      <w:r w:rsidRPr="00BF223B">
        <w:rPr>
          <w:rFonts w:ascii="TimesNewRomanPSMT" w:hAnsi="TimesNewRomanPSMT"/>
          <w:lang w:val="fr-FR"/>
        </w:rPr>
        <w:t xml:space="preserve"> </w:t>
      </w:r>
      <w:r w:rsidRPr="00BF223B">
        <w:rPr>
          <w:rFonts w:ascii="TimesNewRomanPSMT" w:hAnsi="TimesNewRomanPSMT"/>
          <w:noProof/>
          <w:lang w:val="fr-FR"/>
        </w:rPr>
        <w:t>les entrepreneurs prendront toutes les dispositions nécessaires pour obtenir les permis obligatoires et se conformer à la norme environnementale établie par la municipalité concernée.</w:t>
      </w:r>
    </w:p>
    <w:p w:rsidR="00C74DE8" w:rsidRPr="00BF223B" w:rsidRDefault="00C74DE8" w:rsidP="00C74DE8">
      <w:pPr>
        <w:autoSpaceDE w:val="0"/>
        <w:autoSpaceDN w:val="0"/>
        <w:adjustRightInd w:val="0"/>
        <w:jc w:val="both"/>
        <w:rPr>
          <w:rFonts w:ascii="SimSun"/>
          <w:lang w:val="fr-FR"/>
        </w:rPr>
      </w:pPr>
    </w:p>
    <w:p w:rsidR="00C74DE8" w:rsidRPr="00BF223B" w:rsidRDefault="00C74DE8" w:rsidP="00C74DE8">
      <w:pPr>
        <w:jc w:val="both"/>
        <w:rPr>
          <w:lang w:val="fr-FR"/>
        </w:rPr>
      </w:pPr>
      <w:r w:rsidRPr="00BF223B">
        <w:rPr>
          <w:noProof/>
          <w:lang w:val="fr-FR"/>
        </w:rPr>
        <w:t xml:space="preserve">La direction des équipements et des travaux au sein du </w:t>
      </w:r>
      <w:r w:rsidRPr="00BF223B">
        <w:rPr>
          <w:noProof/>
          <w:sz w:val="22"/>
          <w:lang w:val="fr-FR"/>
        </w:rPr>
        <w:t>Ministère de la Justice et des Libertés</w:t>
      </w:r>
      <w:r w:rsidRPr="00BF223B">
        <w:rPr>
          <w:noProof/>
          <w:lang w:val="fr-FR"/>
        </w:rPr>
        <w:t xml:space="preserve"> coordonnera l’ensemble du processus de mise en œuvre et sera en charge des activités de suivi et d’évaluation.</w:t>
      </w:r>
      <w:r w:rsidRPr="00BF223B">
        <w:rPr>
          <w:lang w:val="fr-FR"/>
        </w:rPr>
        <w:t xml:space="preserve"> </w:t>
      </w:r>
    </w:p>
    <w:p w:rsidR="00C74DE8" w:rsidRPr="0043614A" w:rsidRDefault="00C74DE8" w:rsidP="00C74DE8">
      <w:pPr>
        <w:rPr>
          <w:lang w:val="fr-FR"/>
        </w:rPr>
      </w:pPr>
    </w:p>
    <w:p w:rsidR="00354EA4" w:rsidRPr="00C74DE8" w:rsidRDefault="00354EA4">
      <w:pPr>
        <w:rPr>
          <w:lang w:val="fr-FR"/>
        </w:rPr>
      </w:pPr>
    </w:p>
    <w:sectPr w:rsidR="00354EA4" w:rsidRPr="00C74DE8" w:rsidSect="00354E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EE" w:rsidRDefault="00C131EE" w:rsidP="00C74DE8">
      <w:r>
        <w:separator/>
      </w:r>
    </w:p>
  </w:endnote>
  <w:endnote w:type="continuationSeparator" w:id="0">
    <w:p w:rsidR="00C131EE" w:rsidRDefault="00C131EE" w:rsidP="00C74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EE" w:rsidRDefault="00C131EE" w:rsidP="00C74DE8">
      <w:r>
        <w:separator/>
      </w:r>
    </w:p>
  </w:footnote>
  <w:footnote w:type="continuationSeparator" w:id="0">
    <w:p w:rsidR="00C131EE" w:rsidRDefault="00C131EE" w:rsidP="00C74DE8">
      <w:r>
        <w:continuationSeparator/>
      </w:r>
    </w:p>
  </w:footnote>
  <w:footnote w:id="1">
    <w:p w:rsidR="00C74DE8" w:rsidRDefault="00C74DE8" w:rsidP="00C74DE8">
      <w:pPr>
        <w:pStyle w:val="FootnoteText"/>
      </w:pPr>
      <w:r>
        <w:rPr>
          <w:rStyle w:val="FootnoteReference"/>
        </w:rPr>
        <w:footnoteRef/>
      </w:r>
      <w:r>
        <w:t xml:space="preserve"> </w:t>
      </w:r>
      <w:hyperlink r:id="rId1" w:history="1">
        <w:r w:rsidRPr="00837414">
          <w:rPr>
            <w:rStyle w:val="Hyperlink"/>
            <w:rFonts w:ascii="Verdana" w:hAnsi="Verdana"/>
            <w:sz w:val="17"/>
            <w:szCs w:val="17"/>
          </w:rPr>
          <w:t>http://www.ifc.org/ifcext/sustainability.nsf/Content/EHSGuidelines</w:t>
        </w:r>
      </w:hyperlink>
      <w:r>
        <w:rPr>
          <w:rFonts w:ascii="Verdana" w:hAnsi="Verdana"/>
          <w:color w:val="333333"/>
          <w:sz w:val="17"/>
          <w:szCs w:val="17"/>
        </w:rPr>
        <w:t xml:space="preserve"> </w:t>
      </w:r>
    </w:p>
  </w:footnote>
  <w:footnote w:id="2">
    <w:p w:rsidR="00C74DE8" w:rsidRPr="00742613" w:rsidRDefault="00C74DE8" w:rsidP="00C74DE8">
      <w:pPr>
        <w:pStyle w:val="FootnoteText"/>
        <w:rPr>
          <w:rFonts w:cs="Times New Roman"/>
          <w:lang w:val="fr-FR"/>
        </w:rPr>
      </w:pPr>
      <w:r w:rsidRPr="00742613">
        <w:rPr>
          <w:rStyle w:val="FootnoteReference"/>
        </w:rPr>
        <w:footnoteRef/>
      </w:r>
      <w:r w:rsidRPr="00742613">
        <w:rPr>
          <w:rFonts w:cs="Times New Roman"/>
          <w:lang w:val="fr-FR"/>
        </w:rPr>
        <w:t xml:space="preserve"> </w:t>
      </w:r>
      <w:r w:rsidRPr="00742613">
        <w:rPr>
          <w:rFonts w:cs="Times New Roman"/>
          <w:noProof/>
          <w:lang w:val="fr-FR"/>
        </w:rPr>
        <w:t>Des toilettes séparées seront prévues en fonction du sexe des utilisateurs.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77A4A"/>
    <w:multiLevelType w:val="hybridMultilevel"/>
    <w:tmpl w:val="91FC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96DE7"/>
    <w:multiLevelType w:val="hybridMultilevel"/>
    <w:tmpl w:val="28C6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4DE8"/>
    <w:rsid w:val="000022C5"/>
    <w:rsid w:val="00002A11"/>
    <w:rsid w:val="00006F73"/>
    <w:rsid w:val="000117BF"/>
    <w:rsid w:val="000119E2"/>
    <w:rsid w:val="000127A8"/>
    <w:rsid w:val="00014828"/>
    <w:rsid w:val="00014AD9"/>
    <w:rsid w:val="0001614A"/>
    <w:rsid w:val="00016303"/>
    <w:rsid w:val="0001649E"/>
    <w:rsid w:val="00020610"/>
    <w:rsid w:val="000212FC"/>
    <w:rsid w:val="00023CBC"/>
    <w:rsid w:val="000246DF"/>
    <w:rsid w:val="00024FAB"/>
    <w:rsid w:val="000262C1"/>
    <w:rsid w:val="00027A82"/>
    <w:rsid w:val="000308EC"/>
    <w:rsid w:val="000349FD"/>
    <w:rsid w:val="0003651B"/>
    <w:rsid w:val="00040BD8"/>
    <w:rsid w:val="000423CD"/>
    <w:rsid w:val="00047E6D"/>
    <w:rsid w:val="0005088B"/>
    <w:rsid w:val="00053000"/>
    <w:rsid w:val="00053C46"/>
    <w:rsid w:val="000544B4"/>
    <w:rsid w:val="00061446"/>
    <w:rsid w:val="00061767"/>
    <w:rsid w:val="00063321"/>
    <w:rsid w:val="00071511"/>
    <w:rsid w:val="00072D8C"/>
    <w:rsid w:val="00073701"/>
    <w:rsid w:val="000744C2"/>
    <w:rsid w:val="00074A83"/>
    <w:rsid w:val="00077396"/>
    <w:rsid w:val="00077432"/>
    <w:rsid w:val="00085BD2"/>
    <w:rsid w:val="000876FB"/>
    <w:rsid w:val="00092542"/>
    <w:rsid w:val="00093383"/>
    <w:rsid w:val="00096819"/>
    <w:rsid w:val="000A1A70"/>
    <w:rsid w:val="000A215B"/>
    <w:rsid w:val="000A39CE"/>
    <w:rsid w:val="000A42DF"/>
    <w:rsid w:val="000A7926"/>
    <w:rsid w:val="000B3455"/>
    <w:rsid w:val="000B59B9"/>
    <w:rsid w:val="000C1D6F"/>
    <w:rsid w:val="000C674B"/>
    <w:rsid w:val="000D11E9"/>
    <w:rsid w:val="000D1F2E"/>
    <w:rsid w:val="000D2CB4"/>
    <w:rsid w:val="000D3B84"/>
    <w:rsid w:val="000D4BA2"/>
    <w:rsid w:val="000E03E8"/>
    <w:rsid w:val="000E0899"/>
    <w:rsid w:val="000E3045"/>
    <w:rsid w:val="000F1E42"/>
    <w:rsid w:val="000F3663"/>
    <w:rsid w:val="000F5289"/>
    <w:rsid w:val="000F54BB"/>
    <w:rsid w:val="001007E0"/>
    <w:rsid w:val="0010243D"/>
    <w:rsid w:val="0010262E"/>
    <w:rsid w:val="00102D9C"/>
    <w:rsid w:val="00103702"/>
    <w:rsid w:val="0010455F"/>
    <w:rsid w:val="0011525C"/>
    <w:rsid w:val="00120ED7"/>
    <w:rsid w:val="00121C3B"/>
    <w:rsid w:val="00125511"/>
    <w:rsid w:val="0012567F"/>
    <w:rsid w:val="00126C69"/>
    <w:rsid w:val="00130138"/>
    <w:rsid w:val="00133F38"/>
    <w:rsid w:val="001350EA"/>
    <w:rsid w:val="001358CC"/>
    <w:rsid w:val="001413F0"/>
    <w:rsid w:val="0014191D"/>
    <w:rsid w:val="00142390"/>
    <w:rsid w:val="0014380A"/>
    <w:rsid w:val="00145333"/>
    <w:rsid w:val="00145C82"/>
    <w:rsid w:val="00150059"/>
    <w:rsid w:val="00151207"/>
    <w:rsid w:val="001539C3"/>
    <w:rsid w:val="00157D40"/>
    <w:rsid w:val="00162327"/>
    <w:rsid w:val="00163C24"/>
    <w:rsid w:val="001648C7"/>
    <w:rsid w:val="00165BE1"/>
    <w:rsid w:val="0016638D"/>
    <w:rsid w:val="001665C2"/>
    <w:rsid w:val="00166E14"/>
    <w:rsid w:val="0017060D"/>
    <w:rsid w:val="001800B7"/>
    <w:rsid w:val="00187AA6"/>
    <w:rsid w:val="00192091"/>
    <w:rsid w:val="0019377F"/>
    <w:rsid w:val="00197408"/>
    <w:rsid w:val="001A1F09"/>
    <w:rsid w:val="001A2691"/>
    <w:rsid w:val="001A6991"/>
    <w:rsid w:val="001A6A7A"/>
    <w:rsid w:val="001A6FB4"/>
    <w:rsid w:val="001B0BC2"/>
    <w:rsid w:val="001B1339"/>
    <w:rsid w:val="001B267A"/>
    <w:rsid w:val="001C2127"/>
    <w:rsid w:val="001C2AB4"/>
    <w:rsid w:val="001D2C52"/>
    <w:rsid w:val="001D3B72"/>
    <w:rsid w:val="001D60A5"/>
    <w:rsid w:val="001E12B4"/>
    <w:rsid w:val="001E6426"/>
    <w:rsid w:val="001E66DA"/>
    <w:rsid w:val="001E7284"/>
    <w:rsid w:val="001F1852"/>
    <w:rsid w:val="001F2B4F"/>
    <w:rsid w:val="001F5936"/>
    <w:rsid w:val="001F66EF"/>
    <w:rsid w:val="002041C7"/>
    <w:rsid w:val="0020584D"/>
    <w:rsid w:val="00207E70"/>
    <w:rsid w:val="002110EF"/>
    <w:rsid w:val="00212312"/>
    <w:rsid w:val="00233B97"/>
    <w:rsid w:val="002341A0"/>
    <w:rsid w:val="00235984"/>
    <w:rsid w:val="00240725"/>
    <w:rsid w:val="0024098D"/>
    <w:rsid w:val="002422EA"/>
    <w:rsid w:val="0024255D"/>
    <w:rsid w:val="002454CD"/>
    <w:rsid w:val="00247C5D"/>
    <w:rsid w:val="00252ABB"/>
    <w:rsid w:val="00261D40"/>
    <w:rsid w:val="002625DC"/>
    <w:rsid w:val="0026264A"/>
    <w:rsid w:val="00264B96"/>
    <w:rsid w:val="00267020"/>
    <w:rsid w:val="00270A26"/>
    <w:rsid w:val="00272C4C"/>
    <w:rsid w:val="00273596"/>
    <w:rsid w:val="00273BDB"/>
    <w:rsid w:val="00274645"/>
    <w:rsid w:val="00274706"/>
    <w:rsid w:val="0027584E"/>
    <w:rsid w:val="002769C3"/>
    <w:rsid w:val="00281CF6"/>
    <w:rsid w:val="00290705"/>
    <w:rsid w:val="0029240C"/>
    <w:rsid w:val="00292BD9"/>
    <w:rsid w:val="00293B3F"/>
    <w:rsid w:val="00294B7C"/>
    <w:rsid w:val="00295022"/>
    <w:rsid w:val="002A5DEC"/>
    <w:rsid w:val="002A63E7"/>
    <w:rsid w:val="002B10CE"/>
    <w:rsid w:val="002B1420"/>
    <w:rsid w:val="002B348F"/>
    <w:rsid w:val="002B37BD"/>
    <w:rsid w:val="002B425D"/>
    <w:rsid w:val="002B4981"/>
    <w:rsid w:val="002B5F76"/>
    <w:rsid w:val="002C28E1"/>
    <w:rsid w:val="002C6FCE"/>
    <w:rsid w:val="002D2D27"/>
    <w:rsid w:val="002E085F"/>
    <w:rsid w:val="002E1977"/>
    <w:rsid w:val="002E1A7E"/>
    <w:rsid w:val="002E202A"/>
    <w:rsid w:val="002F0161"/>
    <w:rsid w:val="002F2E3B"/>
    <w:rsid w:val="002F4488"/>
    <w:rsid w:val="00300B40"/>
    <w:rsid w:val="00302A2B"/>
    <w:rsid w:val="00310204"/>
    <w:rsid w:val="00311E0A"/>
    <w:rsid w:val="00313017"/>
    <w:rsid w:val="00321EC6"/>
    <w:rsid w:val="00322639"/>
    <w:rsid w:val="00323BB0"/>
    <w:rsid w:val="00324E04"/>
    <w:rsid w:val="0032528C"/>
    <w:rsid w:val="003318BC"/>
    <w:rsid w:val="00331A6D"/>
    <w:rsid w:val="00333AD7"/>
    <w:rsid w:val="003360F6"/>
    <w:rsid w:val="00336872"/>
    <w:rsid w:val="00344032"/>
    <w:rsid w:val="003457BD"/>
    <w:rsid w:val="0035067A"/>
    <w:rsid w:val="00353768"/>
    <w:rsid w:val="00354A86"/>
    <w:rsid w:val="00354EA4"/>
    <w:rsid w:val="00354FAA"/>
    <w:rsid w:val="0035632C"/>
    <w:rsid w:val="003602DB"/>
    <w:rsid w:val="00363353"/>
    <w:rsid w:val="0036446C"/>
    <w:rsid w:val="00366B6F"/>
    <w:rsid w:val="00373341"/>
    <w:rsid w:val="0037539D"/>
    <w:rsid w:val="00375AFB"/>
    <w:rsid w:val="0038185F"/>
    <w:rsid w:val="00384BB3"/>
    <w:rsid w:val="003946AE"/>
    <w:rsid w:val="00395D3A"/>
    <w:rsid w:val="003A046F"/>
    <w:rsid w:val="003A0569"/>
    <w:rsid w:val="003A18D5"/>
    <w:rsid w:val="003A2D25"/>
    <w:rsid w:val="003B0C59"/>
    <w:rsid w:val="003B183A"/>
    <w:rsid w:val="003B5979"/>
    <w:rsid w:val="003B7276"/>
    <w:rsid w:val="003C2AF5"/>
    <w:rsid w:val="003C3EF7"/>
    <w:rsid w:val="003D4418"/>
    <w:rsid w:val="003D6BD1"/>
    <w:rsid w:val="003D7831"/>
    <w:rsid w:val="003E1825"/>
    <w:rsid w:val="003E2251"/>
    <w:rsid w:val="003E2CD1"/>
    <w:rsid w:val="003E3BA6"/>
    <w:rsid w:val="003E4DC1"/>
    <w:rsid w:val="003E5347"/>
    <w:rsid w:val="003E5D18"/>
    <w:rsid w:val="003E78A9"/>
    <w:rsid w:val="003F420E"/>
    <w:rsid w:val="003F5F35"/>
    <w:rsid w:val="003F6A0E"/>
    <w:rsid w:val="003F6A2B"/>
    <w:rsid w:val="003F6D9D"/>
    <w:rsid w:val="003F7C07"/>
    <w:rsid w:val="00404F21"/>
    <w:rsid w:val="00405285"/>
    <w:rsid w:val="0040663B"/>
    <w:rsid w:val="00406E59"/>
    <w:rsid w:val="00410406"/>
    <w:rsid w:val="00413F89"/>
    <w:rsid w:val="004147DB"/>
    <w:rsid w:val="00415266"/>
    <w:rsid w:val="0041788C"/>
    <w:rsid w:val="00422E85"/>
    <w:rsid w:val="004238B9"/>
    <w:rsid w:val="00423C1C"/>
    <w:rsid w:val="00424FF2"/>
    <w:rsid w:val="00426282"/>
    <w:rsid w:val="00436A49"/>
    <w:rsid w:val="00437FE5"/>
    <w:rsid w:val="00440B20"/>
    <w:rsid w:val="00447617"/>
    <w:rsid w:val="004504DB"/>
    <w:rsid w:val="004525DF"/>
    <w:rsid w:val="00453408"/>
    <w:rsid w:val="004551AF"/>
    <w:rsid w:val="0045546A"/>
    <w:rsid w:val="00456148"/>
    <w:rsid w:val="0046076A"/>
    <w:rsid w:val="0046259C"/>
    <w:rsid w:val="00463342"/>
    <w:rsid w:val="00465467"/>
    <w:rsid w:val="00471ADA"/>
    <w:rsid w:val="0048224E"/>
    <w:rsid w:val="00484E33"/>
    <w:rsid w:val="004856D4"/>
    <w:rsid w:val="00485E5F"/>
    <w:rsid w:val="004902ED"/>
    <w:rsid w:val="00490FB5"/>
    <w:rsid w:val="00491D4E"/>
    <w:rsid w:val="00492000"/>
    <w:rsid w:val="004921A4"/>
    <w:rsid w:val="004945BC"/>
    <w:rsid w:val="004956EA"/>
    <w:rsid w:val="004970B3"/>
    <w:rsid w:val="004A01CF"/>
    <w:rsid w:val="004A0670"/>
    <w:rsid w:val="004A08D4"/>
    <w:rsid w:val="004A2479"/>
    <w:rsid w:val="004A3488"/>
    <w:rsid w:val="004A480D"/>
    <w:rsid w:val="004B25E3"/>
    <w:rsid w:val="004B506D"/>
    <w:rsid w:val="004B52BA"/>
    <w:rsid w:val="004B56E0"/>
    <w:rsid w:val="004B7B83"/>
    <w:rsid w:val="004C027D"/>
    <w:rsid w:val="004C22E4"/>
    <w:rsid w:val="004C3B24"/>
    <w:rsid w:val="004C4023"/>
    <w:rsid w:val="004C77B5"/>
    <w:rsid w:val="004D40E7"/>
    <w:rsid w:val="004E3925"/>
    <w:rsid w:val="004F2583"/>
    <w:rsid w:val="004F35FF"/>
    <w:rsid w:val="00501789"/>
    <w:rsid w:val="0050182C"/>
    <w:rsid w:val="00502D4D"/>
    <w:rsid w:val="0050419A"/>
    <w:rsid w:val="00505D1D"/>
    <w:rsid w:val="00505D8F"/>
    <w:rsid w:val="0050761F"/>
    <w:rsid w:val="005119A7"/>
    <w:rsid w:val="0051220F"/>
    <w:rsid w:val="00512F5A"/>
    <w:rsid w:val="00513839"/>
    <w:rsid w:val="0052031A"/>
    <w:rsid w:val="00521BA5"/>
    <w:rsid w:val="005244BA"/>
    <w:rsid w:val="00525270"/>
    <w:rsid w:val="00525797"/>
    <w:rsid w:val="00526D66"/>
    <w:rsid w:val="005341A2"/>
    <w:rsid w:val="00537631"/>
    <w:rsid w:val="00537781"/>
    <w:rsid w:val="00540863"/>
    <w:rsid w:val="0054130D"/>
    <w:rsid w:val="005414FF"/>
    <w:rsid w:val="00541AEC"/>
    <w:rsid w:val="00542CF4"/>
    <w:rsid w:val="005444C0"/>
    <w:rsid w:val="00545208"/>
    <w:rsid w:val="00550004"/>
    <w:rsid w:val="00550368"/>
    <w:rsid w:val="00552DB3"/>
    <w:rsid w:val="00557919"/>
    <w:rsid w:val="00557E29"/>
    <w:rsid w:val="00563F51"/>
    <w:rsid w:val="00565E15"/>
    <w:rsid w:val="00566A60"/>
    <w:rsid w:val="00566EAC"/>
    <w:rsid w:val="00572844"/>
    <w:rsid w:val="00572ABA"/>
    <w:rsid w:val="00574921"/>
    <w:rsid w:val="00574D7E"/>
    <w:rsid w:val="00580459"/>
    <w:rsid w:val="00581144"/>
    <w:rsid w:val="00585E71"/>
    <w:rsid w:val="005871EF"/>
    <w:rsid w:val="00590FB3"/>
    <w:rsid w:val="005A4256"/>
    <w:rsid w:val="005A4507"/>
    <w:rsid w:val="005A565F"/>
    <w:rsid w:val="005A5F7B"/>
    <w:rsid w:val="005B00D7"/>
    <w:rsid w:val="005B1C70"/>
    <w:rsid w:val="005B2048"/>
    <w:rsid w:val="005C2829"/>
    <w:rsid w:val="005C4BCB"/>
    <w:rsid w:val="005C55E1"/>
    <w:rsid w:val="005D42C8"/>
    <w:rsid w:val="005D6F3B"/>
    <w:rsid w:val="005D710B"/>
    <w:rsid w:val="005D79CD"/>
    <w:rsid w:val="005E191C"/>
    <w:rsid w:val="005E1A4E"/>
    <w:rsid w:val="005E1D3F"/>
    <w:rsid w:val="005E639C"/>
    <w:rsid w:val="005F088C"/>
    <w:rsid w:val="005F08FD"/>
    <w:rsid w:val="005F51A1"/>
    <w:rsid w:val="005F583B"/>
    <w:rsid w:val="005F636B"/>
    <w:rsid w:val="005F7AC2"/>
    <w:rsid w:val="00601138"/>
    <w:rsid w:val="00601FC8"/>
    <w:rsid w:val="00606B97"/>
    <w:rsid w:val="0061280B"/>
    <w:rsid w:val="00616F8C"/>
    <w:rsid w:val="00617B65"/>
    <w:rsid w:val="006206E7"/>
    <w:rsid w:val="00625697"/>
    <w:rsid w:val="00627F1C"/>
    <w:rsid w:val="0063107C"/>
    <w:rsid w:val="0063119E"/>
    <w:rsid w:val="006374A3"/>
    <w:rsid w:val="00643C0D"/>
    <w:rsid w:val="006461E3"/>
    <w:rsid w:val="006508F0"/>
    <w:rsid w:val="006521D8"/>
    <w:rsid w:val="006640FE"/>
    <w:rsid w:val="00664E6D"/>
    <w:rsid w:val="00666F5F"/>
    <w:rsid w:val="00670182"/>
    <w:rsid w:val="00673202"/>
    <w:rsid w:val="00674842"/>
    <w:rsid w:val="006760C8"/>
    <w:rsid w:val="00676C1C"/>
    <w:rsid w:val="006837A2"/>
    <w:rsid w:val="006858F6"/>
    <w:rsid w:val="00692E40"/>
    <w:rsid w:val="0069318C"/>
    <w:rsid w:val="006947A2"/>
    <w:rsid w:val="006A214E"/>
    <w:rsid w:val="006A361F"/>
    <w:rsid w:val="006A5EA4"/>
    <w:rsid w:val="006A78B9"/>
    <w:rsid w:val="006B1250"/>
    <w:rsid w:val="006B1846"/>
    <w:rsid w:val="006B4A30"/>
    <w:rsid w:val="006B5C00"/>
    <w:rsid w:val="006B6936"/>
    <w:rsid w:val="006C3A75"/>
    <w:rsid w:val="006C436A"/>
    <w:rsid w:val="006D434F"/>
    <w:rsid w:val="006D4DC2"/>
    <w:rsid w:val="006D686F"/>
    <w:rsid w:val="006D7E5A"/>
    <w:rsid w:val="006E551E"/>
    <w:rsid w:val="006E7348"/>
    <w:rsid w:val="006F0011"/>
    <w:rsid w:val="006F15EC"/>
    <w:rsid w:val="006F1AEF"/>
    <w:rsid w:val="006F4A77"/>
    <w:rsid w:val="006F4B2A"/>
    <w:rsid w:val="006F6740"/>
    <w:rsid w:val="006F7D66"/>
    <w:rsid w:val="0070484C"/>
    <w:rsid w:val="007062D2"/>
    <w:rsid w:val="0070683C"/>
    <w:rsid w:val="00712725"/>
    <w:rsid w:val="00712A4D"/>
    <w:rsid w:val="00714E4A"/>
    <w:rsid w:val="00720B90"/>
    <w:rsid w:val="00723175"/>
    <w:rsid w:val="00724DCB"/>
    <w:rsid w:val="00725117"/>
    <w:rsid w:val="0072624B"/>
    <w:rsid w:val="007273D9"/>
    <w:rsid w:val="0072744D"/>
    <w:rsid w:val="00731184"/>
    <w:rsid w:val="007359FC"/>
    <w:rsid w:val="00740488"/>
    <w:rsid w:val="00743329"/>
    <w:rsid w:val="00744F6B"/>
    <w:rsid w:val="007451FF"/>
    <w:rsid w:val="007543FD"/>
    <w:rsid w:val="007552D2"/>
    <w:rsid w:val="007570E1"/>
    <w:rsid w:val="00764024"/>
    <w:rsid w:val="00775A67"/>
    <w:rsid w:val="0078129E"/>
    <w:rsid w:val="0078181D"/>
    <w:rsid w:val="007827D4"/>
    <w:rsid w:val="00782A81"/>
    <w:rsid w:val="00782B71"/>
    <w:rsid w:val="0078572B"/>
    <w:rsid w:val="0079046A"/>
    <w:rsid w:val="00790E6E"/>
    <w:rsid w:val="00792265"/>
    <w:rsid w:val="00792DFE"/>
    <w:rsid w:val="0079434F"/>
    <w:rsid w:val="007A11DF"/>
    <w:rsid w:val="007A2820"/>
    <w:rsid w:val="007B111D"/>
    <w:rsid w:val="007B3F43"/>
    <w:rsid w:val="007B6AF3"/>
    <w:rsid w:val="007B743A"/>
    <w:rsid w:val="007C21FE"/>
    <w:rsid w:val="007C4CF8"/>
    <w:rsid w:val="007C52E8"/>
    <w:rsid w:val="007C5FF7"/>
    <w:rsid w:val="007C634D"/>
    <w:rsid w:val="007C6DC0"/>
    <w:rsid w:val="007D1855"/>
    <w:rsid w:val="007D1A9E"/>
    <w:rsid w:val="007D20A1"/>
    <w:rsid w:val="007D2572"/>
    <w:rsid w:val="007D42FA"/>
    <w:rsid w:val="007D4944"/>
    <w:rsid w:val="007D499A"/>
    <w:rsid w:val="007D681A"/>
    <w:rsid w:val="007E04E7"/>
    <w:rsid w:val="007E1040"/>
    <w:rsid w:val="007F3708"/>
    <w:rsid w:val="007F37A9"/>
    <w:rsid w:val="007F3F16"/>
    <w:rsid w:val="007F545F"/>
    <w:rsid w:val="00801639"/>
    <w:rsid w:val="008040C3"/>
    <w:rsid w:val="00804810"/>
    <w:rsid w:val="00804A81"/>
    <w:rsid w:val="00804ED9"/>
    <w:rsid w:val="00805A1A"/>
    <w:rsid w:val="00805EF0"/>
    <w:rsid w:val="00806C51"/>
    <w:rsid w:val="00813BA6"/>
    <w:rsid w:val="00816B10"/>
    <w:rsid w:val="00822AF7"/>
    <w:rsid w:val="008249EF"/>
    <w:rsid w:val="00825FFF"/>
    <w:rsid w:val="0083068E"/>
    <w:rsid w:val="00831B7D"/>
    <w:rsid w:val="008333B7"/>
    <w:rsid w:val="008353FE"/>
    <w:rsid w:val="00852142"/>
    <w:rsid w:val="00855336"/>
    <w:rsid w:val="008611FE"/>
    <w:rsid w:val="00864F7F"/>
    <w:rsid w:val="00867C28"/>
    <w:rsid w:val="0087294F"/>
    <w:rsid w:val="00872E26"/>
    <w:rsid w:val="008757BA"/>
    <w:rsid w:val="008763C3"/>
    <w:rsid w:val="00881508"/>
    <w:rsid w:val="00884BE1"/>
    <w:rsid w:val="00885436"/>
    <w:rsid w:val="00891D09"/>
    <w:rsid w:val="00891EB0"/>
    <w:rsid w:val="008941D1"/>
    <w:rsid w:val="00897F41"/>
    <w:rsid w:val="008A0A7A"/>
    <w:rsid w:val="008A13FB"/>
    <w:rsid w:val="008A275B"/>
    <w:rsid w:val="008A325B"/>
    <w:rsid w:val="008B1429"/>
    <w:rsid w:val="008B6DFD"/>
    <w:rsid w:val="008C075A"/>
    <w:rsid w:val="008C22F8"/>
    <w:rsid w:val="008C71FE"/>
    <w:rsid w:val="008D1B20"/>
    <w:rsid w:val="008D3284"/>
    <w:rsid w:val="008D665D"/>
    <w:rsid w:val="008E2A26"/>
    <w:rsid w:val="008E5DE3"/>
    <w:rsid w:val="008E690F"/>
    <w:rsid w:val="008E6BBC"/>
    <w:rsid w:val="008E6C39"/>
    <w:rsid w:val="008F14A7"/>
    <w:rsid w:val="00900396"/>
    <w:rsid w:val="0090575A"/>
    <w:rsid w:val="00905D22"/>
    <w:rsid w:val="00906AEE"/>
    <w:rsid w:val="00907DD1"/>
    <w:rsid w:val="00910538"/>
    <w:rsid w:val="0091148D"/>
    <w:rsid w:val="00912858"/>
    <w:rsid w:val="00914073"/>
    <w:rsid w:val="0091531F"/>
    <w:rsid w:val="00915CD8"/>
    <w:rsid w:val="00917242"/>
    <w:rsid w:val="00930074"/>
    <w:rsid w:val="00931159"/>
    <w:rsid w:val="009319B6"/>
    <w:rsid w:val="00933C8A"/>
    <w:rsid w:val="00933E7C"/>
    <w:rsid w:val="0093494F"/>
    <w:rsid w:val="009403D4"/>
    <w:rsid w:val="00941101"/>
    <w:rsid w:val="009422BF"/>
    <w:rsid w:val="00943D50"/>
    <w:rsid w:val="00944B57"/>
    <w:rsid w:val="00960E96"/>
    <w:rsid w:val="00964ECF"/>
    <w:rsid w:val="00966C22"/>
    <w:rsid w:val="00966E61"/>
    <w:rsid w:val="00967266"/>
    <w:rsid w:val="00974666"/>
    <w:rsid w:val="00975263"/>
    <w:rsid w:val="00975520"/>
    <w:rsid w:val="00975B7A"/>
    <w:rsid w:val="009766A8"/>
    <w:rsid w:val="009803EE"/>
    <w:rsid w:val="00987085"/>
    <w:rsid w:val="009873CB"/>
    <w:rsid w:val="009950B6"/>
    <w:rsid w:val="00996341"/>
    <w:rsid w:val="009A0C49"/>
    <w:rsid w:val="009A110A"/>
    <w:rsid w:val="009A2352"/>
    <w:rsid w:val="009A2E99"/>
    <w:rsid w:val="009A3279"/>
    <w:rsid w:val="009A6290"/>
    <w:rsid w:val="009A6770"/>
    <w:rsid w:val="009B2140"/>
    <w:rsid w:val="009B394B"/>
    <w:rsid w:val="009B73B9"/>
    <w:rsid w:val="009B7B30"/>
    <w:rsid w:val="009C2EC4"/>
    <w:rsid w:val="009C5005"/>
    <w:rsid w:val="009C6952"/>
    <w:rsid w:val="009C7D83"/>
    <w:rsid w:val="009D10A9"/>
    <w:rsid w:val="009D2F16"/>
    <w:rsid w:val="009D3223"/>
    <w:rsid w:val="009D3F92"/>
    <w:rsid w:val="009D42B2"/>
    <w:rsid w:val="009D5764"/>
    <w:rsid w:val="009E0BFA"/>
    <w:rsid w:val="009E7134"/>
    <w:rsid w:val="009E721D"/>
    <w:rsid w:val="009E737E"/>
    <w:rsid w:val="009F4C1A"/>
    <w:rsid w:val="009F52D0"/>
    <w:rsid w:val="009F58BB"/>
    <w:rsid w:val="009F5E43"/>
    <w:rsid w:val="009F6977"/>
    <w:rsid w:val="00A03F74"/>
    <w:rsid w:val="00A04009"/>
    <w:rsid w:val="00A04491"/>
    <w:rsid w:val="00A04A83"/>
    <w:rsid w:val="00A10ED3"/>
    <w:rsid w:val="00A13572"/>
    <w:rsid w:val="00A179DD"/>
    <w:rsid w:val="00A20961"/>
    <w:rsid w:val="00A20FC2"/>
    <w:rsid w:val="00A23E01"/>
    <w:rsid w:val="00A32595"/>
    <w:rsid w:val="00A35836"/>
    <w:rsid w:val="00A3646D"/>
    <w:rsid w:val="00A37825"/>
    <w:rsid w:val="00A40FA4"/>
    <w:rsid w:val="00A4192C"/>
    <w:rsid w:val="00A42CE9"/>
    <w:rsid w:val="00A47841"/>
    <w:rsid w:val="00A60709"/>
    <w:rsid w:val="00A633B0"/>
    <w:rsid w:val="00A652F7"/>
    <w:rsid w:val="00A65911"/>
    <w:rsid w:val="00A665C1"/>
    <w:rsid w:val="00A71384"/>
    <w:rsid w:val="00A73B2B"/>
    <w:rsid w:val="00A74D3D"/>
    <w:rsid w:val="00A75FB5"/>
    <w:rsid w:val="00A806D7"/>
    <w:rsid w:val="00A8254D"/>
    <w:rsid w:val="00A8442C"/>
    <w:rsid w:val="00A86452"/>
    <w:rsid w:val="00A8670E"/>
    <w:rsid w:val="00A9070F"/>
    <w:rsid w:val="00A908C6"/>
    <w:rsid w:val="00A90A08"/>
    <w:rsid w:val="00A92704"/>
    <w:rsid w:val="00A93728"/>
    <w:rsid w:val="00AA0457"/>
    <w:rsid w:val="00AA0A2C"/>
    <w:rsid w:val="00AA12A0"/>
    <w:rsid w:val="00AA3126"/>
    <w:rsid w:val="00AA3CCE"/>
    <w:rsid w:val="00AA65BE"/>
    <w:rsid w:val="00AA72FA"/>
    <w:rsid w:val="00AA7DE2"/>
    <w:rsid w:val="00AB19AA"/>
    <w:rsid w:val="00AB63E8"/>
    <w:rsid w:val="00AC013B"/>
    <w:rsid w:val="00AC1406"/>
    <w:rsid w:val="00AD1A5E"/>
    <w:rsid w:val="00AD3E78"/>
    <w:rsid w:val="00AD56F5"/>
    <w:rsid w:val="00AE2014"/>
    <w:rsid w:val="00AE5074"/>
    <w:rsid w:val="00AE58BD"/>
    <w:rsid w:val="00AF07D3"/>
    <w:rsid w:val="00AF25DA"/>
    <w:rsid w:val="00AF477F"/>
    <w:rsid w:val="00AF6FFF"/>
    <w:rsid w:val="00AF7B59"/>
    <w:rsid w:val="00AF7F2C"/>
    <w:rsid w:val="00B013B7"/>
    <w:rsid w:val="00B02066"/>
    <w:rsid w:val="00B02685"/>
    <w:rsid w:val="00B03C81"/>
    <w:rsid w:val="00B07FEF"/>
    <w:rsid w:val="00B12C58"/>
    <w:rsid w:val="00B15EBA"/>
    <w:rsid w:val="00B162CA"/>
    <w:rsid w:val="00B17D2B"/>
    <w:rsid w:val="00B17FE8"/>
    <w:rsid w:val="00B20E87"/>
    <w:rsid w:val="00B20F33"/>
    <w:rsid w:val="00B262C3"/>
    <w:rsid w:val="00B3206B"/>
    <w:rsid w:val="00B37AF0"/>
    <w:rsid w:val="00B40218"/>
    <w:rsid w:val="00B432B7"/>
    <w:rsid w:val="00B471B6"/>
    <w:rsid w:val="00B50D1E"/>
    <w:rsid w:val="00B52976"/>
    <w:rsid w:val="00B5489F"/>
    <w:rsid w:val="00B621D7"/>
    <w:rsid w:val="00B641B5"/>
    <w:rsid w:val="00B641C5"/>
    <w:rsid w:val="00B6558B"/>
    <w:rsid w:val="00B71071"/>
    <w:rsid w:val="00B74EAA"/>
    <w:rsid w:val="00B751CC"/>
    <w:rsid w:val="00B77248"/>
    <w:rsid w:val="00B774C2"/>
    <w:rsid w:val="00B77F69"/>
    <w:rsid w:val="00B80007"/>
    <w:rsid w:val="00B86488"/>
    <w:rsid w:val="00B87329"/>
    <w:rsid w:val="00B90B22"/>
    <w:rsid w:val="00B93535"/>
    <w:rsid w:val="00B9440B"/>
    <w:rsid w:val="00B95C02"/>
    <w:rsid w:val="00BA17E4"/>
    <w:rsid w:val="00BA20C5"/>
    <w:rsid w:val="00BA213A"/>
    <w:rsid w:val="00BA254F"/>
    <w:rsid w:val="00BA2ECC"/>
    <w:rsid w:val="00BA5A46"/>
    <w:rsid w:val="00BA6030"/>
    <w:rsid w:val="00BA68C7"/>
    <w:rsid w:val="00BB175E"/>
    <w:rsid w:val="00BB1C6B"/>
    <w:rsid w:val="00BB2D9D"/>
    <w:rsid w:val="00BB34B0"/>
    <w:rsid w:val="00BC1DDC"/>
    <w:rsid w:val="00BC324A"/>
    <w:rsid w:val="00BC4ECE"/>
    <w:rsid w:val="00BC4EF9"/>
    <w:rsid w:val="00BD2A5C"/>
    <w:rsid w:val="00BD4CAE"/>
    <w:rsid w:val="00BE083E"/>
    <w:rsid w:val="00BE38B9"/>
    <w:rsid w:val="00BE407F"/>
    <w:rsid w:val="00BE5D84"/>
    <w:rsid w:val="00BE6532"/>
    <w:rsid w:val="00BE7CAE"/>
    <w:rsid w:val="00BF54BE"/>
    <w:rsid w:val="00BF6C4A"/>
    <w:rsid w:val="00BF7738"/>
    <w:rsid w:val="00BF7D09"/>
    <w:rsid w:val="00C00754"/>
    <w:rsid w:val="00C0101B"/>
    <w:rsid w:val="00C03B29"/>
    <w:rsid w:val="00C04C22"/>
    <w:rsid w:val="00C05303"/>
    <w:rsid w:val="00C1216D"/>
    <w:rsid w:val="00C131EE"/>
    <w:rsid w:val="00C140B9"/>
    <w:rsid w:val="00C20612"/>
    <w:rsid w:val="00C2234F"/>
    <w:rsid w:val="00C2269A"/>
    <w:rsid w:val="00C2280B"/>
    <w:rsid w:val="00C22DF4"/>
    <w:rsid w:val="00C23A1B"/>
    <w:rsid w:val="00C23C73"/>
    <w:rsid w:val="00C240AA"/>
    <w:rsid w:val="00C26885"/>
    <w:rsid w:val="00C279D1"/>
    <w:rsid w:val="00C32327"/>
    <w:rsid w:val="00C325F8"/>
    <w:rsid w:val="00C35DFE"/>
    <w:rsid w:val="00C370F4"/>
    <w:rsid w:val="00C37B0C"/>
    <w:rsid w:val="00C46532"/>
    <w:rsid w:val="00C51AEE"/>
    <w:rsid w:val="00C52089"/>
    <w:rsid w:val="00C535B2"/>
    <w:rsid w:val="00C55632"/>
    <w:rsid w:val="00C557D0"/>
    <w:rsid w:val="00C6484D"/>
    <w:rsid w:val="00C71501"/>
    <w:rsid w:val="00C72E0A"/>
    <w:rsid w:val="00C74DE8"/>
    <w:rsid w:val="00C74ED0"/>
    <w:rsid w:val="00C755A6"/>
    <w:rsid w:val="00C770A8"/>
    <w:rsid w:val="00C853B1"/>
    <w:rsid w:val="00C858F4"/>
    <w:rsid w:val="00C870C3"/>
    <w:rsid w:val="00C9105E"/>
    <w:rsid w:val="00C91E89"/>
    <w:rsid w:val="00C92B80"/>
    <w:rsid w:val="00C965F9"/>
    <w:rsid w:val="00CA0736"/>
    <w:rsid w:val="00CA2DE7"/>
    <w:rsid w:val="00CA325A"/>
    <w:rsid w:val="00CA4257"/>
    <w:rsid w:val="00CA4FC1"/>
    <w:rsid w:val="00CA67E9"/>
    <w:rsid w:val="00CB060F"/>
    <w:rsid w:val="00CB2276"/>
    <w:rsid w:val="00CB240A"/>
    <w:rsid w:val="00CB30F3"/>
    <w:rsid w:val="00CB3294"/>
    <w:rsid w:val="00CB35D0"/>
    <w:rsid w:val="00CB3E2F"/>
    <w:rsid w:val="00CB4B4C"/>
    <w:rsid w:val="00CB5449"/>
    <w:rsid w:val="00CC0482"/>
    <w:rsid w:val="00CC2FF7"/>
    <w:rsid w:val="00CC4706"/>
    <w:rsid w:val="00CC56FA"/>
    <w:rsid w:val="00CC5BFA"/>
    <w:rsid w:val="00CC6A3E"/>
    <w:rsid w:val="00CD10F4"/>
    <w:rsid w:val="00CD32F1"/>
    <w:rsid w:val="00CD4C1D"/>
    <w:rsid w:val="00CD6D48"/>
    <w:rsid w:val="00CE0BA2"/>
    <w:rsid w:val="00CE0C0C"/>
    <w:rsid w:val="00CE2B2A"/>
    <w:rsid w:val="00CE6466"/>
    <w:rsid w:val="00CF21B6"/>
    <w:rsid w:val="00CF4979"/>
    <w:rsid w:val="00CF5723"/>
    <w:rsid w:val="00CF7BD9"/>
    <w:rsid w:val="00D03C0E"/>
    <w:rsid w:val="00D05378"/>
    <w:rsid w:val="00D107AF"/>
    <w:rsid w:val="00D11991"/>
    <w:rsid w:val="00D13B86"/>
    <w:rsid w:val="00D23928"/>
    <w:rsid w:val="00D301D1"/>
    <w:rsid w:val="00D32CA2"/>
    <w:rsid w:val="00D3358F"/>
    <w:rsid w:val="00D3417D"/>
    <w:rsid w:val="00D346DE"/>
    <w:rsid w:val="00D35CAC"/>
    <w:rsid w:val="00D419D8"/>
    <w:rsid w:val="00D42E28"/>
    <w:rsid w:val="00D43140"/>
    <w:rsid w:val="00D448A2"/>
    <w:rsid w:val="00D45FD9"/>
    <w:rsid w:val="00D51436"/>
    <w:rsid w:val="00D535D5"/>
    <w:rsid w:val="00D53B0D"/>
    <w:rsid w:val="00D5435A"/>
    <w:rsid w:val="00D5533E"/>
    <w:rsid w:val="00D55D44"/>
    <w:rsid w:val="00D55F49"/>
    <w:rsid w:val="00D56839"/>
    <w:rsid w:val="00D63FF1"/>
    <w:rsid w:val="00D66435"/>
    <w:rsid w:val="00D66BB8"/>
    <w:rsid w:val="00D67C8A"/>
    <w:rsid w:val="00D7763E"/>
    <w:rsid w:val="00D81702"/>
    <w:rsid w:val="00D825C7"/>
    <w:rsid w:val="00D8287A"/>
    <w:rsid w:val="00D83A2A"/>
    <w:rsid w:val="00D84D61"/>
    <w:rsid w:val="00D862F3"/>
    <w:rsid w:val="00D866D7"/>
    <w:rsid w:val="00D86BAF"/>
    <w:rsid w:val="00D90D64"/>
    <w:rsid w:val="00D91CA4"/>
    <w:rsid w:val="00D92F42"/>
    <w:rsid w:val="00D94F53"/>
    <w:rsid w:val="00D958DB"/>
    <w:rsid w:val="00D9741A"/>
    <w:rsid w:val="00DA013D"/>
    <w:rsid w:val="00DA18FB"/>
    <w:rsid w:val="00DA47F3"/>
    <w:rsid w:val="00DA784A"/>
    <w:rsid w:val="00DB5483"/>
    <w:rsid w:val="00DB579D"/>
    <w:rsid w:val="00DB638C"/>
    <w:rsid w:val="00DC1C57"/>
    <w:rsid w:val="00DC3A8E"/>
    <w:rsid w:val="00DC62D4"/>
    <w:rsid w:val="00DD00BF"/>
    <w:rsid w:val="00DD1403"/>
    <w:rsid w:val="00DD5907"/>
    <w:rsid w:val="00DD73F3"/>
    <w:rsid w:val="00DD79DB"/>
    <w:rsid w:val="00DE22FD"/>
    <w:rsid w:val="00DE2879"/>
    <w:rsid w:val="00DE46F4"/>
    <w:rsid w:val="00DE4CB6"/>
    <w:rsid w:val="00DE6996"/>
    <w:rsid w:val="00DF2DC8"/>
    <w:rsid w:val="00DF5688"/>
    <w:rsid w:val="00E011F1"/>
    <w:rsid w:val="00E0180A"/>
    <w:rsid w:val="00E01B1D"/>
    <w:rsid w:val="00E01DA9"/>
    <w:rsid w:val="00E05B38"/>
    <w:rsid w:val="00E0794D"/>
    <w:rsid w:val="00E12854"/>
    <w:rsid w:val="00E14618"/>
    <w:rsid w:val="00E15E9D"/>
    <w:rsid w:val="00E16339"/>
    <w:rsid w:val="00E17E29"/>
    <w:rsid w:val="00E20513"/>
    <w:rsid w:val="00E216C8"/>
    <w:rsid w:val="00E2433C"/>
    <w:rsid w:val="00E30EA2"/>
    <w:rsid w:val="00E34967"/>
    <w:rsid w:val="00E35BE3"/>
    <w:rsid w:val="00E37234"/>
    <w:rsid w:val="00E37B50"/>
    <w:rsid w:val="00E37E7B"/>
    <w:rsid w:val="00E44F73"/>
    <w:rsid w:val="00E51C44"/>
    <w:rsid w:val="00E523A2"/>
    <w:rsid w:val="00E54272"/>
    <w:rsid w:val="00E543BF"/>
    <w:rsid w:val="00E6100E"/>
    <w:rsid w:val="00E6118E"/>
    <w:rsid w:val="00E65F5D"/>
    <w:rsid w:val="00E705A5"/>
    <w:rsid w:val="00E723DE"/>
    <w:rsid w:val="00E73727"/>
    <w:rsid w:val="00E73A2B"/>
    <w:rsid w:val="00E7406B"/>
    <w:rsid w:val="00E7538D"/>
    <w:rsid w:val="00E75F1B"/>
    <w:rsid w:val="00E82C34"/>
    <w:rsid w:val="00E84033"/>
    <w:rsid w:val="00E84867"/>
    <w:rsid w:val="00E93A09"/>
    <w:rsid w:val="00E96DC3"/>
    <w:rsid w:val="00E97C8B"/>
    <w:rsid w:val="00E97CDB"/>
    <w:rsid w:val="00EA0C5D"/>
    <w:rsid w:val="00EA2344"/>
    <w:rsid w:val="00EA39B5"/>
    <w:rsid w:val="00EB43E1"/>
    <w:rsid w:val="00EC1E75"/>
    <w:rsid w:val="00EC2388"/>
    <w:rsid w:val="00EC3DDB"/>
    <w:rsid w:val="00EC7995"/>
    <w:rsid w:val="00ED0BD0"/>
    <w:rsid w:val="00ED1E08"/>
    <w:rsid w:val="00ED36BB"/>
    <w:rsid w:val="00ED4043"/>
    <w:rsid w:val="00ED5E1C"/>
    <w:rsid w:val="00ED71D7"/>
    <w:rsid w:val="00EE5600"/>
    <w:rsid w:val="00EE6A5A"/>
    <w:rsid w:val="00EE7741"/>
    <w:rsid w:val="00EF2C8A"/>
    <w:rsid w:val="00EF30F1"/>
    <w:rsid w:val="00EF6580"/>
    <w:rsid w:val="00F01058"/>
    <w:rsid w:val="00F03897"/>
    <w:rsid w:val="00F05F73"/>
    <w:rsid w:val="00F1157D"/>
    <w:rsid w:val="00F1163F"/>
    <w:rsid w:val="00F1337C"/>
    <w:rsid w:val="00F1389F"/>
    <w:rsid w:val="00F21B8C"/>
    <w:rsid w:val="00F220DB"/>
    <w:rsid w:val="00F23A35"/>
    <w:rsid w:val="00F3419A"/>
    <w:rsid w:val="00F366DE"/>
    <w:rsid w:val="00F4017A"/>
    <w:rsid w:val="00F416DA"/>
    <w:rsid w:val="00F4398E"/>
    <w:rsid w:val="00F4420E"/>
    <w:rsid w:val="00F50B68"/>
    <w:rsid w:val="00F51671"/>
    <w:rsid w:val="00F5415C"/>
    <w:rsid w:val="00F63225"/>
    <w:rsid w:val="00F64882"/>
    <w:rsid w:val="00F64B85"/>
    <w:rsid w:val="00F67AAB"/>
    <w:rsid w:val="00F72348"/>
    <w:rsid w:val="00F74499"/>
    <w:rsid w:val="00F75B09"/>
    <w:rsid w:val="00F763A2"/>
    <w:rsid w:val="00F80620"/>
    <w:rsid w:val="00F81640"/>
    <w:rsid w:val="00F81FF3"/>
    <w:rsid w:val="00F83A59"/>
    <w:rsid w:val="00F8452A"/>
    <w:rsid w:val="00F85848"/>
    <w:rsid w:val="00F9089A"/>
    <w:rsid w:val="00F90F93"/>
    <w:rsid w:val="00F91F25"/>
    <w:rsid w:val="00F9255A"/>
    <w:rsid w:val="00F935AD"/>
    <w:rsid w:val="00F93C97"/>
    <w:rsid w:val="00F94F59"/>
    <w:rsid w:val="00FA119A"/>
    <w:rsid w:val="00FA2DD5"/>
    <w:rsid w:val="00FA5EC3"/>
    <w:rsid w:val="00FA647C"/>
    <w:rsid w:val="00FA6F15"/>
    <w:rsid w:val="00FB11DC"/>
    <w:rsid w:val="00FB47C6"/>
    <w:rsid w:val="00FB4D62"/>
    <w:rsid w:val="00FC31E5"/>
    <w:rsid w:val="00FC68C0"/>
    <w:rsid w:val="00FC718D"/>
    <w:rsid w:val="00FD071F"/>
    <w:rsid w:val="00FD3A75"/>
    <w:rsid w:val="00FE2BF4"/>
    <w:rsid w:val="00FE2C12"/>
    <w:rsid w:val="00FE427B"/>
    <w:rsid w:val="00FE44F1"/>
    <w:rsid w:val="00FE5BC3"/>
    <w:rsid w:val="00FE7DD8"/>
    <w:rsid w:val="00FF2EFE"/>
    <w:rsid w:val="00FF4E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justmentLendingHeading1">
    <w:name w:val="Adjustment Lending Heading 1"/>
    <w:next w:val="Normal"/>
    <w:rsid w:val="00C74DE8"/>
    <w:pPr>
      <w:spacing w:after="240" w:line="240" w:lineRule="auto"/>
      <w:jc w:val="center"/>
    </w:pPr>
    <w:rPr>
      <w:rFonts w:ascii="Times New Roman" w:eastAsia="Times New Roman" w:hAnsi="Times New Roman" w:cs="Times New Roman"/>
      <w:b/>
      <w:sz w:val="24"/>
      <w:szCs w:val="20"/>
    </w:rPr>
  </w:style>
  <w:style w:type="paragraph" w:styleId="FootnoteText">
    <w:name w:val="footnote text"/>
    <w:aliases w:val="single space,footnote text,fn,FOOTNOTES,ft,Footnote Text Char1,Footnote Text Char2 Char,Footnote Text Char1 Char Char,Footnote Text Char2 Char Char Char,Footnote Text Char1 Char Char Char Char,Footnote Text Char2 Char Char Char Char Char,A"/>
    <w:basedOn w:val="Normal"/>
    <w:link w:val="FootnoteTextChar"/>
    <w:unhideWhenUsed/>
    <w:qFormat/>
    <w:rsid w:val="00C74DE8"/>
    <w:rPr>
      <w:rFonts w:eastAsiaTheme="minorHAnsi" w:cstheme="minorBidi"/>
      <w:sz w:val="20"/>
      <w:szCs w:val="20"/>
    </w:rPr>
  </w:style>
  <w:style w:type="character" w:customStyle="1" w:styleId="FootnoteTextChar">
    <w:name w:val="Footnote Text Char"/>
    <w:aliases w:val="single space Char,footnote text Char,fn Char,FOOTNOTES Char,ft Char,Footnote Text Char1 Char,Footnote Text Char2 Char Char,Footnote Text Char1 Char Char Char,Footnote Text Char2 Char Char Char Char,A Char"/>
    <w:basedOn w:val="DefaultParagraphFont"/>
    <w:link w:val="FootnoteText"/>
    <w:rsid w:val="00C74DE8"/>
    <w:rPr>
      <w:rFonts w:ascii="Times New Roman" w:hAnsi="Times New Roman"/>
      <w:sz w:val="20"/>
      <w:szCs w:val="20"/>
    </w:rPr>
  </w:style>
  <w:style w:type="character" w:styleId="FootnoteReference">
    <w:name w:val="footnote reference"/>
    <w:aliases w:val="ftref,BVI fnr,Footnote Reference Number, BVI fnr,Error-Fußnotenzeichen5,Error-Fußnotenzeichen6,Error-Fußnotenzeichen3,Footnote Reference1,Error-Fu?notenzeichen5,Error-Fu?notenzeichen6,Error-Fu?notenzeichen3,referencia nota al pie"/>
    <w:basedOn w:val="DefaultParagraphFont"/>
    <w:unhideWhenUsed/>
    <w:rsid w:val="00C74DE8"/>
    <w:rPr>
      <w:vertAlign w:val="superscript"/>
    </w:rPr>
  </w:style>
  <w:style w:type="paragraph" w:customStyle="1" w:styleId="ListParagraph1">
    <w:name w:val="List Paragraph1"/>
    <w:basedOn w:val="Normal"/>
    <w:rsid w:val="00C74DE8"/>
    <w:pPr>
      <w:ind w:left="720"/>
      <w:contextualSpacing/>
    </w:pPr>
    <w:rPr>
      <w:rFonts w:eastAsia="SimSun"/>
      <w:lang w:eastAsia="zh-CN"/>
    </w:rPr>
  </w:style>
  <w:style w:type="character" w:styleId="Hyperlink">
    <w:name w:val="Hyperlink"/>
    <w:basedOn w:val="DefaultParagraphFont"/>
    <w:uiPriority w:val="99"/>
    <w:unhideWhenUsed/>
    <w:rsid w:val="00C74D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fc.org/ifcext/sustainability.nsf/Content/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7580</Characters>
  <Application>Microsoft Office Word</Application>
  <DocSecurity>0</DocSecurity>
  <Lines>63</Lines>
  <Paragraphs>17</Paragraphs>
  <ScaleCrop>false</ScaleCrop>
  <Company>The World Bank Group</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wb145764</dc:creator>
  <cp:lastModifiedBy>wb406484</cp:lastModifiedBy>
  <cp:revision>2</cp:revision>
  <dcterms:created xsi:type="dcterms:W3CDTF">2012-05-17T21:04:00Z</dcterms:created>
  <dcterms:modified xsi:type="dcterms:W3CDTF">2012-05-17T21:04:00Z</dcterms:modified>
</cp:coreProperties>
</file>