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04C" w:rsidRPr="007C5677" w:rsidRDefault="00410CEB" w:rsidP="00B90B96">
      <w:pPr>
        <w:jc w:val="center"/>
        <w:rPr>
          <w:b/>
          <w:bCs/>
          <w:sz w:val="28"/>
          <w:szCs w:val="28"/>
          <w:rtl/>
        </w:rPr>
      </w:pPr>
      <w:r w:rsidRPr="007C5677">
        <w:rPr>
          <w:rFonts w:hint="cs"/>
          <w:b/>
          <w:bCs/>
          <w:sz w:val="28"/>
          <w:szCs w:val="28"/>
          <w:rtl/>
        </w:rPr>
        <w:t>وثيقة المعلومات الخاصة بالمشروع</w:t>
      </w:r>
    </w:p>
    <w:p w:rsidR="00410CEB" w:rsidRPr="007C5677" w:rsidRDefault="00410CEB" w:rsidP="00B90B96">
      <w:pPr>
        <w:jc w:val="center"/>
        <w:rPr>
          <w:b/>
          <w:bCs/>
          <w:sz w:val="28"/>
          <w:szCs w:val="28"/>
          <w:rtl/>
        </w:rPr>
      </w:pPr>
      <w:r w:rsidRPr="007C5677">
        <w:rPr>
          <w:rFonts w:hint="cs"/>
          <w:b/>
          <w:bCs/>
          <w:sz w:val="28"/>
          <w:szCs w:val="28"/>
          <w:rtl/>
        </w:rPr>
        <w:t>مرحلة التقييم</w:t>
      </w:r>
    </w:p>
    <w:p w:rsidR="00410CEB" w:rsidRPr="007C5677" w:rsidRDefault="00B90B96" w:rsidP="00B90B96">
      <w:pPr>
        <w:bidi/>
        <w:jc w:val="both"/>
        <w:rPr>
          <w:b/>
          <w:bCs/>
          <w:sz w:val="28"/>
          <w:szCs w:val="28"/>
        </w:rPr>
      </w:pPr>
      <w:r>
        <w:rPr>
          <w:rFonts w:hint="cs"/>
          <w:b/>
          <w:bCs/>
          <w:sz w:val="28"/>
          <w:szCs w:val="28"/>
          <w:rtl/>
        </w:rPr>
        <w:t>تقرير رق</w:t>
      </w:r>
      <w:r>
        <w:rPr>
          <w:rFonts w:hint="cs"/>
          <w:b/>
          <w:bCs/>
          <w:sz w:val="28"/>
          <w:szCs w:val="28"/>
          <w:rtl/>
          <w:lang w:bidi="ar-JO"/>
        </w:rPr>
        <w:t xml:space="preserve">م </w:t>
      </w:r>
      <w:r>
        <w:rPr>
          <w:b/>
          <w:bCs/>
          <w:sz w:val="28"/>
          <w:szCs w:val="28"/>
          <w:lang w:bidi="ar-JO"/>
        </w:rPr>
        <w:t>AB7551</w:t>
      </w:r>
    </w:p>
    <w:tbl>
      <w:tblPr>
        <w:tblStyle w:val="TableGrid"/>
        <w:bidiVisual/>
        <w:tblW w:w="0" w:type="auto"/>
        <w:tblLook w:val="04A0" w:firstRow="1" w:lastRow="0" w:firstColumn="1" w:lastColumn="0" w:noHBand="0" w:noVBand="1"/>
      </w:tblPr>
      <w:tblGrid>
        <w:gridCol w:w="2718"/>
        <w:gridCol w:w="6138"/>
      </w:tblGrid>
      <w:tr w:rsidR="00410CEB" w:rsidRPr="007C5677" w:rsidTr="00410CEB">
        <w:tc>
          <w:tcPr>
            <w:tcW w:w="2718" w:type="dxa"/>
          </w:tcPr>
          <w:p w:rsidR="00410CEB" w:rsidRPr="007C5677" w:rsidRDefault="00410CEB" w:rsidP="007C5677">
            <w:pPr>
              <w:bidi/>
              <w:jc w:val="both"/>
              <w:rPr>
                <w:b/>
                <w:bCs/>
                <w:sz w:val="28"/>
                <w:szCs w:val="28"/>
                <w:rtl/>
              </w:rPr>
            </w:pPr>
            <w:r w:rsidRPr="007C5677">
              <w:rPr>
                <w:rFonts w:hint="cs"/>
                <w:b/>
                <w:bCs/>
                <w:sz w:val="28"/>
                <w:szCs w:val="28"/>
                <w:rtl/>
              </w:rPr>
              <w:t>اسم المشروع</w:t>
            </w:r>
          </w:p>
        </w:tc>
        <w:tc>
          <w:tcPr>
            <w:tcW w:w="6138" w:type="dxa"/>
          </w:tcPr>
          <w:p w:rsidR="00410CEB" w:rsidRPr="007C5677" w:rsidRDefault="00410CEB" w:rsidP="007C5677">
            <w:pPr>
              <w:bidi/>
              <w:jc w:val="both"/>
              <w:rPr>
                <w:sz w:val="28"/>
                <w:szCs w:val="28"/>
                <w:rtl/>
              </w:rPr>
            </w:pPr>
            <w:r w:rsidRPr="007C5677">
              <w:rPr>
                <w:rFonts w:hint="cs"/>
                <w:sz w:val="28"/>
                <w:szCs w:val="28"/>
                <w:rtl/>
              </w:rPr>
              <w:t xml:space="preserve">خطة التنمية الوطنية الفلسطينية </w:t>
            </w:r>
            <w:r w:rsidRPr="007C5677">
              <w:rPr>
                <w:sz w:val="28"/>
                <w:szCs w:val="28"/>
                <w:rtl/>
              </w:rPr>
              <w:t>–</w:t>
            </w:r>
            <w:r w:rsidRPr="007C5677">
              <w:rPr>
                <w:rFonts w:hint="cs"/>
                <w:sz w:val="28"/>
                <w:szCs w:val="28"/>
                <w:rtl/>
              </w:rPr>
              <w:t xml:space="preserve"> سياسة التنمية السادسة</w:t>
            </w:r>
          </w:p>
        </w:tc>
      </w:tr>
      <w:tr w:rsidR="00410CEB" w:rsidRPr="007C5677" w:rsidTr="00410CEB">
        <w:tc>
          <w:tcPr>
            <w:tcW w:w="2718" w:type="dxa"/>
          </w:tcPr>
          <w:p w:rsidR="00410CEB" w:rsidRPr="007C5677" w:rsidRDefault="00410CEB" w:rsidP="007C5677">
            <w:pPr>
              <w:bidi/>
              <w:jc w:val="both"/>
              <w:rPr>
                <w:b/>
                <w:bCs/>
                <w:sz w:val="28"/>
                <w:szCs w:val="28"/>
                <w:rtl/>
              </w:rPr>
            </w:pPr>
            <w:r w:rsidRPr="007C5677">
              <w:rPr>
                <w:rFonts w:hint="cs"/>
                <w:b/>
                <w:bCs/>
                <w:sz w:val="28"/>
                <w:szCs w:val="28"/>
                <w:rtl/>
              </w:rPr>
              <w:t>المنطقة</w:t>
            </w:r>
          </w:p>
        </w:tc>
        <w:tc>
          <w:tcPr>
            <w:tcW w:w="6138" w:type="dxa"/>
          </w:tcPr>
          <w:p w:rsidR="00410CEB" w:rsidRPr="007C5677" w:rsidRDefault="00410CEB" w:rsidP="007C5677">
            <w:pPr>
              <w:bidi/>
              <w:jc w:val="both"/>
              <w:rPr>
                <w:sz w:val="28"/>
                <w:szCs w:val="28"/>
                <w:rtl/>
              </w:rPr>
            </w:pPr>
            <w:r w:rsidRPr="007C5677">
              <w:rPr>
                <w:rFonts w:hint="cs"/>
                <w:sz w:val="28"/>
                <w:szCs w:val="28"/>
                <w:rtl/>
              </w:rPr>
              <w:t>الشرق الأوسط وشمال أفريقيا</w:t>
            </w:r>
          </w:p>
        </w:tc>
      </w:tr>
      <w:tr w:rsidR="00410CEB" w:rsidRPr="007C5677" w:rsidTr="00410CEB">
        <w:tc>
          <w:tcPr>
            <w:tcW w:w="2718" w:type="dxa"/>
          </w:tcPr>
          <w:p w:rsidR="00410CEB" w:rsidRPr="007C5677" w:rsidRDefault="00410CEB" w:rsidP="007C5677">
            <w:pPr>
              <w:bidi/>
              <w:jc w:val="both"/>
              <w:rPr>
                <w:b/>
                <w:bCs/>
                <w:sz w:val="28"/>
                <w:szCs w:val="28"/>
                <w:rtl/>
              </w:rPr>
            </w:pPr>
            <w:r w:rsidRPr="007C5677">
              <w:rPr>
                <w:rFonts w:hint="cs"/>
                <w:b/>
                <w:bCs/>
                <w:sz w:val="28"/>
                <w:szCs w:val="28"/>
                <w:rtl/>
              </w:rPr>
              <w:t>القطاع</w:t>
            </w:r>
          </w:p>
        </w:tc>
        <w:tc>
          <w:tcPr>
            <w:tcW w:w="6138" w:type="dxa"/>
          </w:tcPr>
          <w:p w:rsidR="00410CEB" w:rsidRPr="007C5677" w:rsidRDefault="00410CEB" w:rsidP="007C5677">
            <w:pPr>
              <w:bidi/>
              <w:jc w:val="both"/>
              <w:rPr>
                <w:sz w:val="28"/>
                <w:szCs w:val="28"/>
                <w:rtl/>
              </w:rPr>
            </w:pPr>
            <w:r w:rsidRPr="007C5677">
              <w:rPr>
                <w:rFonts w:hint="cs"/>
                <w:sz w:val="28"/>
                <w:szCs w:val="28"/>
                <w:rtl/>
              </w:rPr>
              <w:t>إدارة الحكومة المركزية (64%)، إدارة الحكومات المحلية (12%)؛ الكفاءة في استخدام الطاقة للتدفئة وتوليد الكهرباء (12%)؛ خدمات اجتماعية أخرى (12%)</w:t>
            </w:r>
          </w:p>
        </w:tc>
      </w:tr>
      <w:tr w:rsidR="00410CEB" w:rsidRPr="007C5677" w:rsidTr="00410CEB">
        <w:tc>
          <w:tcPr>
            <w:tcW w:w="2718" w:type="dxa"/>
          </w:tcPr>
          <w:p w:rsidR="00410CEB" w:rsidRPr="007C5677" w:rsidRDefault="00410CEB" w:rsidP="007C5677">
            <w:pPr>
              <w:bidi/>
              <w:jc w:val="both"/>
              <w:rPr>
                <w:b/>
                <w:bCs/>
                <w:sz w:val="28"/>
                <w:szCs w:val="28"/>
                <w:rtl/>
              </w:rPr>
            </w:pPr>
            <w:r w:rsidRPr="007C5677">
              <w:rPr>
                <w:rFonts w:hint="cs"/>
                <w:b/>
                <w:bCs/>
                <w:sz w:val="28"/>
                <w:szCs w:val="28"/>
                <w:rtl/>
              </w:rPr>
              <w:t>رقم المشروع</w:t>
            </w:r>
          </w:p>
        </w:tc>
        <w:tc>
          <w:tcPr>
            <w:tcW w:w="6138" w:type="dxa"/>
          </w:tcPr>
          <w:p w:rsidR="00410CEB" w:rsidRPr="007C5677" w:rsidRDefault="00410CEB" w:rsidP="007C5677">
            <w:pPr>
              <w:bidi/>
              <w:jc w:val="both"/>
              <w:rPr>
                <w:sz w:val="28"/>
                <w:szCs w:val="28"/>
              </w:rPr>
            </w:pPr>
            <w:r w:rsidRPr="007C5677">
              <w:rPr>
                <w:sz w:val="28"/>
                <w:szCs w:val="28"/>
              </w:rPr>
              <w:t>P147687</w:t>
            </w:r>
          </w:p>
        </w:tc>
      </w:tr>
      <w:tr w:rsidR="00410CEB" w:rsidRPr="007C5677" w:rsidTr="00410CEB">
        <w:tc>
          <w:tcPr>
            <w:tcW w:w="2718" w:type="dxa"/>
          </w:tcPr>
          <w:p w:rsidR="00410CEB" w:rsidRPr="007C5677" w:rsidRDefault="00410CEB" w:rsidP="007C5677">
            <w:pPr>
              <w:bidi/>
              <w:jc w:val="both"/>
              <w:rPr>
                <w:b/>
                <w:bCs/>
                <w:sz w:val="28"/>
                <w:szCs w:val="28"/>
                <w:rtl/>
              </w:rPr>
            </w:pPr>
            <w:r w:rsidRPr="007C5677">
              <w:rPr>
                <w:rFonts w:hint="cs"/>
                <w:b/>
                <w:bCs/>
                <w:sz w:val="28"/>
                <w:szCs w:val="28"/>
                <w:rtl/>
              </w:rPr>
              <w:t>المقترض (ون)</w:t>
            </w:r>
          </w:p>
        </w:tc>
        <w:tc>
          <w:tcPr>
            <w:tcW w:w="6138" w:type="dxa"/>
          </w:tcPr>
          <w:p w:rsidR="00410CEB" w:rsidRPr="007C5677" w:rsidRDefault="00410CEB" w:rsidP="007C5677">
            <w:pPr>
              <w:bidi/>
              <w:jc w:val="both"/>
              <w:rPr>
                <w:sz w:val="28"/>
                <w:szCs w:val="28"/>
              </w:rPr>
            </w:pPr>
            <w:r w:rsidRPr="007C5677">
              <w:rPr>
                <w:rFonts w:hint="cs"/>
                <w:sz w:val="28"/>
                <w:szCs w:val="28"/>
                <w:rtl/>
              </w:rPr>
              <w:t>منظمة التحرير الفلسطينية</w:t>
            </w:r>
          </w:p>
        </w:tc>
      </w:tr>
      <w:tr w:rsidR="00410CEB" w:rsidRPr="007C5677" w:rsidTr="00410CEB">
        <w:tc>
          <w:tcPr>
            <w:tcW w:w="2718" w:type="dxa"/>
          </w:tcPr>
          <w:p w:rsidR="00410CEB" w:rsidRPr="007C5677" w:rsidRDefault="00410CEB" w:rsidP="007C5677">
            <w:pPr>
              <w:bidi/>
              <w:jc w:val="both"/>
              <w:rPr>
                <w:b/>
                <w:bCs/>
                <w:sz w:val="28"/>
                <w:szCs w:val="28"/>
                <w:rtl/>
              </w:rPr>
            </w:pPr>
            <w:r w:rsidRPr="007C5677">
              <w:rPr>
                <w:rFonts w:hint="cs"/>
                <w:b/>
                <w:bCs/>
                <w:sz w:val="28"/>
                <w:szCs w:val="28"/>
                <w:rtl/>
              </w:rPr>
              <w:t>الهيئة المنفذة</w:t>
            </w:r>
          </w:p>
        </w:tc>
        <w:tc>
          <w:tcPr>
            <w:tcW w:w="6138" w:type="dxa"/>
          </w:tcPr>
          <w:p w:rsidR="00410CEB" w:rsidRPr="007C5677" w:rsidRDefault="00410CEB" w:rsidP="007C5677">
            <w:pPr>
              <w:bidi/>
              <w:jc w:val="both"/>
              <w:rPr>
                <w:sz w:val="28"/>
                <w:szCs w:val="28"/>
                <w:rtl/>
              </w:rPr>
            </w:pPr>
            <w:r w:rsidRPr="007C5677">
              <w:rPr>
                <w:rFonts w:hint="cs"/>
                <w:sz w:val="28"/>
                <w:szCs w:val="28"/>
                <w:rtl/>
              </w:rPr>
              <w:t>السلطة الفلسطينية / وزارة المالية</w:t>
            </w:r>
          </w:p>
        </w:tc>
      </w:tr>
      <w:tr w:rsidR="00410CEB" w:rsidRPr="007C5677" w:rsidTr="00410CEB">
        <w:tc>
          <w:tcPr>
            <w:tcW w:w="2718" w:type="dxa"/>
          </w:tcPr>
          <w:p w:rsidR="00410CEB" w:rsidRPr="007C5677" w:rsidRDefault="00410CEB" w:rsidP="007C5677">
            <w:pPr>
              <w:bidi/>
              <w:jc w:val="both"/>
              <w:rPr>
                <w:b/>
                <w:bCs/>
                <w:sz w:val="28"/>
                <w:szCs w:val="28"/>
                <w:rtl/>
              </w:rPr>
            </w:pPr>
            <w:r w:rsidRPr="007C5677">
              <w:rPr>
                <w:rFonts w:hint="cs"/>
                <w:b/>
                <w:bCs/>
                <w:sz w:val="28"/>
                <w:szCs w:val="28"/>
                <w:rtl/>
              </w:rPr>
              <w:t>تاريخ إعداد الوثيقة</w:t>
            </w:r>
          </w:p>
        </w:tc>
        <w:tc>
          <w:tcPr>
            <w:tcW w:w="6138" w:type="dxa"/>
          </w:tcPr>
          <w:p w:rsidR="00410CEB" w:rsidRPr="007C5677" w:rsidRDefault="00410CEB" w:rsidP="007C5677">
            <w:pPr>
              <w:bidi/>
              <w:jc w:val="both"/>
              <w:rPr>
                <w:sz w:val="28"/>
                <w:szCs w:val="28"/>
                <w:rtl/>
              </w:rPr>
            </w:pPr>
            <w:r w:rsidRPr="007C5677">
              <w:rPr>
                <w:rFonts w:hint="cs"/>
                <w:sz w:val="28"/>
                <w:szCs w:val="28"/>
                <w:rtl/>
              </w:rPr>
              <w:t>12 آذار 2014</w:t>
            </w:r>
          </w:p>
        </w:tc>
      </w:tr>
      <w:tr w:rsidR="00410CEB" w:rsidRPr="007C5677" w:rsidTr="00410CEB">
        <w:tc>
          <w:tcPr>
            <w:tcW w:w="2718" w:type="dxa"/>
          </w:tcPr>
          <w:p w:rsidR="00410CEB" w:rsidRPr="007C5677" w:rsidRDefault="00410CEB" w:rsidP="007C5677">
            <w:pPr>
              <w:bidi/>
              <w:jc w:val="both"/>
              <w:rPr>
                <w:b/>
                <w:bCs/>
                <w:sz w:val="28"/>
                <w:szCs w:val="28"/>
                <w:rtl/>
              </w:rPr>
            </w:pPr>
            <w:r w:rsidRPr="007C5677">
              <w:rPr>
                <w:rFonts w:hint="cs"/>
                <w:b/>
                <w:bCs/>
                <w:sz w:val="28"/>
                <w:szCs w:val="28"/>
                <w:rtl/>
              </w:rPr>
              <w:t>تاريخ التصريح بالتقييم</w:t>
            </w:r>
          </w:p>
        </w:tc>
        <w:tc>
          <w:tcPr>
            <w:tcW w:w="6138" w:type="dxa"/>
          </w:tcPr>
          <w:p w:rsidR="00410CEB" w:rsidRPr="007C5677" w:rsidRDefault="00410CEB" w:rsidP="007C5677">
            <w:pPr>
              <w:bidi/>
              <w:jc w:val="both"/>
              <w:rPr>
                <w:sz w:val="28"/>
                <w:szCs w:val="28"/>
                <w:rtl/>
              </w:rPr>
            </w:pPr>
            <w:r w:rsidRPr="007C5677">
              <w:rPr>
                <w:rFonts w:hint="cs"/>
                <w:sz w:val="28"/>
                <w:szCs w:val="28"/>
                <w:rtl/>
              </w:rPr>
              <w:t>19 شباط 2014</w:t>
            </w:r>
          </w:p>
        </w:tc>
      </w:tr>
      <w:tr w:rsidR="00410CEB" w:rsidRPr="007C5677" w:rsidTr="00410CEB">
        <w:tc>
          <w:tcPr>
            <w:tcW w:w="2718" w:type="dxa"/>
          </w:tcPr>
          <w:p w:rsidR="00410CEB" w:rsidRPr="007C5677" w:rsidRDefault="00410CEB" w:rsidP="007C5677">
            <w:pPr>
              <w:bidi/>
              <w:jc w:val="both"/>
              <w:rPr>
                <w:b/>
                <w:bCs/>
                <w:sz w:val="28"/>
                <w:szCs w:val="28"/>
                <w:rtl/>
              </w:rPr>
            </w:pPr>
            <w:r w:rsidRPr="007C5677">
              <w:rPr>
                <w:rFonts w:hint="cs"/>
                <w:b/>
                <w:bCs/>
                <w:sz w:val="28"/>
                <w:szCs w:val="28"/>
                <w:rtl/>
              </w:rPr>
              <w:t>تاريخ مصادقة مجلس الإدارة</w:t>
            </w:r>
          </w:p>
        </w:tc>
        <w:tc>
          <w:tcPr>
            <w:tcW w:w="6138" w:type="dxa"/>
          </w:tcPr>
          <w:p w:rsidR="00410CEB" w:rsidRPr="007C5677" w:rsidRDefault="00410CEB" w:rsidP="007C5677">
            <w:pPr>
              <w:bidi/>
              <w:jc w:val="both"/>
              <w:rPr>
                <w:sz w:val="28"/>
                <w:szCs w:val="28"/>
                <w:rtl/>
              </w:rPr>
            </w:pPr>
            <w:r w:rsidRPr="007C5677">
              <w:rPr>
                <w:rFonts w:hint="cs"/>
                <w:sz w:val="28"/>
                <w:szCs w:val="28"/>
                <w:rtl/>
              </w:rPr>
              <w:t>متوقع 20 أيار 2013</w:t>
            </w:r>
          </w:p>
        </w:tc>
      </w:tr>
    </w:tbl>
    <w:p w:rsidR="00410CEB" w:rsidRPr="007C5677" w:rsidRDefault="00410CEB" w:rsidP="007C5677">
      <w:pPr>
        <w:bidi/>
        <w:jc w:val="both"/>
        <w:rPr>
          <w:b/>
          <w:bCs/>
          <w:sz w:val="28"/>
          <w:szCs w:val="28"/>
          <w:rtl/>
        </w:rPr>
      </w:pPr>
    </w:p>
    <w:p w:rsidR="00410CEB" w:rsidRPr="007C5677" w:rsidRDefault="00410CEB" w:rsidP="007C5677">
      <w:pPr>
        <w:pStyle w:val="ListParagraph"/>
        <w:numPr>
          <w:ilvl w:val="0"/>
          <w:numId w:val="1"/>
        </w:numPr>
        <w:bidi/>
        <w:jc w:val="both"/>
        <w:rPr>
          <w:b/>
          <w:bCs/>
          <w:sz w:val="28"/>
          <w:szCs w:val="28"/>
        </w:rPr>
      </w:pPr>
      <w:r w:rsidRPr="007C5677">
        <w:rPr>
          <w:rFonts w:hint="cs"/>
          <w:b/>
          <w:bCs/>
          <w:sz w:val="28"/>
          <w:szCs w:val="28"/>
          <w:rtl/>
        </w:rPr>
        <w:t>معلومات عن الدولة والقطاع</w:t>
      </w:r>
    </w:p>
    <w:p w:rsidR="00410CEB" w:rsidRPr="007C5677" w:rsidRDefault="00410CEB" w:rsidP="001D638C">
      <w:pPr>
        <w:bidi/>
        <w:jc w:val="both"/>
        <w:rPr>
          <w:sz w:val="28"/>
          <w:szCs w:val="28"/>
          <w:rtl/>
        </w:rPr>
      </w:pPr>
      <w:r w:rsidRPr="007C5677">
        <w:rPr>
          <w:rFonts w:hint="cs"/>
          <w:sz w:val="28"/>
          <w:szCs w:val="28"/>
          <w:rtl/>
        </w:rPr>
        <w:t>التغير الذي حل في الحكومة في حزيران 2013 وما تبعه من استقالة رئيس وزرائها بعد أقل من شهر من تعيينه ومن ثم إعادة تعيينه في آب قوض نوعا ما من عملية الإصلاح، ولكنه أنشأ مبادرات إصلاح جديدة. وكذلك لاحقا لجهود وزير الخارجية الأمريكي، كيري، فإن عملية السلام بين إسرائيل وفلسطين عاودت مسيرتها في 29 تموز 2013 آتية بآمال جديدة بتحقيق السلام والاستقرار والرخاء في المنطقة. فعملية السلام تفتح على آفاق لإحداث نمو اقتصادي سريع ولكنها تأتي في وقت تراجع فيه هذا النمو تراجعا مذهلا. وبموازاة عملية السلام أعدت خطة استثمار طموحة عرفت باسم المبادرة الاقتصادية ا</w:t>
      </w:r>
      <w:r w:rsidR="001D638C">
        <w:rPr>
          <w:rFonts w:hint="cs"/>
          <w:sz w:val="28"/>
          <w:szCs w:val="28"/>
          <w:rtl/>
        </w:rPr>
        <w:t>لفلسطينية</w:t>
      </w:r>
      <w:r w:rsidRPr="007C5677">
        <w:rPr>
          <w:rFonts w:hint="cs"/>
          <w:sz w:val="28"/>
          <w:szCs w:val="28"/>
          <w:rtl/>
        </w:rPr>
        <w:t xml:space="preserve"> حيث أعدتها لجنة الرباعية (وحملت أيضا اسم خطة كيري) وقد </w:t>
      </w:r>
      <w:r w:rsidR="00D76F0B">
        <w:rPr>
          <w:rFonts w:hint="cs"/>
          <w:sz w:val="28"/>
          <w:szCs w:val="28"/>
          <w:rtl/>
        </w:rPr>
        <w:t>وعدت ه</w:t>
      </w:r>
      <w:r w:rsidRPr="007C5677">
        <w:rPr>
          <w:rFonts w:hint="cs"/>
          <w:sz w:val="28"/>
          <w:szCs w:val="28"/>
          <w:rtl/>
        </w:rPr>
        <w:t xml:space="preserve">ذه الخطة بزيادة بنسبة 50 بالمائة في إجمالي الناتج المحلي الفلسطيني على المدى المتوسط </w:t>
      </w:r>
      <w:r w:rsidR="00D76F0B">
        <w:rPr>
          <w:rFonts w:hint="cs"/>
          <w:sz w:val="28"/>
          <w:szCs w:val="28"/>
          <w:rtl/>
        </w:rPr>
        <w:t>الذي يمكن</w:t>
      </w:r>
      <w:r w:rsidRPr="007C5677">
        <w:rPr>
          <w:rFonts w:hint="cs"/>
          <w:sz w:val="28"/>
          <w:szCs w:val="28"/>
          <w:rtl/>
        </w:rPr>
        <w:t xml:space="preserve"> أن </w:t>
      </w:r>
      <w:r w:rsidR="00D76F0B">
        <w:rPr>
          <w:rFonts w:hint="cs"/>
          <w:sz w:val="28"/>
          <w:szCs w:val="28"/>
          <w:rtl/>
        </w:rPr>
        <w:t>تصحبه</w:t>
      </w:r>
      <w:r w:rsidRPr="007C5677">
        <w:rPr>
          <w:rFonts w:hint="cs"/>
          <w:sz w:val="28"/>
          <w:szCs w:val="28"/>
          <w:rtl/>
        </w:rPr>
        <w:t xml:space="preserve"> إمكانية التوصل لاتفاقية سلام. كما تضع السلطة الفلسطينية اللمسات الأخيرة على خطة التنمية الوطنية الخاصة بها للأعوام 2014-2016 لاستبدال خطة التنمية الوطنية السابقة بحيث تصبح خارطة الطريق لعملية الإصلاح. في الوقت ذاته، فإن السلطة الوطنية تحاول التكيف مع تبعات التراجع الحاد في النمو الاقتصادي </w:t>
      </w:r>
      <w:r w:rsidR="001D638C">
        <w:rPr>
          <w:rFonts w:hint="cs"/>
          <w:sz w:val="28"/>
          <w:szCs w:val="28"/>
          <w:rtl/>
        </w:rPr>
        <w:t xml:space="preserve">الذي يأتي بثقله على وضع السلطة المالي ويصعب من </w:t>
      </w:r>
      <w:r w:rsidRPr="007C5677">
        <w:rPr>
          <w:rFonts w:hint="cs"/>
          <w:sz w:val="28"/>
          <w:szCs w:val="28"/>
          <w:rtl/>
        </w:rPr>
        <w:t>إمكانية عمل الإصلاحات البنيوية. وتجدر الملاحظة أنه في 2012، ظهرت آثار إنهاك المانحين حيث تراجعت مستويات</w:t>
      </w:r>
      <w:r w:rsidR="00BB5345">
        <w:rPr>
          <w:rFonts w:hint="cs"/>
          <w:sz w:val="28"/>
          <w:szCs w:val="28"/>
          <w:rtl/>
        </w:rPr>
        <w:t xml:space="preserve"> المساعد</w:t>
      </w:r>
      <w:r w:rsidRPr="007C5677">
        <w:rPr>
          <w:rFonts w:hint="cs"/>
          <w:sz w:val="28"/>
          <w:szCs w:val="28"/>
          <w:rtl/>
        </w:rPr>
        <w:t xml:space="preserve">ات المتلقاة إلى أكثر من النصف مقارنة مع أكبر مستوياتها في 2008. ناهيك عن تواصل القيود الإسرائيلية التي دفعت </w:t>
      </w:r>
      <w:r w:rsidRPr="007C5677">
        <w:rPr>
          <w:rFonts w:hint="cs"/>
          <w:sz w:val="28"/>
          <w:szCs w:val="28"/>
          <w:rtl/>
        </w:rPr>
        <w:lastRenderedPageBreak/>
        <w:t>بمعدلات النمو للتراجع بمقدار 5.9% مع نهاية 2012.</w:t>
      </w:r>
      <w:r w:rsidR="00604794" w:rsidRPr="007C5677">
        <w:rPr>
          <w:rStyle w:val="FootnoteReference"/>
          <w:sz w:val="28"/>
          <w:szCs w:val="28"/>
          <w:rtl/>
        </w:rPr>
        <w:footnoteReference w:id="1"/>
      </w:r>
      <w:r w:rsidR="00B55129" w:rsidRPr="007C5677">
        <w:rPr>
          <w:rFonts w:hint="cs"/>
          <w:sz w:val="28"/>
          <w:szCs w:val="28"/>
          <w:rtl/>
        </w:rPr>
        <w:t xml:space="preserve"> هذا وتراجع الوضع الاقتصادي أكثر في 2013 وتشير التقديرات الأخيرة إلى أن </w:t>
      </w:r>
      <w:r w:rsidR="001D638C">
        <w:rPr>
          <w:rFonts w:hint="cs"/>
          <w:sz w:val="28"/>
          <w:szCs w:val="28"/>
          <w:rtl/>
        </w:rPr>
        <w:t>الناتج المحلي الاجمالي</w:t>
      </w:r>
      <w:r w:rsidR="00B55129" w:rsidRPr="007C5677">
        <w:rPr>
          <w:rFonts w:hint="cs"/>
          <w:sz w:val="28"/>
          <w:szCs w:val="28"/>
          <w:rtl/>
        </w:rPr>
        <w:t xml:space="preserve"> قد انحدر إلى 1.5 بالمائة س</w:t>
      </w:r>
      <w:r w:rsidR="00BB5345">
        <w:rPr>
          <w:rFonts w:hint="cs"/>
          <w:sz w:val="28"/>
          <w:szCs w:val="28"/>
          <w:rtl/>
        </w:rPr>
        <w:t>ن</w:t>
      </w:r>
      <w:r w:rsidR="00B55129" w:rsidRPr="007C5677">
        <w:rPr>
          <w:rFonts w:hint="cs"/>
          <w:sz w:val="28"/>
          <w:szCs w:val="28"/>
          <w:rtl/>
        </w:rPr>
        <w:t>ة 2013. ونظرا لأن توقعات النمو السكاني تبلغ قرابة 3 بالمائة، فإن إجمالي الدخل المحلي</w:t>
      </w:r>
      <w:r w:rsidR="001D638C">
        <w:rPr>
          <w:rFonts w:hint="cs"/>
          <w:sz w:val="28"/>
          <w:szCs w:val="28"/>
          <w:rtl/>
        </w:rPr>
        <w:t xml:space="preserve"> للفرد</w:t>
      </w:r>
      <w:r w:rsidR="00B55129" w:rsidRPr="007C5677">
        <w:rPr>
          <w:rFonts w:hint="cs"/>
          <w:sz w:val="28"/>
          <w:szCs w:val="28"/>
          <w:rtl/>
        </w:rPr>
        <w:t xml:space="preserve"> قد تناقص سنة 2013.</w:t>
      </w:r>
    </w:p>
    <w:p w:rsidR="00B55129" w:rsidRPr="007C5677" w:rsidRDefault="00B55129" w:rsidP="00D76F0B">
      <w:pPr>
        <w:pStyle w:val="ListParagraph"/>
        <w:numPr>
          <w:ilvl w:val="0"/>
          <w:numId w:val="1"/>
        </w:numPr>
        <w:bidi/>
        <w:jc w:val="both"/>
        <w:rPr>
          <w:b/>
          <w:bCs/>
          <w:sz w:val="28"/>
          <w:szCs w:val="28"/>
        </w:rPr>
      </w:pPr>
      <w:r w:rsidRPr="007C5677">
        <w:rPr>
          <w:rFonts w:hint="cs"/>
          <w:b/>
          <w:bCs/>
          <w:sz w:val="28"/>
          <w:szCs w:val="28"/>
          <w:rtl/>
        </w:rPr>
        <w:t xml:space="preserve">أهداف </w:t>
      </w:r>
      <w:r w:rsidR="00D76F0B">
        <w:rPr>
          <w:rFonts w:hint="cs"/>
          <w:b/>
          <w:bCs/>
          <w:sz w:val="28"/>
          <w:szCs w:val="28"/>
          <w:rtl/>
        </w:rPr>
        <w:t>المشروع</w:t>
      </w:r>
    </w:p>
    <w:p w:rsidR="00B55129" w:rsidRPr="007C5677" w:rsidRDefault="00B55129" w:rsidP="001D638C">
      <w:pPr>
        <w:bidi/>
        <w:jc w:val="both"/>
        <w:rPr>
          <w:sz w:val="28"/>
          <w:szCs w:val="28"/>
          <w:rtl/>
        </w:rPr>
      </w:pPr>
      <w:r w:rsidRPr="007C5677">
        <w:rPr>
          <w:rFonts w:hint="cs"/>
          <w:sz w:val="28"/>
          <w:szCs w:val="28"/>
          <w:rtl/>
        </w:rPr>
        <w:t xml:space="preserve">لقد وضع تصميم </w:t>
      </w:r>
      <w:r w:rsidRPr="007C5677">
        <w:rPr>
          <w:sz w:val="28"/>
          <w:szCs w:val="28"/>
        </w:rPr>
        <w:t>DPG VI</w:t>
      </w:r>
      <w:r w:rsidRPr="007C5677">
        <w:rPr>
          <w:rFonts w:hint="cs"/>
          <w:sz w:val="28"/>
          <w:szCs w:val="28"/>
          <w:rtl/>
        </w:rPr>
        <w:t xml:space="preserve"> </w:t>
      </w:r>
      <w:r w:rsidR="0097087A" w:rsidRPr="007C5677">
        <w:rPr>
          <w:rFonts w:hint="cs"/>
          <w:sz w:val="28"/>
          <w:szCs w:val="28"/>
          <w:rtl/>
        </w:rPr>
        <w:t xml:space="preserve">(مشروع المنحة المخصصة للسياسة التنموية) </w:t>
      </w:r>
      <w:r w:rsidRPr="007C5677">
        <w:rPr>
          <w:rFonts w:hint="cs"/>
          <w:sz w:val="28"/>
          <w:szCs w:val="28"/>
          <w:rtl/>
        </w:rPr>
        <w:t xml:space="preserve">لدعم تحقيق الأهداف التنموية الآتية في سياق خطة التنمية الوطنية الخاصة بالسلطة الفلسطينية: (1) تقليص الحجم النسبي للعجز المالي لدى السلطة الفلسطينية؛ (2) أنظمة </w:t>
      </w:r>
      <w:r w:rsidR="001D638C">
        <w:rPr>
          <w:rFonts w:hint="cs"/>
          <w:sz w:val="28"/>
          <w:szCs w:val="28"/>
          <w:rtl/>
        </w:rPr>
        <w:t>ال</w:t>
      </w:r>
      <w:r w:rsidRPr="007C5677">
        <w:rPr>
          <w:rFonts w:hint="cs"/>
          <w:sz w:val="28"/>
          <w:szCs w:val="28"/>
          <w:rtl/>
        </w:rPr>
        <w:t xml:space="preserve">شراء </w:t>
      </w:r>
      <w:r w:rsidR="001D638C">
        <w:rPr>
          <w:rFonts w:hint="cs"/>
          <w:sz w:val="28"/>
          <w:szCs w:val="28"/>
          <w:rtl/>
        </w:rPr>
        <w:t xml:space="preserve">العام </w:t>
      </w:r>
      <w:r w:rsidRPr="007C5677">
        <w:rPr>
          <w:rFonts w:hint="cs"/>
          <w:sz w:val="28"/>
          <w:szCs w:val="28"/>
          <w:rtl/>
        </w:rPr>
        <w:t xml:space="preserve"> وتعزيز إدارة الموازنة؛ (3) تحسين البيئة القانونية لل</w:t>
      </w:r>
      <w:r w:rsidR="001D638C">
        <w:rPr>
          <w:rFonts w:hint="cs"/>
          <w:sz w:val="28"/>
          <w:szCs w:val="28"/>
          <w:rtl/>
        </w:rPr>
        <w:t>استثمار والنشاط التجاري. وسوف تقدم هذه العملية مساهمة مباشرة ل</w:t>
      </w:r>
      <w:r w:rsidRPr="007C5677">
        <w:rPr>
          <w:rFonts w:hint="cs"/>
          <w:sz w:val="28"/>
          <w:szCs w:val="28"/>
          <w:rtl/>
        </w:rPr>
        <w:t>لركن الأول من</w:t>
      </w:r>
      <w:r w:rsidR="00D76F0B">
        <w:rPr>
          <w:rFonts w:hint="cs"/>
          <w:sz w:val="28"/>
          <w:szCs w:val="28"/>
          <w:rtl/>
        </w:rPr>
        <w:t xml:space="preserve"> مذكرة الاستراتيجية ال</w:t>
      </w:r>
      <w:r w:rsidR="001D638C">
        <w:rPr>
          <w:rFonts w:hint="cs"/>
          <w:sz w:val="28"/>
          <w:szCs w:val="28"/>
          <w:rtl/>
        </w:rPr>
        <w:t>داخلية</w:t>
      </w:r>
      <w:r w:rsidRPr="007C5677">
        <w:rPr>
          <w:rFonts w:hint="cs"/>
          <w:sz w:val="28"/>
          <w:szCs w:val="28"/>
          <w:rtl/>
        </w:rPr>
        <w:t xml:space="preserve"> </w:t>
      </w:r>
      <w:r w:rsidRPr="00DC6BBA">
        <w:rPr>
          <w:sz w:val="28"/>
          <w:szCs w:val="28"/>
        </w:rPr>
        <w:t>ISN</w:t>
      </w:r>
      <w:r w:rsidRPr="007C5677">
        <w:rPr>
          <w:rFonts w:hint="cs"/>
          <w:sz w:val="28"/>
          <w:szCs w:val="28"/>
          <w:rtl/>
        </w:rPr>
        <w:t xml:space="preserve"> الهادف لتقوية المؤسسات التابعة للدولة المستقبلية بحيث تدير الأموال العامة بكفاءة وتضمن توفير الخدمات للمواطنين، وكذلك تسهم في الركن الثاني الساعي لدعم خلق بيئة ممكنة لنمو يقوده القطاع الخاص.</w:t>
      </w:r>
    </w:p>
    <w:p w:rsidR="00B55129" w:rsidRPr="007C5677" w:rsidRDefault="0097087A" w:rsidP="007C5677">
      <w:pPr>
        <w:pStyle w:val="ListParagraph"/>
        <w:numPr>
          <w:ilvl w:val="0"/>
          <w:numId w:val="1"/>
        </w:numPr>
        <w:bidi/>
        <w:jc w:val="both"/>
        <w:rPr>
          <w:b/>
          <w:bCs/>
          <w:sz w:val="28"/>
          <w:szCs w:val="28"/>
        </w:rPr>
      </w:pPr>
      <w:r w:rsidRPr="007C5677">
        <w:rPr>
          <w:rFonts w:hint="cs"/>
          <w:b/>
          <w:bCs/>
          <w:sz w:val="28"/>
          <w:szCs w:val="28"/>
          <w:rtl/>
        </w:rPr>
        <w:t>الدافع وراء تدخل البنك الدولي</w:t>
      </w:r>
    </w:p>
    <w:p w:rsidR="0097087A" w:rsidRPr="007C5677" w:rsidRDefault="00BB5345" w:rsidP="001D638C">
      <w:pPr>
        <w:bidi/>
        <w:jc w:val="both"/>
        <w:rPr>
          <w:sz w:val="28"/>
          <w:szCs w:val="28"/>
          <w:rtl/>
        </w:rPr>
      </w:pPr>
      <w:r>
        <w:rPr>
          <w:rFonts w:hint="cs"/>
          <w:b/>
          <w:bCs/>
          <w:sz w:val="28"/>
          <w:szCs w:val="28"/>
          <w:rtl/>
        </w:rPr>
        <w:t>كما كان متوقعاً</w:t>
      </w:r>
      <w:r w:rsidR="001D638C">
        <w:rPr>
          <w:rFonts w:hint="cs"/>
          <w:b/>
          <w:bCs/>
          <w:sz w:val="28"/>
          <w:szCs w:val="28"/>
          <w:rtl/>
        </w:rPr>
        <w:t xml:space="preserve"> في مذكرة الاستراتيجية الداخلية</w:t>
      </w:r>
      <w:r w:rsidR="0097087A" w:rsidRPr="007C5677">
        <w:rPr>
          <w:rFonts w:hint="cs"/>
          <w:b/>
          <w:bCs/>
          <w:sz w:val="28"/>
          <w:szCs w:val="28"/>
          <w:rtl/>
        </w:rPr>
        <w:t xml:space="preserve"> ل 2012 </w:t>
      </w:r>
      <w:r w:rsidR="0097087A" w:rsidRPr="007C5677">
        <w:rPr>
          <w:b/>
          <w:bCs/>
          <w:sz w:val="28"/>
          <w:szCs w:val="28"/>
          <w:rtl/>
        </w:rPr>
        <w:t>–</w:t>
      </w:r>
      <w:r w:rsidR="0097087A" w:rsidRPr="007C5677">
        <w:rPr>
          <w:rFonts w:hint="cs"/>
          <w:b/>
          <w:bCs/>
          <w:sz w:val="28"/>
          <w:szCs w:val="28"/>
          <w:rtl/>
        </w:rPr>
        <w:t xml:space="preserve"> 2014، فإن مشروع </w:t>
      </w:r>
      <w:r w:rsidR="0097087A" w:rsidRPr="007C5677">
        <w:rPr>
          <w:b/>
          <w:bCs/>
          <w:sz w:val="28"/>
          <w:szCs w:val="28"/>
        </w:rPr>
        <w:t>DPG VI</w:t>
      </w:r>
      <w:r w:rsidR="0097087A" w:rsidRPr="007C5677">
        <w:rPr>
          <w:rFonts w:hint="cs"/>
          <w:b/>
          <w:bCs/>
          <w:sz w:val="28"/>
          <w:szCs w:val="28"/>
          <w:rtl/>
        </w:rPr>
        <w:t xml:space="preserve"> ظل يشكل أداة أساسية تسعى لدعم الأولويات الاستراتيجية للسلطة الفلسطينية ودعم الحوار حول السياسات وكذلك توفير الدعم الجوهري لموازنة السلطة الفلسطينية. </w:t>
      </w:r>
      <w:r w:rsidR="0097087A" w:rsidRPr="007C5677">
        <w:rPr>
          <w:rFonts w:hint="cs"/>
          <w:sz w:val="28"/>
          <w:szCs w:val="28"/>
          <w:rtl/>
        </w:rPr>
        <w:t>وبسبب حساسية الوضع السياسي، وبخاصة محدودية قدرة السلطة الفلسطينية على التدخل في غزة، فإن الإيرادات التي تحققها السلطة في غزة ضئيلة. ويقع الاستثمار والنمو في القطاع العام تحت طائل مقيدات عديدة تفرضها حكومة إسرائيل، وتظل مساعدات الدول المانحة وسيلة إنعاش موازنة السلطة الفلسطينية. و</w:t>
      </w:r>
      <w:r w:rsidR="00D76F0B">
        <w:rPr>
          <w:rFonts w:hint="cs"/>
          <w:sz w:val="28"/>
          <w:szCs w:val="28"/>
          <w:rtl/>
        </w:rPr>
        <w:t xml:space="preserve">لذا فإننا </w:t>
      </w:r>
      <w:r w:rsidR="0097087A" w:rsidRPr="007C5677">
        <w:rPr>
          <w:rFonts w:hint="cs"/>
          <w:sz w:val="28"/>
          <w:szCs w:val="28"/>
          <w:rtl/>
        </w:rPr>
        <w:t xml:space="preserve">نشدد على أهمية التأكيد على حجم المساعدة المالي المخصص لهذه العملية في </w:t>
      </w:r>
      <w:r w:rsidR="001D638C">
        <w:rPr>
          <w:rFonts w:hint="cs"/>
          <w:sz w:val="28"/>
          <w:szCs w:val="28"/>
          <w:rtl/>
        </w:rPr>
        <w:t xml:space="preserve">أنها </w:t>
      </w:r>
      <w:r w:rsidR="0097087A" w:rsidRPr="007C5677">
        <w:rPr>
          <w:rFonts w:hint="cs"/>
          <w:sz w:val="28"/>
          <w:szCs w:val="28"/>
          <w:rtl/>
        </w:rPr>
        <w:t>لا تقتصر على تقديم 40 مليون دولار أمريكي كتمويل من البند الدولي بل تسهم في الرفع المالي المباشر لمساهمات الجهات المانحة الأخرى من خلال الصندوق الائتماني المخصص لدعم السياسة التنموية حيث تصل المساهمات السنوية إلى ما يقارب 200 مليون دولار سنويا. كما تسهم هذه العملية في إرسال إشارة إيجابية للجهات المانحة الأخرى التي تقدم مساعداتها مباشرة إلى السلطة الفلسطينية.</w:t>
      </w:r>
    </w:p>
    <w:p w:rsidR="0097087A" w:rsidRPr="007C5677" w:rsidRDefault="00A33CE2" w:rsidP="007C5677">
      <w:pPr>
        <w:pStyle w:val="ListParagraph"/>
        <w:numPr>
          <w:ilvl w:val="0"/>
          <w:numId w:val="1"/>
        </w:numPr>
        <w:bidi/>
        <w:jc w:val="both"/>
        <w:rPr>
          <w:b/>
          <w:bCs/>
          <w:sz w:val="28"/>
          <w:szCs w:val="28"/>
        </w:rPr>
      </w:pPr>
      <w:r w:rsidRPr="007C5677">
        <w:rPr>
          <w:rFonts w:hint="cs"/>
          <w:b/>
          <w:bCs/>
          <w:sz w:val="28"/>
          <w:szCs w:val="28"/>
          <w:rtl/>
        </w:rPr>
        <w:t>التمويل</w:t>
      </w:r>
    </w:p>
    <w:p w:rsidR="00A33CE2" w:rsidRPr="007C5677" w:rsidRDefault="00A33CE2" w:rsidP="007C5677">
      <w:pPr>
        <w:bidi/>
        <w:jc w:val="both"/>
        <w:rPr>
          <w:sz w:val="28"/>
          <w:szCs w:val="28"/>
          <w:rtl/>
        </w:rPr>
      </w:pPr>
      <w:r w:rsidRPr="007C5677">
        <w:rPr>
          <w:rFonts w:hint="cs"/>
          <w:sz w:val="28"/>
          <w:szCs w:val="28"/>
          <w:rtl/>
        </w:rPr>
        <w:t>سوف توفر هذه العملية 40 مليون دولار أمريكي كمنحة لتمويل موازنة السلطة الفلسطينية. وسوف تصرف المتحصلات الكاملة لهذا التدخل في دفعة واحدة.</w:t>
      </w:r>
    </w:p>
    <w:p w:rsidR="00A33CE2" w:rsidRPr="007C5677" w:rsidRDefault="00A33CE2" w:rsidP="007C5677">
      <w:pPr>
        <w:pStyle w:val="ListParagraph"/>
        <w:numPr>
          <w:ilvl w:val="0"/>
          <w:numId w:val="1"/>
        </w:numPr>
        <w:bidi/>
        <w:jc w:val="both"/>
        <w:rPr>
          <w:b/>
          <w:bCs/>
          <w:sz w:val="28"/>
          <w:szCs w:val="28"/>
        </w:rPr>
      </w:pPr>
      <w:r w:rsidRPr="007C5677">
        <w:rPr>
          <w:rFonts w:hint="cs"/>
          <w:b/>
          <w:bCs/>
          <w:sz w:val="28"/>
          <w:szCs w:val="28"/>
          <w:rtl/>
        </w:rPr>
        <w:t>التدابير المؤسسية والتنفيذ</w:t>
      </w:r>
    </w:p>
    <w:p w:rsidR="00A33CE2" w:rsidRPr="007C5677" w:rsidRDefault="0011735B" w:rsidP="007C5677">
      <w:pPr>
        <w:bidi/>
        <w:jc w:val="both"/>
        <w:rPr>
          <w:sz w:val="28"/>
          <w:szCs w:val="28"/>
          <w:rtl/>
        </w:rPr>
      </w:pPr>
      <w:r w:rsidRPr="007C5677">
        <w:rPr>
          <w:rFonts w:hint="cs"/>
          <w:sz w:val="28"/>
          <w:szCs w:val="28"/>
          <w:rtl/>
        </w:rPr>
        <w:lastRenderedPageBreak/>
        <w:t>الجهة المنفذة الرئيسية هي وزارة المالية لدى السلطة الفلسطينية. وتكون مسئولة أيضا عن تنسيق النشاطات مع الهيئات الأخرى ذات الصلة في السلطة الفلسطينية. وكما جرت العادة في المنح الأخرى السابقة المخصصة للسياسات التنموية، فسوف تواصل وزارة المالية إصدار تقارير فصلية دورية حول تطور سير المشروع.</w:t>
      </w:r>
    </w:p>
    <w:p w:rsidR="0011735B" w:rsidRPr="007C5677" w:rsidRDefault="0011735B" w:rsidP="007C5677">
      <w:pPr>
        <w:bidi/>
        <w:jc w:val="both"/>
        <w:rPr>
          <w:sz w:val="28"/>
          <w:szCs w:val="28"/>
          <w:rtl/>
        </w:rPr>
      </w:pPr>
      <w:r w:rsidRPr="007C5677">
        <w:rPr>
          <w:rFonts w:hint="cs"/>
          <w:sz w:val="28"/>
          <w:szCs w:val="28"/>
          <w:rtl/>
        </w:rPr>
        <w:t>وعلى موظفي البنك الدولي في الضفة الغربية وقطاع غزة والقدس أن يواصلوا حوارهم ونشاطات المتابعة التي تركز على نتائج البرنامج التي كان لها أثر. كما سوف ينظمون بعثات رسمية إشرافية. وتستند المراجعة بشكل كبير إلى إطار النتائج ومجموعة من مؤشرات المتابعة المحددة، والتي يتم حاليا وضع اللمسات الأخيرة عليها بالتعاون مع وزارة المالية لدى السلطة الفلسطينية. في الوقت ذاته، سوف تتم متابعة الوضع العام لبرنامج الحكومة لتحديد ما إذا ما تحقق الإنجاز المرجو من العمليات المقترحة.</w:t>
      </w:r>
    </w:p>
    <w:p w:rsidR="0011735B" w:rsidRPr="007C5677" w:rsidRDefault="0011735B" w:rsidP="007C5677">
      <w:pPr>
        <w:pStyle w:val="ListParagraph"/>
        <w:numPr>
          <w:ilvl w:val="0"/>
          <w:numId w:val="1"/>
        </w:numPr>
        <w:bidi/>
        <w:jc w:val="both"/>
        <w:rPr>
          <w:b/>
          <w:bCs/>
          <w:sz w:val="28"/>
          <w:szCs w:val="28"/>
        </w:rPr>
      </w:pPr>
      <w:r w:rsidRPr="007C5677">
        <w:rPr>
          <w:rFonts w:hint="cs"/>
          <w:b/>
          <w:bCs/>
          <w:sz w:val="28"/>
          <w:szCs w:val="28"/>
          <w:rtl/>
        </w:rPr>
        <w:t>المنافع والمخاطر</w:t>
      </w:r>
    </w:p>
    <w:p w:rsidR="0011735B" w:rsidRPr="007C5677" w:rsidRDefault="0011735B" w:rsidP="007C5677">
      <w:pPr>
        <w:bidi/>
        <w:jc w:val="both"/>
        <w:rPr>
          <w:i/>
          <w:iCs/>
          <w:sz w:val="28"/>
          <w:szCs w:val="28"/>
          <w:rtl/>
        </w:rPr>
      </w:pPr>
      <w:r w:rsidRPr="007C5677">
        <w:rPr>
          <w:rFonts w:hint="cs"/>
          <w:sz w:val="28"/>
          <w:szCs w:val="28"/>
          <w:rtl/>
        </w:rPr>
        <w:t xml:space="preserve"> </w:t>
      </w:r>
      <w:r w:rsidRPr="007C5677">
        <w:rPr>
          <w:rFonts w:hint="cs"/>
          <w:i/>
          <w:iCs/>
          <w:sz w:val="28"/>
          <w:szCs w:val="28"/>
          <w:rtl/>
        </w:rPr>
        <w:t>المنافع</w:t>
      </w:r>
    </w:p>
    <w:p w:rsidR="0011735B" w:rsidRPr="007C5677" w:rsidRDefault="0011735B" w:rsidP="007C5677">
      <w:pPr>
        <w:bidi/>
        <w:jc w:val="both"/>
        <w:rPr>
          <w:sz w:val="28"/>
          <w:szCs w:val="28"/>
          <w:rtl/>
        </w:rPr>
      </w:pPr>
      <w:r w:rsidRPr="007C5677">
        <w:rPr>
          <w:rFonts w:hint="cs"/>
          <w:sz w:val="28"/>
          <w:szCs w:val="28"/>
          <w:rtl/>
        </w:rPr>
        <w:t>من المتوقع أن تسهم العملية في استدامة الأموال العامة ورفع مستوى الكفاءة في إدارة المال العام. كما سوف تدعم تقوية أنظمة الشراء العام والجهود الرامية لتحسين البيئة الاستثمارية وبخاصة تسهيل نشوء الشركات الجديدة وتمكينها من الحصول على التمويل.</w:t>
      </w:r>
    </w:p>
    <w:p w:rsidR="0011735B" w:rsidRPr="007C5677" w:rsidRDefault="0011735B" w:rsidP="007C5677">
      <w:pPr>
        <w:bidi/>
        <w:jc w:val="both"/>
        <w:rPr>
          <w:i/>
          <w:iCs/>
          <w:sz w:val="28"/>
          <w:szCs w:val="28"/>
          <w:rtl/>
        </w:rPr>
      </w:pPr>
      <w:r w:rsidRPr="007C5677">
        <w:rPr>
          <w:rFonts w:hint="cs"/>
          <w:i/>
          <w:iCs/>
          <w:sz w:val="28"/>
          <w:szCs w:val="28"/>
          <w:rtl/>
        </w:rPr>
        <w:t>المخاطر</w:t>
      </w:r>
    </w:p>
    <w:p w:rsidR="0011735B" w:rsidRPr="007C5677" w:rsidRDefault="0011735B" w:rsidP="007C5677">
      <w:pPr>
        <w:bidi/>
        <w:jc w:val="both"/>
        <w:rPr>
          <w:sz w:val="28"/>
          <w:szCs w:val="28"/>
          <w:rtl/>
        </w:rPr>
      </w:pPr>
      <w:r w:rsidRPr="007C5677">
        <w:rPr>
          <w:rFonts w:hint="cs"/>
          <w:sz w:val="28"/>
          <w:szCs w:val="28"/>
          <w:rtl/>
        </w:rPr>
        <w:t>يعتمد النجاح في هذه العملية على نشاطات موازية تقوم بها السلطة الفلسطينية وحكومة إسرائيل ومجتمع المانحين. والمخاطر الرئيسية هي:</w:t>
      </w:r>
    </w:p>
    <w:p w:rsidR="0011735B" w:rsidRPr="007C5677" w:rsidRDefault="0011735B" w:rsidP="001D638C">
      <w:pPr>
        <w:pStyle w:val="ListParagraph"/>
        <w:numPr>
          <w:ilvl w:val="0"/>
          <w:numId w:val="2"/>
        </w:numPr>
        <w:bidi/>
        <w:jc w:val="both"/>
        <w:rPr>
          <w:sz w:val="28"/>
          <w:szCs w:val="28"/>
        </w:rPr>
      </w:pPr>
      <w:r w:rsidRPr="007C5677">
        <w:rPr>
          <w:rFonts w:hint="cs"/>
          <w:sz w:val="28"/>
          <w:szCs w:val="28"/>
          <w:rtl/>
        </w:rPr>
        <w:t>الوضع السياسي المتقلب والذي يشوبه درجة عالية من غياب اليقين، والقابل للتدهور في حال إخفاق مفاوضات السلام الحالية وأيضا بسبب الانقسام السياسي بين الضفة الغربية وقطاع غزة.</w:t>
      </w:r>
    </w:p>
    <w:p w:rsidR="0011735B" w:rsidRPr="007C5677" w:rsidRDefault="0011735B" w:rsidP="00B90B96">
      <w:pPr>
        <w:pStyle w:val="ListParagraph"/>
        <w:numPr>
          <w:ilvl w:val="0"/>
          <w:numId w:val="2"/>
        </w:numPr>
        <w:bidi/>
        <w:jc w:val="both"/>
        <w:rPr>
          <w:sz w:val="28"/>
          <w:szCs w:val="28"/>
        </w:rPr>
      </w:pPr>
      <w:r w:rsidRPr="007C5677">
        <w:rPr>
          <w:rFonts w:hint="cs"/>
          <w:sz w:val="28"/>
          <w:szCs w:val="28"/>
          <w:rtl/>
        </w:rPr>
        <w:t xml:space="preserve">الاعتماد على مستويات عالية من مساعدات المانحين التي لا تقتصر على تمويل </w:t>
      </w:r>
      <w:r w:rsidR="00B90B96">
        <w:rPr>
          <w:rFonts w:hint="cs"/>
          <w:sz w:val="28"/>
          <w:szCs w:val="28"/>
          <w:rtl/>
        </w:rPr>
        <w:t>النفقات الحكومية الجارية</w:t>
      </w:r>
      <w:r w:rsidRPr="007C5677">
        <w:rPr>
          <w:rFonts w:hint="cs"/>
          <w:sz w:val="28"/>
          <w:szCs w:val="28"/>
          <w:rtl/>
        </w:rPr>
        <w:t xml:space="preserve"> بل تتعداها لتشكل حافزا للنمو</w:t>
      </w:r>
    </w:p>
    <w:p w:rsidR="0011735B" w:rsidRPr="007C5677" w:rsidRDefault="00B90B96" w:rsidP="007C5677">
      <w:pPr>
        <w:pStyle w:val="ListParagraph"/>
        <w:numPr>
          <w:ilvl w:val="0"/>
          <w:numId w:val="2"/>
        </w:numPr>
        <w:bidi/>
        <w:jc w:val="both"/>
        <w:rPr>
          <w:sz w:val="28"/>
          <w:szCs w:val="28"/>
        </w:rPr>
      </w:pPr>
      <w:r>
        <w:rPr>
          <w:rFonts w:hint="cs"/>
          <w:sz w:val="28"/>
          <w:szCs w:val="28"/>
          <w:rtl/>
        </w:rPr>
        <w:t>تواصل التراجع الك</w:t>
      </w:r>
      <w:r w:rsidR="0011735B" w:rsidRPr="007C5677">
        <w:rPr>
          <w:rFonts w:hint="cs"/>
          <w:sz w:val="28"/>
          <w:szCs w:val="28"/>
          <w:rtl/>
        </w:rPr>
        <w:t>بير في النمو الاقتصادي والذي يمكن أن يتفاقم بسبب عوامل الإنهاك الخارجية و</w:t>
      </w:r>
      <w:r w:rsidR="00D76F0B">
        <w:rPr>
          <w:rFonts w:hint="cs"/>
          <w:sz w:val="28"/>
          <w:szCs w:val="28"/>
          <w:rtl/>
        </w:rPr>
        <w:t>المرحلية</w:t>
      </w:r>
    </w:p>
    <w:p w:rsidR="0011735B" w:rsidRPr="007C5677" w:rsidRDefault="0011735B" w:rsidP="007C5677">
      <w:pPr>
        <w:pStyle w:val="ListParagraph"/>
        <w:numPr>
          <w:ilvl w:val="0"/>
          <w:numId w:val="2"/>
        </w:numPr>
        <w:bidi/>
        <w:jc w:val="both"/>
        <w:rPr>
          <w:sz w:val="28"/>
          <w:szCs w:val="28"/>
        </w:rPr>
      </w:pPr>
      <w:r w:rsidRPr="007C5677">
        <w:rPr>
          <w:rFonts w:hint="cs"/>
          <w:sz w:val="28"/>
          <w:szCs w:val="28"/>
          <w:rtl/>
        </w:rPr>
        <w:t>المخاطر الائتمانية (المتعلقة بثقة الجمهور)</w:t>
      </w:r>
    </w:p>
    <w:p w:rsidR="0011735B" w:rsidRPr="007C5677" w:rsidRDefault="0011735B" w:rsidP="007C5677">
      <w:pPr>
        <w:bidi/>
        <w:ind w:left="360"/>
        <w:jc w:val="both"/>
        <w:rPr>
          <w:b/>
          <w:bCs/>
          <w:sz w:val="28"/>
          <w:szCs w:val="28"/>
          <w:rtl/>
        </w:rPr>
      </w:pPr>
    </w:p>
    <w:p w:rsidR="0011735B" w:rsidRPr="007C5677" w:rsidRDefault="0011735B" w:rsidP="007C5677">
      <w:pPr>
        <w:pStyle w:val="ListParagraph"/>
        <w:numPr>
          <w:ilvl w:val="0"/>
          <w:numId w:val="1"/>
        </w:numPr>
        <w:bidi/>
        <w:jc w:val="both"/>
        <w:rPr>
          <w:b/>
          <w:bCs/>
          <w:sz w:val="28"/>
          <w:szCs w:val="28"/>
        </w:rPr>
      </w:pPr>
      <w:r w:rsidRPr="007C5677">
        <w:rPr>
          <w:rFonts w:hint="cs"/>
          <w:b/>
          <w:bCs/>
          <w:sz w:val="28"/>
          <w:szCs w:val="28"/>
          <w:rtl/>
        </w:rPr>
        <w:t>الفقر والآثار الاجتماعي</w:t>
      </w:r>
      <w:r w:rsidR="007C5677" w:rsidRPr="007C5677">
        <w:rPr>
          <w:rFonts w:hint="cs"/>
          <w:b/>
          <w:bCs/>
          <w:sz w:val="28"/>
          <w:szCs w:val="28"/>
          <w:rtl/>
        </w:rPr>
        <w:t>ة</w:t>
      </w:r>
      <w:r w:rsidRPr="007C5677">
        <w:rPr>
          <w:rFonts w:hint="cs"/>
          <w:b/>
          <w:bCs/>
          <w:sz w:val="28"/>
          <w:szCs w:val="28"/>
          <w:rtl/>
        </w:rPr>
        <w:t xml:space="preserve"> والنواحي البيئية</w:t>
      </w:r>
    </w:p>
    <w:p w:rsidR="0011735B" w:rsidRPr="007C5677" w:rsidRDefault="001D540B" w:rsidP="00B90B96">
      <w:pPr>
        <w:bidi/>
        <w:jc w:val="both"/>
        <w:rPr>
          <w:sz w:val="28"/>
          <w:szCs w:val="28"/>
          <w:rtl/>
        </w:rPr>
      </w:pPr>
      <w:r w:rsidRPr="007C5677">
        <w:rPr>
          <w:rFonts w:hint="cs"/>
          <w:sz w:val="28"/>
          <w:szCs w:val="28"/>
          <w:rtl/>
        </w:rPr>
        <w:lastRenderedPageBreak/>
        <w:t>لا يتوقع أن تكون هناك آثار سلبية على حالة الفقر والوضع الاجتماعي بسبب هذا البرنامج. على المدى المتوسط فإن الإصلاحات التي تدعمها تلك العمليات من المتوقع أن ترفع من حجم الأموال المتوفرة لبرامج الحد من الفقر الأساسية وتحسن من آفاق فرص العمل في القطاع الخاص. فالتدابير الهادفة لرفع إيرادات الحكومة متزامنة مع إجراءات تخفيف غياب</w:t>
      </w:r>
      <w:r w:rsidR="00B90B96">
        <w:rPr>
          <w:rFonts w:hint="cs"/>
          <w:sz w:val="28"/>
          <w:szCs w:val="28"/>
          <w:rtl/>
        </w:rPr>
        <w:t xml:space="preserve"> الكفاءة في النفقات العامة سوف ت</w:t>
      </w:r>
      <w:r w:rsidRPr="007C5677">
        <w:rPr>
          <w:rFonts w:hint="cs"/>
          <w:sz w:val="28"/>
          <w:szCs w:val="28"/>
          <w:rtl/>
        </w:rPr>
        <w:t>زيد من حجم الأموال المتوفرة للإنفاق على البرامج الأساسية للحد من ال</w:t>
      </w:r>
      <w:r w:rsidR="00B90B96">
        <w:rPr>
          <w:rFonts w:hint="cs"/>
          <w:sz w:val="28"/>
          <w:szCs w:val="28"/>
          <w:rtl/>
        </w:rPr>
        <w:t>ف</w:t>
      </w:r>
      <w:r w:rsidRPr="007C5677">
        <w:rPr>
          <w:rFonts w:hint="cs"/>
          <w:sz w:val="28"/>
          <w:szCs w:val="28"/>
          <w:rtl/>
        </w:rPr>
        <w:t>قر. كما أن تحسين الإدارة المالية شرط مهم لتحفيز النمو الاقتصادي وتوليد الوظائف. الإجراءات التي تدع</w:t>
      </w:r>
      <w:r w:rsidR="00B90B96">
        <w:rPr>
          <w:rFonts w:hint="cs"/>
          <w:sz w:val="28"/>
          <w:szCs w:val="28"/>
          <w:rtl/>
        </w:rPr>
        <w:t>م</w:t>
      </w:r>
      <w:r w:rsidRPr="007C5677">
        <w:rPr>
          <w:rFonts w:hint="cs"/>
          <w:sz w:val="28"/>
          <w:szCs w:val="28"/>
          <w:rtl/>
        </w:rPr>
        <w:t>ها تلك العملية لتعزيز أنظمة الشراء العام يجب أن تقلل من تكاليف عمليات الشراء ما يزيد من الأموال المتبقية للخدمات العامة الأساسية؛ ومن المفترض أن تؤدي هذه الإصلاحات إلى تعزيز فرص العمل لعدد أكبر من الشركات المحلية ما يدعم بدوره النمو والتوظيف في القطاع الخاص. وهذا له أثر إيجابي على وضع الفقر والحالة الاجتماعية. ومن المتوقع أن تأتي الإصلاحات الأخرى الخاصة بإ</w:t>
      </w:r>
      <w:r w:rsidR="00B90B96">
        <w:rPr>
          <w:rFonts w:hint="cs"/>
          <w:sz w:val="28"/>
          <w:szCs w:val="28"/>
          <w:rtl/>
        </w:rPr>
        <w:t>لا</w:t>
      </w:r>
      <w:r w:rsidRPr="007C5677">
        <w:rPr>
          <w:rFonts w:hint="cs"/>
          <w:sz w:val="28"/>
          <w:szCs w:val="28"/>
          <w:rtl/>
        </w:rPr>
        <w:t>دارة المالي</w:t>
      </w:r>
      <w:r w:rsidR="00B90B96">
        <w:rPr>
          <w:rFonts w:hint="cs"/>
          <w:sz w:val="28"/>
          <w:szCs w:val="28"/>
          <w:rtl/>
        </w:rPr>
        <w:t>ة العامة</w:t>
      </w:r>
      <w:r w:rsidRPr="007C5677">
        <w:rPr>
          <w:rFonts w:hint="cs"/>
          <w:sz w:val="28"/>
          <w:szCs w:val="28"/>
          <w:rtl/>
        </w:rPr>
        <w:t xml:space="preserve"> بنتائج إيجابية شبيهة.</w:t>
      </w:r>
    </w:p>
    <w:p w:rsidR="001D540B" w:rsidRPr="007C5677" w:rsidRDefault="001D540B" w:rsidP="007C5677">
      <w:pPr>
        <w:bidi/>
        <w:jc w:val="both"/>
        <w:rPr>
          <w:i/>
          <w:iCs/>
          <w:sz w:val="28"/>
          <w:szCs w:val="28"/>
          <w:rtl/>
        </w:rPr>
      </w:pPr>
      <w:r w:rsidRPr="007C5677">
        <w:rPr>
          <w:rFonts w:hint="cs"/>
          <w:i/>
          <w:iCs/>
          <w:sz w:val="28"/>
          <w:szCs w:val="28"/>
          <w:rtl/>
        </w:rPr>
        <w:t>المناحي البيئية</w:t>
      </w:r>
    </w:p>
    <w:p w:rsidR="001D540B" w:rsidRPr="007C5677" w:rsidRDefault="001D540B" w:rsidP="007C5677">
      <w:pPr>
        <w:bidi/>
        <w:jc w:val="both"/>
        <w:rPr>
          <w:sz w:val="28"/>
          <w:szCs w:val="28"/>
          <w:rtl/>
        </w:rPr>
      </w:pPr>
      <w:r w:rsidRPr="007C5677">
        <w:rPr>
          <w:rFonts w:hint="cs"/>
          <w:sz w:val="28"/>
          <w:szCs w:val="28"/>
          <w:rtl/>
        </w:rPr>
        <w:t>لن تؤدي نشاطات البرنامج الخاص بدعم السياسات التنموية إلى أي آثار كبيرة على بيئة البلاد، أو غاباتها أو مواردها الطبيعية الأخرى. فالتبعات على البيئة والموارد الطبيعية تأتي بشكل كبير من طبيعة الع</w:t>
      </w:r>
      <w:r w:rsidR="00B90B96">
        <w:rPr>
          <w:rFonts w:hint="cs"/>
          <w:sz w:val="28"/>
          <w:szCs w:val="28"/>
          <w:rtl/>
        </w:rPr>
        <w:t xml:space="preserve">ملية. </w:t>
      </w:r>
      <w:r w:rsidR="00DC6BBA">
        <w:rPr>
          <w:rFonts w:hint="cs"/>
          <w:sz w:val="28"/>
          <w:szCs w:val="28"/>
          <w:rtl/>
        </w:rPr>
        <w:t>ف</w:t>
      </w:r>
      <w:bookmarkStart w:id="0" w:name="_GoBack"/>
      <w:bookmarkEnd w:id="0"/>
      <w:r w:rsidR="00B90B96">
        <w:rPr>
          <w:rFonts w:hint="cs"/>
          <w:sz w:val="28"/>
          <w:szCs w:val="28"/>
          <w:rtl/>
        </w:rPr>
        <w:t xml:space="preserve">في هذا البرنامج المقترح، </w:t>
      </w:r>
      <w:r w:rsidRPr="007C5677">
        <w:rPr>
          <w:rFonts w:hint="cs"/>
          <w:sz w:val="28"/>
          <w:szCs w:val="28"/>
          <w:rtl/>
        </w:rPr>
        <w:t>لن يكون لأي من النشاطات السابقة الواردة في مصفوفة السياسات أي آثار أو مخاطر بيئية. كما أن المشروع المقترح لا يحتوي على أي شق فرعي فيه متعلق بالإقراض الاستثماري يشمل استثمارات مادية. ولا توجد ضرورة لتطبيق أي من سياسات الحماية التي يطبقها البنك الدولي على هذا المشروع.</w:t>
      </w:r>
    </w:p>
    <w:p w:rsidR="001D540B" w:rsidRPr="007C5677" w:rsidRDefault="001D540B" w:rsidP="007C5677">
      <w:pPr>
        <w:pStyle w:val="ListParagraph"/>
        <w:numPr>
          <w:ilvl w:val="0"/>
          <w:numId w:val="1"/>
        </w:numPr>
        <w:bidi/>
        <w:jc w:val="both"/>
        <w:rPr>
          <w:b/>
          <w:bCs/>
          <w:sz w:val="28"/>
          <w:szCs w:val="28"/>
        </w:rPr>
      </w:pPr>
      <w:r w:rsidRPr="007C5677">
        <w:rPr>
          <w:rFonts w:hint="cs"/>
          <w:b/>
          <w:bCs/>
          <w:sz w:val="28"/>
          <w:szCs w:val="28"/>
          <w:rtl/>
        </w:rPr>
        <w:t>عنوان الاتصال</w:t>
      </w:r>
    </w:p>
    <w:p w:rsidR="006F4E12" w:rsidRPr="007C5677" w:rsidRDefault="006F4E12" w:rsidP="007C5677">
      <w:pPr>
        <w:autoSpaceDE w:val="0"/>
        <w:autoSpaceDN w:val="0"/>
        <w:adjustRightInd w:val="0"/>
        <w:spacing w:after="0"/>
        <w:ind w:left="360"/>
        <w:jc w:val="both"/>
        <w:rPr>
          <w:b/>
          <w:bCs/>
          <w:sz w:val="28"/>
          <w:szCs w:val="28"/>
        </w:rPr>
      </w:pPr>
      <w:r w:rsidRPr="007C5677">
        <w:rPr>
          <w:b/>
          <w:bCs/>
          <w:sz w:val="28"/>
          <w:szCs w:val="28"/>
        </w:rPr>
        <w:t xml:space="preserve">World Bank </w:t>
      </w:r>
    </w:p>
    <w:p w:rsidR="006F4E12" w:rsidRPr="007C5677" w:rsidRDefault="006F4E12" w:rsidP="007C5677">
      <w:pPr>
        <w:autoSpaceDE w:val="0"/>
        <w:autoSpaceDN w:val="0"/>
        <w:adjustRightInd w:val="0"/>
        <w:spacing w:after="0"/>
        <w:ind w:left="360"/>
        <w:jc w:val="both"/>
        <w:rPr>
          <w:sz w:val="28"/>
          <w:szCs w:val="28"/>
        </w:rPr>
      </w:pPr>
      <w:r w:rsidRPr="007C5677">
        <w:rPr>
          <w:sz w:val="28"/>
          <w:szCs w:val="28"/>
        </w:rPr>
        <w:t xml:space="preserve">Contact: </w:t>
      </w:r>
      <w:proofErr w:type="spellStart"/>
      <w:r w:rsidRPr="007C5677">
        <w:rPr>
          <w:sz w:val="28"/>
          <w:szCs w:val="28"/>
        </w:rPr>
        <w:t>Orhan</w:t>
      </w:r>
      <w:proofErr w:type="spellEnd"/>
      <w:r w:rsidRPr="007C5677">
        <w:rPr>
          <w:sz w:val="28"/>
          <w:szCs w:val="28"/>
        </w:rPr>
        <w:t xml:space="preserve"> </w:t>
      </w:r>
      <w:proofErr w:type="spellStart"/>
      <w:r w:rsidRPr="007C5677">
        <w:rPr>
          <w:sz w:val="28"/>
          <w:szCs w:val="28"/>
        </w:rPr>
        <w:t>Niksic</w:t>
      </w:r>
      <w:proofErr w:type="spellEnd"/>
    </w:p>
    <w:p w:rsidR="006F4E12" w:rsidRPr="007C5677" w:rsidRDefault="006F4E12" w:rsidP="007C5677">
      <w:pPr>
        <w:autoSpaceDE w:val="0"/>
        <w:autoSpaceDN w:val="0"/>
        <w:adjustRightInd w:val="0"/>
        <w:spacing w:after="0"/>
        <w:ind w:left="360"/>
        <w:jc w:val="both"/>
        <w:rPr>
          <w:sz w:val="28"/>
          <w:szCs w:val="28"/>
        </w:rPr>
      </w:pPr>
      <w:r w:rsidRPr="007C5677">
        <w:rPr>
          <w:sz w:val="28"/>
          <w:szCs w:val="28"/>
        </w:rPr>
        <w:t>Title: Senior Economist</w:t>
      </w:r>
    </w:p>
    <w:p w:rsidR="006F4E12" w:rsidRPr="007C5677" w:rsidRDefault="006F4E12" w:rsidP="007C5677">
      <w:pPr>
        <w:autoSpaceDE w:val="0"/>
        <w:autoSpaceDN w:val="0"/>
        <w:adjustRightInd w:val="0"/>
        <w:spacing w:after="0"/>
        <w:ind w:left="360"/>
        <w:jc w:val="both"/>
        <w:rPr>
          <w:sz w:val="28"/>
          <w:szCs w:val="28"/>
        </w:rPr>
      </w:pPr>
      <w:r w:rsidRPr="007C5677">
        <w:rPr>
          <w:sz w:val="28"/>
          <w:szCs w:val="28"/>
        </w:rPr>
        <w:t>Tel: 5366+253</w:t>
      </w:r>
    </w:p>
    <w:p w:rsidR="006F4E12" w:rsidRPr="007C5677" w:rsidRDefault="006F4E12" w:rsidP="007C5677">
      <w:pPr>
        <w:autoSpaceDE w:val="0"/>
        <w:autoSpaceDN w:val="0"/>
        <w:adjustRightInd w:val="0"/>
        <w:spacing w:after="0"/>
        <w:ind w:left="360"/>
        <w:jc w:val="both"/>
        <w:rPr>
          <w:sz w:val="28"/>
          <w:szCs w:val="28"/>
        </w:rPr>
      </w:pPr>
      <w:r w:rsidRPr="007C5677">
        <w:rPr>
          <w:sz w:val="28"/>
          <w:szCs w:val="28"/>
        </w:rPr>
        <w:t xml:space="preserve">Fax: </w:t>
      </w:r>
    </w:p>
    <w:p w:rsidR="006F4E12" w:rsidRPr="007C5677" w:rsidRDefault="006F4E12" w:rsidP="007C5677">
      <w:pPr>
        <w:autoSpaceDE w:val="0"/>
        <w:autoSpaceDN w:val="0"/>
        <w:adjustRightInd w:val="0"/>
        <w:spacing w:after="0"/>
        <w:ind w:left="360"/>
        <w:jc w:val="both"/>
        <w:rPr>
          <w:sz w:val="28"/>
          <w:szCs w:val="28"/>
        </w:rPr>
      </w:pPr>
      <w:r w:rsidRPr="007C5677">
        <w:rPr>
          <w:sz w:val="28"/>
          <w:szCs w:val="28"/>
        </w:rPr>
        <w:t>Email: oniksic@worldbank.org</w:t>
      </w:r>
    </w:p>
    <w:p w:rsidR="006F4E12" w:rsidRPr="007C5677" w:rsidRDefault="006F4E12" w:rsidP="007C5677">
      <w:pPr>
        <w:autoSpaceDE w:val="0"/>
        <w:autoSpaceDN w:val="0"/>
        <w:adjustRightInd w:val="0"/>
        <w:spacing w:after="0"/>
        <w:ind w:left="360"/>
        <w:jc w:val="both"/>
        <w:rPr>
          <w:sz w:val="28"/>
          <w:szCs w:val="28"/>
        </w:rPr>
      </w:pPr>
      <w:r w:rsidRPr="007C5677">
        <w:rPr>
          <w:sz w:val="28"/>
          <w:szCs w:val="28"/>
        </w:rPr>
        <w:t>Location: Gaza, West Bank and Gaza (IBRD)</w:t>
      </w:r>
    </w:p>
    <w:p w:rsidR="001D540B" w:rsidRPr="007C5677" w:rsidRDefault="001D540B" w:rsidP="007C5677">
      <w:pPr>
        <w:bidi/>
        <w:jc w:val="both"/>
        <w:rPr>
          <w:b/>
          <w:bCs/>
          <w:sz w:val="28"/>
          <w:szCs w:val="28"/>
          <w:rtl/>
        </w:rPr>
      </w:pPr>
    </w:p>
    <w:p w:rsidR="0097087A" w:rsidRPr="007C5677" w:rsidRDefault="006F4E12" w:rsidP="007C5677">
      <w:pPr>
        <w:bidi/>
        <w:jc w:val="both"/>
        <w:rPr>
          <w:b/>
          <w:bCs/>
          <w:sz w:val="28"/>
          <w:szCs w:val="28"/>
          <w:rtl/>
        </w:rPr>
      </w:pPr>
      <w:r w:rsidRPr="007C5677">
        <w:rPr>
          <w:rFonts w:hint="cs"/>
          <w:b/>
          <w:bCs/>
          <w:sz w:val="28"/>
          <w:szCs w:val="28"/>
          <w:rtl/>
        </w:rPr>
        <w:t>الجهة المقترضة</w:t>
      </w:r>
    </w:p>
    <w:p w:rsidR="006F4E12" w:rsidRPr="007C5677" w:rsidRDefault="006F4E12" w:rsidP="007C5677">
      <w:pPr>
        <w:bidi/>
        <w:spacing w:after="0"/>
        <w:jc w:val="both"/>
        <w:rPr>
          <w:sz w:val="28"/>
          <w:szCs w:val="28"/>
          <w:rtl/>
        </w:rPr>
      </w:pPr>
      <w:r w:rsidRPr="007C5677">
        <w:rPr>
          <w:rFonts w:hint="cs"/>
          <w:sz w:val="28"/>
          <w:szCs w:val="28"/>
          <w:rtl/>
        </w:rPr>
        <w:t>الشخص المسئول عن الاتصال: ليلى صبيح</w:t>
      </w:r>
    </w:p>
    <w:p w:rsidR="006F4E12" w:rsidRPr="007C5677" w:rsidRDefault="00D76F0B" w:rsidP="007C5677">
      <w:pPr>
        <w:bidi/>
        <w:spacing w:after="0"/>
        <w:jc w:val="both"/>
        <w:rPr>
          <w:sz w:val="28"/>
          <w:szCs w:val="28"/>
          <w:rtl/>
        </w:rPr>
      </w:pPr>
      <w:r>
        <w:rPr>
          <w:rFonts w:hint="cs"/>
          <w:sz w:val="28"/>
          <w:szCs w:val="28"/>
          <w:rtl/>
        </w:rPr>
        <w:t>مدير عام</w:t>
      </w:r>
      <w:r w:rsidR="006F4E12" w:rsidRPr="007C5677">
        <w:rPr>
          <w:rFonts w:hint="cs"/>
          <w:sz w:val="28"/>
          <w:szCs w:val="28"/>
          <w:rtl/>
        </w:rPr>
        <w:t xml:space="preserve"> دائرة العلاقات الدولية</w:t>
      </w:r>
    </w:p>
    <w:p w:rsidR="006F4E12" w:rsidRPr="007C5677" w:rsidRDefault="006F4E12" w:rsidP="007C5677">
      <w:pPr>
        <w:bidi/>
        <w:spacing w:after="0"/>
        <w:jc w:val="both"/>
        <w:rPr>
          <w:sz w:val="28"/>
          <w:szCs w:val="28"/>
          <w:rtl/>
        </w:rPr>
      </w:pPr>
      <w:r w:rsidRPr="007C5677">
        <w:rPr>
          <w:rFonts w:hint="cs"/>
          <w:sz w:val="28"/>
          <w:szCs w:val="28"/>
          <w:rtl/>
        </w:rPr>
        <w:t>وزارة المالية في السلطة الفلسطينية</w:t>
      </w:r>
    </w:p>
    <w:p w:rsidR="006F4E12" w:rsidRPr="007C5677" w:rsidRDefault="006F4E12" w:rsidP="007C5677">
      <w:pPr>
        <w:bidi/>
        <w:spacing w:after="0"/>
        <w:jc w:val="both"/>
        <w:rPr>
          <w:sz w:val="28"/>
          <w:szCs w:val="28"/>
          <w:rtl/>
        </w:rPr>
      </w:pPr>
      <w:r w:rsidRPr="007C5677">
        <w:rPr>
          <w:rFonts w:hint="cs"/>
          <w:sz w:val="28"/>
          <w:szCs w:val="28"/>
          <w:rtl/>
        </w:rPr>
        <w:lastRenderedPageBreak/>
        <w:t>رام الله، الضفة الغربية</w:t>
      </w:r>
    </w:p>
    <w:p w:rsidR="006F4E12" w:rsidRPr="007C5677" w:rsidRDefault="006F4E12" w:rsidP="007C5677">
      <w:pPr>
        <w:bidi/>
        <w:spacing w:after="0"/>
        <w:jc w:val="both"/>
        <w:rPr>
          <w:sz w:val="28"/>
          <w:szCs w:val="28"/>
          <w:rtl/>
        </w:rPr>
      </w:pPr>
      <w:r w:rsidRPr="007C5677">
        <w:rPr>
          <w:rFonts w:hint="cs"/>
          <w:sz w:val="28"/>
          <w:szCs w:val="28"/>
          <w:rtl/>
        </w:rPr>
        <w:t>الضفة الغربية وغزة</w:t>
      </w:r>
    </w:p>
    <w:p w:rsidR="006F4E12" w:rsidRPr="007C5677" w:rsidRDefault="006F4E12" w:rsidP="007C5677">
      <w:pPr>
        <w:bidi/>
        <w:spacing w:after="0"/>
        <w:jc w:val="both"/>
        <w:rPr>
          <w:sz w:val="28"/>
          <w:szCs w:val="28"/>
          <w:rtl/>
        </w:rPr>
      </w:pPr>
      <w:r w:rsidRPr="007C5677">
        <w:rPr>
          <w:rFonts w:hint="cs"/>
          <w:sz w:val="28"/>
          <w:szCs w:val="28"/>
          <w:rtl/>
        </w:rPr>
        <w:t>هاتف: 0650-240 (2-970)، فاكس: 0595-240 (2-970)</w:t>
      </w:r>
    </w:p>
    <w:p w:rsidR="006F4E12" w:rsidRPr="007C5677" w:rsidRDefault="00DC6BBA" w:rsidP="007C5677">
      <w:pPr>
        <w:autoSpaceDE w:val="0"/>
        <w:autoSpaceDN w:val="0"/>
        <w:bidi/>
        <w:adjustRightInd w:val="0"/>
        <w:spacing w:after="0"/>
        <w:jc w:val="both"/>
        <w:rPr>
          <w:sz w:val="28"/>
          <w:szCs w:val="28"/>
          <w:rtl/>
        </w:rPr>
      </w:pPr>
      <w:hyperlink r:id="rId9" w:history="1">
        <w:r w:rsidR="006F4E12" w:rsidRPr="007C5677">
          <w:rPr>
            <w:sz w:val="28"/>
            <w:szCs w:val="28"/>
            <w:u w:val="single"/>
          </w:rPr>
          <w:t>mofirdg@palnet.com</w:t>
        </w:r>
      </w:hyperlink>
    </w:p>
    <w:p w:rsidR="007C5677" w:rsidRPr="007C5677" w:rsidRDefault="007C5677" w:rsidP="007C5677">
      <w:pPr>
        <w:autoSpaceDE w:val="0"/>
        <w:autoSpaceDN w:val="0"/>
        <w:bidi/>
        <w:adjustRightInd w:val="0"/>
        <w:spacing w:after="0"/>
        <w:jc w:val="both"/>
        <w:rPr>
          <w:sz w:val="28"/>
          <w:szCs w:val="28"/>
          <w:rtl/>
        </w:rPr>
      </w:pPr>
    </w:p>
    <w:p w:rsidR="006F4E12" w:rsidRPr="007C5677" w:rsidRDefault="007C5677" w:rsidP="007C5677">
      <w:pPr>
        <w:pStyle w:val="ListParagraph"/>
        <w:numPr>
          <w:ilvl w:val="0"/>
          <w:numId w:val="1"/>
        </w:numPr>
        <w:autoSpaceDE w:val="0"/>
        <w:autoSpaceDN w:val="0"/>
        <w:bidi/>
        <w:adjustRightInd w:val="0"/>
        <w:jc w:val="both"/>
        <w:rPr>
          <w:b/>
          <w:bCs/>
          <w:sz w:val="28"/>
          <w:szCs w:val="28"/>
        </w:rPr>
      </w:pPr>
      <w:r w:rsidRPr="007C5677">
        <w:rPr>
          <w:rFonts w:hint="cs"/>
          <w:b/>
          <w:bCs/>
          <w:sz w:val="28"/>
          <w:szCs w:val="28"/>
          <w:rtl/>
        </w:rPr>
        <w:t>للمزيد من المعلومات يرجى الاتصال ب:</w:t>
      </w:r>
    </w:p>
    <w:p w:rsidR="007C5677" w:rsidRPr="007C5677" w:rsidRDefault="007C5677" w:rsidP="007C5677">
      <w:pPr>
        <w:autoSpaceDE w:val="0"/>
        <w:autoSpaceDN w:val="0"/>
        <w:adjustRightInd w:val="0"/>
        <w:spacing w:after="0"/>
        <w:ind w:left="360"/>
        <w:jc w:val="both"/>
        <w:rPr>
          <w:sz w:val="28"/>
          <w:szCs w:val="28"/>
        </w:rPr>
      </w:pPr>
      <w:r w:rsidRPr="007C5677">
        <w:rPr>
          <w:sz w:val="28"/>
          <w:szCs w:val="28"/>
        </w:rPr>
        <w:t xml:space="preserve">The </w:t>
      </w:r>
      <w:proofErr w:type="spellStart"/>
      <w:r w:rsidRPr="007C5677">
        <w:rPr>
          <w:sz w:val="28"/>
          <w:szCs w:val="28"/>
        </w:rPr>
        <w:t>InfoShop</w:t>
      </w:r>
      <w:proofErr w:type="spellEnd"/>
    </w:p>
    <w:p w:rsidR="007C5677" w:rsidRPr="007C5677" w:rsidRDefault="007C5677" w:rsidP="007C5677">
      <w:pPr>
        <w:autoSpaceDE w:val="0"/>
        <w:autoSpaceDN w:val="0"/>
        <w:adjustRightInd w:val="0"/>
        <w:spacing w:after="0"/>
        <w:ind w:left="360"/>
        <w:jc w:val="both"/>
        <w:rPr>
          <w:sz w:val="28"/>
          <w:szCs w:val="28"/>
        </w:rPr>
      </w:pPr>
      <w:r w:rsidRPr="007C5677">
        <w:rPr>
          <w:sz w:val="28"/>
          <w:szCs w:val="28"/>
        </w:rPr>
        <w:t>The World Bank</w:t>
      </w:r>
    </w:p>
    <w:p w:rsidR="007C5677" w:rsidRPr="007C5677" w:rsidRDefault="007C5677" w:rsidP="007C5677">
      <w:pPr>
        <w:autoSpaceDE w:val="0"/>
        <w:autoSpaceDN w:val="0"/>
        <w:adjustRightInd w:val="0"/>
        <w:spacing w:after="0"/>
        <w:ind w:left="360"/>
        <w:jc w:val="both"/>
        <w:rPr>
          <w:sz w:val="28"/>
          <w:szCs w:val="28"/>
        </w:rPr>
      </w:pPr>
      <w:r w:rsidRPr="007C5677">
        <w:rPr>
          <w:sz w:val="28"/>
          <w:szCs w:val="28"/>
        </w:rPr>
        <w:t>1818 H Street, NW</w:t>
      </w:r>
    </w:p>
    <w:p w:rsidR="007C5677" w:rsidRPr="007C5677" w:rsidRDefault="007C5677" w:rsidP="007C5677">
      <w:pPr>
        <w:autoSpaceDE w:val="0"/>
        <w:autoSpaceDN w:val="0"/>
        <w:adjustRightInd w:val="0"/>
        <w:spacing w:after="0"/>
        <w:ind w:left="360"/>
        <w:jc w:val="both"/>
        <w:rPr>
          <w:sz w:val="28"/>
          <w:szCs w:val="28"/>
        </w:rPr>
      </w:pPr>
      <w:r w:rsidRPr="007C5677">
        <w:rPr>
          <w:sz w:val="28"/>
          <w:szCs w:val="28"/>
        </w:rPr>
        <w:t>Washington, D.C. 20433</w:t>
      </w:r>
    </w:p>
    <w:p w:rsidR="007C5677" w:rsidRPr="007C5677" w:rsidRDefault="007C5677" w:rsidP="007C5677">
      <w:pPr>
        <w:autoSpaceDE w:val="0"/>
        <w:autoSpaceDN w:val="0"/>
        <w:adjustRightInd w:val="0"/>
        <w:spacing w:after="0"/>
        <w:ind w:left="360"/>
        <w:jc w:val="both"/>
        <w:rPr>
          <w:sz w:val="28"/>
          <w:szCs w:val="28"/>
        </w:rPr>
      </w:pPr>
      <w:r w:rsidRPr="007C5677">
        <w:rPr>
          <w:sz w:val="28"/>
          <w:szCs w:val="28"/>
        </w:rPr>
        <w:t>Telephone:  (202) 458-5454</w:t>
      </w:r>
    </w:p>
    <w:p w:rsidR="007C5677" w:rsidRPr="007C5677" w:rsidRDefault="007C5677" w:rsidP="007C5677">
      <w:pPr>
        <w:autoSpaceDE w:val="0"/>
        <w:autoSpaceDN w:val="0"/>
        <w:adjustRightInd w:val="0"/>
        <w:spacing w:after="0"/>
        <w:ind w:left="360"/>
        <w:jc w:val="both"/>
        <w:rPr>
          <w:sz w:val="28"/>
          <w:szCs w:val="28"/>
        </w:rPr>
      </w:pPr>
      <w:r w:rsidRPr="007C5677">
        <w:rPr>
          <w:sz w:val="28"/>
          <w:szCs w:val="28"/>
        </w:rPr>
        <w:t>Fax:  (202) 522-1500</w:t>
      </w:r>
    </w:p>
    <w:p w:rsidR="007C5677" w:rsidRPr="007C5677" w:rsidRDefault="007C5677" w:rsidP="007C5677">
      <w:pPr>
        <w:pStyle w:val="CommentText"/>
        <w:ind w:left="360"/>
        <w:jc w:val="both"/>
        <w:rPr>
          <w:sz w:val="28"/>
          <w:szCs w:val="28"/>
        </w:rPr>
      </w:pPr>
      <w:r w:rsidRPr="007C5677">
        <w:rPr>
          <w:sz w:val="28"/>
          <w:szCs w:val="28"/>
        </w:rPr>
        <w:t>Web: http://www.world</w:t>
      </w:r>
      <w:r w:rsidRPr="007C5677">
        <w:rPr>
          <w:color w:val="000000"/>
          <w:sz w:val="28"/>
          <w:szCs w:val="28"/>
        </w:rPr>
        <w:t>bank.org/infoshop</w:t>
      </w:r>
    </w:p>
    <w:p w:rsidR="007C5677" w:rsidRPr="007C5677" w:rsidRDefault="007C5677" w:rsidP="007C5677">
      <w:pPr>
        <w:autoSpaceDE w:val="0"/>
        <w:autoSpaceDN w:val="0"/>
        <w:bidi/>
        <w:adjustRightInd w:val="0"/>
        <w:spacing w:after="0"/>
        <w:jc w:val="both"/>
        <w:rPr>
          <w:b/>
          <w:bCs/>
          <w:sz w:val="28"/>
          <w:szCs w:val="28"/>
        </w:rPr>
      </w:pPr>
    </w:p>
    <w:p w:rsidR="006F4E12" w:rsidRPr="007C5677" w:rsidRDefault="006F4E12" w:rsidP="007C5677">
      <w:pPr>
        <w:bidi/>
        <w:spacing w:after="0"/>
        <w:jc w:val="both"/>
        <w:rPr>
          <w:sz w:val="28"/>
          <w:szCs w:val="28"/>
          <w:rtl/>
        </w:rPr>
      </w:pPr>
    </w:p>
    <w:sectPr w:rsidR="006F4E12" w:rsidRPr="007C5677" w:rsidSect="0098404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31A" w:rsidRDefault="00C1631A" w:rsidP="00604794">
      <w:pPr>
        <w:spacing w:after="0" w:line="240" w:lineRule="auto"/>
      </w:pPr>
      <w:r>
        <w:separator/>
      </w:r>
    </w:p>
  </w:endnote>
  <w:endnote w:type="continuationSeparator" w:id="0">
    <w:p w:rsidR="00C1631A" w:rsidRDefault="00C1631A" w:rsidP="00604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31A" w:rsidRDefault="00C1631A" w:rsidP="00604794">
      <w:pPr>
        <w:spacing w:after="0" w:line="240" w:lineRule="auto"/>
      </w:pPr>
      <w:r>
        <w:separator/>
      </w:r>
    </w:p>
  </w:footnote>
  <w:footnote w:type="continuationSeparator" w:id="0">
    <w:p w:rsidR="00C1631A" w:rsidRDefault="00C1631A" w:rsidP="00604794">
      <w:pPr>
        <w:spacing w:after="0" w:line="240" w:lineRule="auto"/>
      </w:pPr>
      <w:r>
        <w:continuationSeparator/>
      </w:r>
    </w:p>
  </w:footnote>
  <w:footnote w:id="1">
    <w:p w:rsidR="00604794" w:rsidRDefault="00604794" w:rsidP="007C5677">
      <w:pPr>
        <w:pStyle w:val="FootnoteText"/>
        <w:bidi/>
        <w:rPr>
          <w:rtl/>
        </w:rPr>
      </w:pPr>
      <w:r>
        <w:rPr>
          <w:rStyle w:val="FootnoteReference"/>
        </w:rPr>
        <w:footnoteRef/>
      </w:r>
      <w:r>
        <w:t xml:space="preserve"> </w:t>
      </w:r>
      <w:r>
        <w:rPr>
          <w:rFonts w:hint="cs"/>
          <w:rtl/>
        </w:rPr>
        <w:t xml:space="preserve"> تتذرع حكومة إسرائيل بمخاوفها الأمنية التي </w:t>
      </w:r>
      <w:r w:rsidR="007C5677">
        <w:rPr>
          <w:rFonts w:hint="cs"/>
          <w:rtl/>
        </w:rPr>
        <w:t>تحد من</w:t>
      </w:r>
      <w:r>
        <w:rPr>
          <w:rFonts w:hint="cs"/>
          <w:rtl/>
        </w:rPr>
        <w:t xml:space="preserve"> قدرتها على مواصلة تخفيف أو رفع القيود المفروضة على الضفة الغربية وغزة.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E6D20"/>
    <w:multiLevelType w:val="hybridMultilevel"/>
    <w:tmpl w:val="D8165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3866E4"/>
    <w:multiLevelType w:val="hybridMultilevel"/>
    <w:tmpl w:val="31C0DC00"/>
    <w:lvl w:ilvl="0" w:tplc="61705D0C">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CEB"/>
    <w:rsid w:val="00023028"/>
    <w:rsid w:val="0011735B"/>
    <w:rsid w:val="001D540B"/>
    <w:rsid w:val="001D638C"/>
    <w:rsid w:val="003A5798"/>
    <w:rsid w:val="00410CEB"/>
    <w:rsid w:val="00604794"/>
    <w:rsid w:val="006F4E12"/>
    <w:rsid w:val="007C5677"/>
    <w:rsid w:val="0097087A"/>
    <w:rsid w:val="0098404C"/>
    <w:rsid w:val="00A33CE2"/>
    <w:rsid w:val="00A50F3C"/>
    <w:rsid w:val="00B55129"/>
    <w:rsid w:val="00B90B96"/>
    <w:rsid w:val="00BB5345"/>
    <w:rsid w:val="00C1631A"/>
    <w:rsid w:val="00D76F0B"/>
    <w:rsid w:val="00DC6BBA"/>
    <w:rsid w:val="00FB16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0C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0CEB"/>
    <w:pPr>
      <w:ind w:left="720"/>
      <w:contextualSpacing/>
    </w:pPr>
  </w:style>
  <w:style w:type="paragraph" w:styleId="FootnoteText">
    <w:name w:val="footnote text"/>
    <w:basedOn w:val="Normal"/>
    <w:link w:val="FootnoteTextChar"/>
    <w:uiPriority w:val="99"/>
    <w:semiHidden/>
    <w:unhideWhenUsed/>
    <w:rsid w:val="006047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4794"/>
    <w:rPr>
      <w:sz w:val="20"/>
      <w:szCs w:val="20"/>
    </w:rPr>
  </w:style>
  <w:style w:type="character" w:styleId="FootnoteReference">
    <w:name w:val="footnote reference"/>
    <w:basedOn w:val="DefaultParagraphFont"/>
    <w:uiPriority w:val="99"/>
    <w:semiHidden/>
    <w:unhideWhenUsed/>
    <w:rsid w:val="00604794"/>
    <w:rPr>
      <w:vertAlign w:val="superscript"/>
    </w:rPr>
  </w:style>
  <w:style w:type="paragraph" w:styleId="CommentText">
    <w:name w:val="annotation text"/>
    <w:basedOn w:val="Normal"/>
    <w:link w:val="CommentTextChar"/>
    <w:semiHidden/>
    <w:rsid w:val="007C567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7C567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0C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0CEB"/>
    <w:pPr>
      <w:ind w:left="720"/>
      <w:contextualSpacing/>
    </w:pPr>
  </w:style>
  <w:style w:type="paragraph" w:styleId="FootnoteText">
    <w:name w:val="footnote text"/>
    <w:basedOn w:val="Normal"/>
    <w:link w:val="FootnoteTextChar"/>
    <w:uiPriority w:val="99"/>
    <w:semiHidden/>
    <w:unhideWhenUsed/>
    <w:rsid w:val="006047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4794"/>
    <w:rPr>
      <w:sz w:val="20"/>
      <w:szCs w:val="20"/>
    </w:rPr>
  </w:style>
  <w:style w:type="character" w:styleId="FootnoteReference">
    <w:name w:val="footnote reference"/>
    <w:basedOn w:val="DefaultParagraphFont"/>
    <w:uiPriority w:val="99"/>
    <w:semiHidden/>
    <w:unhideWhenUsed/>
    <w:rsid w:val="00604794"/>
    <w:rPr>
      <w:vertAlign w:val="superscript"/>
    </w:rPr>
  </w:style>
  <w:style w:type="paragraph" w:styleId="CommentText">
    <w:name w:val="annotation text"/>
    <w:basedOn w:val="Normal"/>
    <w:link w:val="CommentTextChar"/>
    <w:semiHidden/>
    <w:rsid w:val="007C567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7C567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ofirdg@pal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C6E34-8747-4B7F-BC36-C9F5DB157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Maha Muhammad Bali</cp:lastModifiedBy>
  <cp:revision>2</cp:revision>
  <dcterms:created xsi:type="dcterms:W3CDTF">2014-05-14T10:49:00Z</dcterms:created>
  <dcterms:modified xsi:type="dcterms:W3CDTF">2014-05-14T10:49:00Z</dcterms:modified>
</cp:coreProperties>
</file>