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483C" w:rsidRPr="00816C1F" w:rsidRDefault="008C483C" w:rsidP="003262E3">
      <w:pPr>
        <w:pStyle w:val="NormalWeb"/>
        <w:jc w:val="center"/>
        <w:divId w:val="1722093135"/>
      </w:pPr>
      <w:bookmarkStart w:id="0" w:name="COVERPAGE"/>
      <w:bookmarkStart w:id="1" w:name="_GoBack"/>
      <w:bookmarkEnd w:id="0"/>
      <w:bookmarkEnd w:id="1"/>
      <w:r w:rsidRPr="00816C1F">
        <w:t xml:space="preserve">Document of </w:t>
      </w:r>
      <w:r w:rsidRPr="00816C1F">
        <w:br/>
      </w:r>
      <w:r w:rsidRPr="00816C1F">
        <w:rPr>
          <w:b/>
        </w:rPr>
        <w:t>The World Bank</w:t>
      </w:r>
    </w:p>
    <w:p w:rsidR="008C483C" w:rsidRPr="00816C1F" w:rsidRDefault="008C483C" w:rsidP="003262E3">
      <w:pPr>
        <w:jc w:val="center"/>
        <w:divId w:val="1722093135"/>
        <w:rPr>
          <w:rFonts w:eastAsia="Times New Roman"/>
        </w:rPr>
      </w:pPr>
    </w:p>
    <w:p w:rsidR="008C483C" w:rsidRPr="00816C1F" w:rsidRDefault="008C483C" w:rsidP="00C41D05">
      <w:pPr>
        <w:pStyle w:val="NormalWeb"/>
        <w:jc w:val="right"/>
        <w:divId w:val="1722093135"/>
        <w:rPr>
          <w:rFonts w:eastAsia="Times New Roman"/>
        </w:rPr>
      </w:pPr>
      <w:r w:rsidRPr="00816C1F">
        <w:br/>
        <w:t>Report No: </w:t>
      </w:r>
      <w:r w:rsidR="00F82920" w:rsidRPr="008E0A54">
        <w:t>I</w:t>
      </w:r>
      <w:r w:rsidRPr="008E0A54">
        <w:t>CR</w:t>
      </w:r>
      <w:r w:rsidR="004471B5" w:rsidRPr="008E0A54">
        <w:t xml:space="preserve"> </w:t>
      </w:r>
      <w:r w:rsidR="008E0A54" w:rsidRPr="008E0A54">
        <w:rPr>
          <w:color w:val="000000"/>
          <w:lang w:eastAsia="en-US"/>
        </w:rPr>
        <w:t>89199-AR</w:t>
      </w:r>
    </w:p>
    <w:tbl>
      <w:tblPr>
        <w:tblW w:w="5000" w:type="pct"/>
        <w:tblCellSpacing w:w="0" w:type="dxa"/>
        <w:tblCellMar>
          <w:left w:w="0" w:type="dxa"/>
          <w:right w:w="0" w:type="dxa"/>
        </w:tblCellMar>
        <w:tblLook w:val="04A0" w:firstRow="1" w:lastRow="0" w:firstColumn="1" w:lastColumn="0" w:noHBand="0" w:noVBand="1"/>
      </w:tblPr>
      <w:tblGrid>
        <w:gridCol w:w="8640"/>
      </w:tblGrid>
      <w:tr w:rsidR="008C483C" w:rsidRPr="00816C1F">
        <w:trPr>
          <w:divId w:val="1722093135"/>
          <w:tblCellSpacing w:w="0" w:type="dxa"/>
        </w:trPr>
        <w:tc>
          <w:tcPr>
            <w:tcW w:w="0" w:type="auto"/>
            <w:vAlign w:val="center"/>
            <w:hideMark/>
          </w:tcPr>
          <w:p w:rsidR="008C483C" w:rsidRPr="00816C1F" w:rsidRDefault="008C483C" w:rsidP="003262E3">
            <w:pPr>
              <w:pStyle w:val="NormalWeb"/>
              <w:jc w:val="center"/>
              <w:rPr>
                <w:rFonts w:eastAsia="Times New Roman"/>
              </w:rPr>
            </w:pPr>
            <w:r w:rsidRPr="00816C1F">
              <w:br/>
            </w:r>
            <w:r w:rsidRPr="00816C1F">
              <w:br/>
              <w:t>IMPLEMENTATION COMPLETIO</w:t>
            </w:r>
            <w:r w:rsidR="00231002">
              <w:t>N AND RESULTS REPORT</w:t>
            </w:r>
            <w:r w:rsidR="00231002">
              <w:br/>
              <w:t>(IBRD-78430</w:t>
            </w:r>
            <w:r w:rsidRPr="00816C1F">
              <w:t>)</w:t>
            </w:r>
          </w:p>
          <w:p w:rsidR="008C483C" w:rsidRPr="00816C1F" w:rsidRDefault="008C483C" w:rsidP="003262E3">
            <w:pPr>
              <w:pStyle w:val="NormalWeb"/>
              <w:jc w:val="center"/>
            </w:pPr>
          </w:p>
          <w:p w:rsidR="008C483C" w:rsidRPr="00816C1F" w:rsidRDefault="008C483C" w:rsidP="003262E3">
            <w:pPr>
              <w:pStyle w:val="NormalWeb"/>
              <w:spacing w:after="240" w:afterAutospacing="0"/>
              <w:jc w:val="center"/>
            </w:pPr>
            <w:r w:rsidRPr="00816C1F">
              <w:t>ON A</w:t>
            </w:r>
          </w:p>
          <w:p w:rsidR="008C483C" w:rsidRPr="00816C1F" w:rsidRDefault="00D86F0A" w:rsidP="003262E3">
            <w:pPr>
              <w:pStyle w:val="NormalWeb"/>
              <w:jc w:val="center"/>
            </w:pPr>
            <w:r w:rsidRPr="00816C1F">
              <w:t>LOAN</w:t>
            </w:r>
            <w:r w:rsidR="008C483C" w:rsidRPr="00816C1F">
              <w:br/>
            </w:r>
            <w:r w:rsidR="008C483C" w:rsidRPr="00816C1F">
              <w:br/>
              <w:t xml:space="preserve">IN THE AMOUNT OF </w:t>
            </w:r>
            <w:r w:rsidRPr="00816C1F">
              <w:t>US$</w:t>
            </w:r>
            <w:r w:rsidR="003A4893" w:rsidRPr="00816C1F">
              <w:t>229</w:t>
            </w:r>
            <w:r w:rsidRPr="00816C1F">
              <w:t xml:space="preserve"> MILLION</w:t>
            </w:r>
            <w:r w:rsidRPr="00816C1F">
              <w:br/>
            </w:r>
          </w:p>
          <w:p w:rsidR="008C483C" w:rsidRPr="00816C1F" w:rsidRDefault="008C483C" w:rsidP="003262E3">
            <w:pPr>
              <w:pStyle w:val="NormalWeb"/>
              <w:jc w:val="center"/>
            </w:pPr>
            <w:r w:rsidRPr="00816C1F">
              <w:t>TO THE</w:t>
            </w:r>
          </w:p>
          <w:p w:rsidR="008C483C" w:rsidRPr="00816C1F" w:rsidRDefault="00FE28CB" w:rsidP="003262E3">
            <w:pPr>
              <w:pStyle w:val="NormalWeb"/>
              <w:jc w:val="center"/>
            </w:pPr>
            <w:r w:rsidRPr="00816C1F">
              <w:t>ARGENTINE REPUBLIC</w:t>
            </w:r>
          </w:p>
          <w:p w:rsidR="008C483C" w:rsidRPr="00816C1F" w:rsidRDefault="008C483C" w:rsidP="003262E3">
            <w:pPr>
              <w:pStyle w:val="NormalWeb"/>
              <w:jc w:val="center"/>
            </w:pPr>
            <w:r w:rsidRPr="00816C1F">
              <w:t>FOR A</w:t>
            </w:r>
            <w:r w:rsidR="003A4893" w:rsidRPr="00816C1F">
              <w:t>N</w:t>
            </w:r>
          </w:p>
          <w:p w:rsidR="008C483C" w:rsidRPr="00816C1F" w:rsidRDefault="003A4893" w:rsidP="003262E3">
            <w:pPr>
              <w:pStyle w:val="NormalWeb"/>
              <w:jc w:val="center"/>
            </w:pPr>
            <w:r w:rsidRPr="00816C1F">
              <w:t xml:space="preserve">EMERGENCY PROJECT FOR THE </w:t>
            </w:r>
            <w:r w:rsidR="001A6950" w:rsidRPr="00816C1F">
              <w:t>PREVENTION AND MANAGEMENT OF INFLUENZA</w:t>
            </w:r>
            <w:r w:rsidR="00A01420">
              <w:t>-</w:t>
            </w:r>
            <w:r w:rsidR="001A6950" w:rsidRPr="00816C1F">
              <w:t xml:space="preserve">TYPE ILLNESS AND STRENGTHENING OF </w:t>
            </w:r>
            <w:r w:rsidRPr="00816C1F">
              <w:t xml:space="preserve">ARGENTINA’S </w:t>
            </w:r>
            <w:r w:rsidR="001A6950" w:rsidRPr="00816C1F">
              <w:t>EPIDEMIOLOGICAL SYSTEM</w:t>
            </w:r>
            <w:r w:rsidR="00D86F0A" w:rsidRPr="00816C1F">
              <w:t xml:space="preserve"> </w:t>
            </w:r>
          </w:p>
          <w:p w:rsidR="008C483C" w:rsidRPr="00816C1F" w:rsidRDefault="008C483C" w:rsidP="003262E3">
            <w:pPr>
              <w:pStyle w:val="NormalWeb"/>
              <w:jc w:val="center"/>
            </w:pPr>
            <w:r w:rsidRPr="00816C1F">
              <w:br/>
            </w:r>
            <w:r w:rsidRPr="00816C1F">
              <w:br/>
            </w:r>
            <w:r w:rsidR="006C4CE0">
              <w:t xml:space="preserve">June </w:t>
            </w:r>
            <w:r w:rsidR="00B54969">
              <w:t>25</w:t>
            </w:r>
            <w:r w:rsidR="00703C6B">
              <w:t>,</w:t>
            </w:r>
            <w:r w:rsidR="001A6950" w:rsidRPr="00816C1F">
              <w:t xml:space="preserve"> 2014</w:t>
            </w:r>
          </w:p>
          <w:p w:rsidR="009371AA" w:rsidRPr="00816C1F" w:rsidRDefault="008C483C" w:rsidP="009371AA">
            <w:pPr>
              <w:pStyle w:val="NormalWeb"/>
            </w:pPr>
            <w:r w:rsidRPr="00816C1F">
              <w:br/>
            </w:r>
            <w:r w:rsidRPr="00816C1F">
              <w:br/>
            </w:r>
          </w:p>
          <w:p w:rsidR="008C483C" w:rsidRPr="00816C1F" w:rsidRDefault="008C483C" w:rsidP="004713F4">
            <w:pPr>
              <w:pStyle w:val="NormalWeb"/>
              <w:rPr>
                <w:rFonts w:eastAsia="Times New Roman"/>
              </w:rPr>
            </w:pPr>
            <w:r w:rsidRPr="00816C1F">
              <w:br/>
            </w:r>
            <w:r w:rsidR="00D86F0A" w:rsidRPr="00816C1F">
              <w:t xml:space="preserve">Human Development </w:t>
            </w:r>
            <w:r w:rsidR="00FE28CB" w:rsidRPr="00816C1F">
              <w:t>Department</w:t>
            </w:r>
            <w:r w:rsidRPr="00816C1F">
              <w:br/>
            </w:r>
            <w:r w:rsidR="003A4893" w:rsidRPr="00816C1F">
              <w:t xml:space="preserve">Argentina, Paraguay and Uruguay </w:t>
            </w:r>
            <w:r w:rsidR="00D86F0A" w:rsidRPr="00816C1F">
              <w:t>Country Management Unit</w:t>
            </w:r>
            <w:r w:rsidRPr="00816C1F">
              <w:br/>
            </w:r>
            <w:r w:rsidR="00D86F0A" w:rsidRPr="00816C1F">
              <w:t xml:space="preserve">Latin America and </w:t>
            </w:r>
            <w:r w:rsidR="003A4893" w:rsidRPr="00816C1F">
              <w:t xml:space="preserve">the </w:t>
            </w:r>
            <w:r w:rsidR="00D86F0A" w:rsidRPr="00816C1F">
              <w:t>Caribbean Region</w:t>
            </w:r>
          </w:p>
        </w:tc>
      </w:tr>
    </w:tbl>
    <w:p w:rsidR="008C483C" w:rsidRPr="00816C1F" w:rsidRDefault="008C483C" w:rsidP="003262E3">
      <w:pPr>
        <w:jc w:val="both"/>
        <w:divId w:val="1722093135"/>
        <w:rPr>
          <w:rFonts w:eastAsia="Times New Roman"/>
        </w:rPr>
      </w:pPr>
    </w:p>
    <w:p w:rsidR="00E73512" w:rsidRPr="00816C1F" w:rsidRDefault="00E73512" w:rsidP="003262E3">
      <w:pPr>
        <w:jc w:val="both"/>
        <w:divId w:val="738553075"/>
      </w:pPr>
    </w:p>
    <w:p w:rsidR="00532407" w:rsidRPr="00816C1F" w:rsidRDefault="00532407" w:rsidP="003262E3">
      <w:pPr>
        <w:jc w:val="center"/>
        <w:rPr>
          <w:rFonts w:eastAsia="Times New Roman"/>
          <w:lang w:eastAsia="en-US"/>
        </w:rPr>
        <w:sectPr w:rsidR="00532407" w:rsidRPr="00816C1F" w:rsidSect="00532407">
          <w:footerReference w:type="default" r:id="rId9"/>
          <w:type w:val="oddPage"/>
          <w:pgSz w:w="12240" w:h="15840"/>
          <w:pgMar w:top="1440" w:right="1800" w:bottom="1440" w:left="1800" w:header="720" w:footer="720" w:gutter="0"/>
          <w:pgNumType w:fmt="lowerRoman" w:start="1"/>
          <w:cols w:space="720"/>
          <w:docGrid w:linePitch="360"/>
        </w:sectPr>
      </w:pPr>
    </w:p>
    <w:p w:rsidR="00E03DE1" w:rsidRPr="00816C1F" w:rsidRDefault="00E03DE1" w:rsidP="00532407">
      <w:pPr>
        <w:rPr>
          <w:b/>
          <w:vanish/>
        </w:rPr>
      </w:pPr>
    </w:p>
    <w:p w:rsidR="001E0E8C" w:rsidRPr="00816C1F" w:rsidRDefault="001E0E8C" w:rsidP="003262E3">
      <w:pPr>
        <w:tabs>
          <w:tab w:val="left" w:pos="5507"/>
        </w:tabs>
        <w:autoSpaceDE w:val="0"/>
        <w:autoSpaceDN w:val="0"/>
        <w:adjustRightInd w:val="0"/>
        <w:jc w:val="center"/>
        <w:rPr>
          <w:b/>
          <w:iCs/>
        </w:rPr>
      </w:pPr>
      <w:r w:rsidRPr="00816C1F">
        <w:rPr>
          <w:b/>
          <w:iCs/>
        </w:rPr>
        <w:t>CURRENCY EQUIVALENTS</w:t>
      </w:r>
    </w:p>
    <w:p w:rsidR="001E0E8C" w:rsidRPr="00816C1F" w:rsidRDefault="001E0E8C" w:rsidP="003262E3">
      <w:pPr>
        <w:tabs>
          <w:tab w:val="left" w:pos="5507"/>
        </w:tabs>
        <w:autoSpaceDE w:val="0"/>
        <w:autoSpaceDN w:val="0"/>
        <w:adjustRightInd w:val="0"/>
        <w:jc w:val="center"/>
        <w:rPr>
          <w:iCs/>
        </w:rPr>
      </w:pPr>
    </w:p>
    <w:p w:rsidR="001E0E8C" w:rsidRPr="00816C1F" w:rsidRDefault="001E0E8C" w:rsidP="003262E3">
      <w:pPr>
        <w:tabs>
          <w:tab w:val="left" w:pos="5507"/>
        </w:tabs>
        <w:autoSpaceDE w:val="0"/>
        <w:autoSpaceDN w:val="0"/>
        <w:adjustRightInd w:val="0"/>
        <w:jc w:val="center"/>
        <w:rPr>
          <w:iCs/>
        </w:rPr>
      </w:pPr>
      <w:r w:rsidRPr="00816C1F">
        <w:rPr>
          <w:iCs/>
        </w:rPr>
        <w:t xml:space="preserve">(Exchange Rate Effective </w:t>
      </w:r>
      <w:bookmarkStart w:id="2" w:name="exceff_fld"/>
      <w:r w:rsidR="003A4893" w:rsidRPr="00816C1F">
        <w:rPr>
          <w:iCs/>
        </w:rPr>
        <w:t>December 31</w:t>
      </w:r>
      <w:r w:rsidR="00691DB8" w:rsidRPr="00816C1F">
        <w:rPr>
          <w:iCs/>
        </w:rPr>
        <w:t>, 2013</w:t>
      </w:r>
      <w:bookmarkEnd w:id="2"/>
      <w:r w:rsidRPr="00816C1F">
        <w:rPr>
          <w:iCs/>
        </w:rPr>
        <w:t>)</w:t>
      </w:r>
    </w:p>
    <w:p w:rsidR="001E0E8C" w:rsidRPr="00816C1F" w:rsidRDefault="001E0E8C" w:rsidP="003262E3">
      <w:pPr>
        <w:tabs>
          <w:tab w:val="left" w:pos="5507"/>
        </w:tabs>
        <w:autoSpaceDE w:val="0"/>
        <w:autoSpaceDN w:val="0"/>
        <w:adjustRightInd w:val="0"/>
        <w:jc w:val="center"/>
        <w:rPr>
          <w:iCs/>
        </w:rPr>
      </w:pPr>
    </w:p>
    <w:p w:rsidR="001E0E8C" w:rsidRPr="00816C1F" w:rsidRDefault="001E0E8C" w:rsidP="003262E3">
      <w:pPr>
        <w:tabs>
          <w:tab w:val="right" w:pos="4860"/>
          <w:tab w:val="center" w:pos="5040"/>
          <w:tab w:val="left" w:pos="5220"/>
        </w:tabs>
        <w:autoSpaceDE w:val="0"/>
        <w:autoSpaceDN w:val="0"/>
        <w:adjustRightInd w:val="0"/>
        <w:jc w:val="center"/>
        <w:rPr>
          <w:iCs/>
        </w:rPr>
      </w:pPr>
      <w:r w:rsidRPr="00816C1F">
        <w:rPr>
          <w:iCs/>
        </w:rPr>
        <w:t>Currency Unit</w:t>
      </w:r>
      <w:r w:rsidR="001C00E2" w:rsidRPr="00816C1F">
        <w:rPr>
          <w:iCs/>
        </w:rPr>
        <w:t xml:space="preserve"> </w:t>
      </w:r>
      <w:r w:rsidRPr="00816C1F">
        <w:rPr>
          <w:iCs/>
        </w:rPr>
        <w:t>=</w:t>
      </w:r>
      <w:r w:rsidR="001C00E2" w:rsidRPr="00816C1F">
        <w:rPr>
          <w:iCs/>
        </w:rPr>
        <w:t xml:space="preserve"> </w:t>
      </w:r>
      <w:bookmarkStart w:id="3" w:name="curuni_fld"/>
      <w:bookmarkEnd w:id="3"/>
      <w:r w:rsidR="001A6950" w:rsidRPr="00816C1F">
        <w:rPr>
          <w:iCs/>
        </w:rPr>
        <w:t>Argentine Peso (</w:t>
      </w:r>
      <w:r w:rsidR="003A4893" w:rsidRPr="00816C1F">
        <w:rPr>
          <w:iCs/>
        </w:rPr>
        <w:t>ARS</w:t>
      </w:r>
      <w:r w:rsidR="00D86F0A" w:rsidRPr="00816C1F">
        <w:rPr>
          <w:iCs/>
        </w:rPr>
        <w:t>)</w:t>
      </w:r>
    </w:p>
    <w:p w:rsidR="001E0E8C" w:rsidRPr="00816C1F" w:rsidRDefault="003A4893" w:rsidP="003262E3">
      <w:pPr>
        <w:tabs>
          <w:tab w:val="right" w:pos="4860"/>
          <w:tab w:val="center" w:pos="5040"/>
          <w:tab w:val="left" w:pos="5220"/>
        </w:tabs>
        <w:autoSpaceDE w:val="0"/>
        <w:autoSpaceDN w:val="0"/>
        <w:adjustRightInd w:val="0"/>
        <w:jc w:val="center"/>
        <w:rPr>
          <w:iCs/>
        </w:rPr>
      </w:pPr>
      <w:bookmarkStart w:id="4" w:name="curabbr_fld"/>
      <w:bookmarkEnd w:id="4"/>
      <w:r w:rsidRPr="00816C1F">
        <w:rPr>
          <w:iCs/>
        </w:rPr>
        <w:t>ARS$6.4940</w:t>
      </w:r>
      <w:r w:rsidR="001E0E8C" w:rsidRPr="00816C1F">
        <w:rPr>
          <w:iCs/>
        </w:rPr>
        <w:t xml:space="preserve"> = US$</w:t>
      </w:r>
      <w:r w:rsidRPr="00816C1F">
        <w:rPr>
          <w:iCs/>
        </w:rPr>
        <w:t>1.00</w:t>
      </w:r>
    </w:p>
    <w:p w:rsidR="001E0E8C" w:rsidRPr="00816C1F" w:rsidRDefault="001E0E8C" w:rsidP="003262E3">
      <w:pPr>
        <w:tabs>
          <w:tab w:val="right" w:pos="4860"/>
          <w:tab w:val="center" w:pos="5040"/>
          <w:tab w:val="left" w:pos="5220"/>
        </w:tabs>
        <w:autoSpaceDE w:val="0"/>
        <w:autoSpaceDN w:val="0"/>
        <w:adjustRightInd w:val="0"/>
        <w:jc w:val="center"/>
        <w:rPr>
          <w:iCs/>
        </w:rPr>
      </w:pPr>
      <w:r w:rsidRPr="00816C1F">
        <w:rPr>
          <w:iCs/>
        </w:rPr>
        <w:t xml:space="preserve">US$1.00 = </w:t>
      </w:r>
      <w:r w:rsidR="003A4893" w:rsidRPr="00816C1F">
        <w:rPr>
          <w:iCs/>
        </w:rPr>
        <w:t>ARS</w:t>
      </w:r>
      <w:r w:rsidR="00FE28CB" w:rsidRPr="00816C1F">
        <w:rPr>
          <w:iCs/>
        </w:rPr>
        <w:t>$</w:t>
      </w:r>
      <w:r w:rsidR="003A4893" w:rsidRPr="00816C1F">
        <w:rPr>
          <w:iCs/>
        </w:rPr>
        <w:t>.15</w:t>
      </w:r>
      <w:r w:rsidR="008B7523" w:rsidRPr="00816C1F">
        <w:rPr>
          <w:iCs/>
        </w:rPr>
        <w:t>3</w:t>
      </w:r>
      <w:r w:rsidR="003A4893" w:rsidRPr="00816C1F">
        <w:rPr>
          <w:iCs/>
        </w:rPr>
        <w:t>5</w:t>
      </w:r>
    </w:p>
    <w:p w:rsidR="001E0E8C" w:rsidRPr="00816C1F" w:rsidRDefault="001E0E8C" w:rsidP="003262E3">
      <w:pPr>
        <w:tabs>
          <w:tab w:val="left" w:pos="5507"/>
        </w:tabs>
        <w:autoSpaceDE w:val="0"/>
        <w:autoSpaceDN w:val="0"/>
        <w:adjustRightInd w:val="0"/>
        <w:jc w:val="center"/>
        <w:rPr>
          <w:iCs/>
        </w:rPr>
      </w:pPr>
    </w:p>
    <w:p w:rsidR="003A4893" w:rsidRPr="00816C1F" w:rsidRDefault="001E0E8C" w:rsidP="003A4893">
      <w:pPr>
        <w:tabs>
          <w:tab w:val="left" w:pos="5507"/>
        </w:tabs>
        <w:autoSpaceDE w:val="0"/>
        <w:autoSpaceDN w:val="0"/>
        <w:adjustRightInd w:val="0"/>
        <w:jc w:val="center"/>
        <w:rPr>
          <w:iCs/>
        </w:rPr>
      </w:pPr>
      <w:r w:rsidRPr="00816C1F">
        <w:rPr>
          <w:iCs/>
        </w:rPr>
        <w:t>FISCAL YEAR</w:t>
      </w:r>
    </w:p>
    <w:p w:rsidR="001E0E8C" w:rsidRPr="00816C1F" w:rsidRDefault="004713F4" w:rsidP="004713F4">
      <w:pPr>
        <w:tabs>
          <w:tab w:val="left" w:pos="5507"/>
        </w:tabs>
        <w:autoSpaceDE w:val="0"/>
        <w:autoSpaceDN w:val="0"/>
        <w:adjustRightInd w:val="0"/>
        <w:jc w:val="center"/>
        <w:rPr>
          <w:iCs/>
        </w:rPr>
      </w:pPr>
      <w:bookmarkStart w:id="5" w:name="fisyea_fld"/>
      <w:bookmarkEnd w:id="5"/>
      <w:r>
        <w:rPr>
          <w:iCs/>
          <w:sz w:val="22"/>
          <w:szCs w:val="22"/>
        </w:rPr>
        <w:t>January 1 – December 31</w:t>
      </w:r>
    </w:p>
    <w:p w:rsidR="001E0E8C" w:rsidRPr="00816C1F" w:rsidRDefault="001E0E8C" w:rsidP="003262E3">
      <w:pPr>
        <w:tabs>
          <w:tab w:val="left" w:pos="5507"/>
        </w:tabs>
        <w:autoSpaceDE w:val="0"/>
        <w:autoSpaceDN w:val="0"/>
        <w:adjustRightInd w:val="0"/>
        <w:jc w:val="both"/>
        <w:rPr>
          <w:iCs/>
        </w:rPr>
      </w:pPr>
    </w:p>
    <w:p w:rsidR="001E0E8C" w:rsidRPr="00816C1F" w:rsidRDefault="001E0E8C" w:rsidP="003262E3">
      <w:pPr>
        <w:tabs>
          <w:tab w:val="left" w:pos="5507"/>
        </w:tabs>
        <w:autoSpaceDE w:val="0"/>
        <w:autoSpaceDN w:val="0"/>
        <w:adjustRightInd w:val="0"/>
        <w:jc w:val="center"/>
        <w:rPr>
          <w:b/>
          <w:iCs/>
        </w:rPr>
      </w:pPr>
      <w:r w:rsidRPr="00816C1F">
        <w:rPr>
          <w:b/>
          <w:iCs/>
        </w:rPr>
        <w:t>ABBREVIATIONS AND ACRONYMS</w:t>
      </w:r>
    </w:p>
    <w:p w:rsidR="00B65CEB" w:rsidRPr="00816C1F" w:rsidRDefault="00B65CEB" w:rsidP="007B582A">
      <w:pPr>
        <w:jc w:val="both"/>
      </w:pPr>
    </w:p>
    <w:p w:rsidR="00B65CEB" w:rsidRDefault="00B65CEB" w:rsidP="003262E3">
      <w:pPr>
        <w:jc w:val="both"/>
      </w:pPr>
      <w:r w:rsidRPr="00816C1F">
        <w:t xml:space="preserve">ARI </w:t>
      </w:r>
      <w:r w:rsidRPr="00816C1F">
        <w:tab/>
      </w:r>
      <w:r w:rsidRPr="00816C1F">
        <w:tab/>
        <w:t>Acute Respiratory Infection</w:t>
      </w:r>
    </w:p>
    <w:p w:rsidR="00016870" w:rsidRDefault="00016870" w:rsidP="003262E3">
      <w:pPr>
        <w:jc w:val="both"/>
      </w:pPr>
      <w:r>
        <w:t>ARS</w:t>
      </w:r>
      <w:r>
        <w:tab/>
      </w:r>
      <w:r>
        <w:tab/>
        <w:t>Argentine Peso</w:t>
      </w:r>
    </w:p>
    <w:p w:rsidR="00B65CEB" w:rsidRPr="00816C1F" w:rsidRDefault="008B4B34" w:rsidP="003262E3">
      <w:pPr>
        <w:jc w:val="both"/>
      </w:pPr>
      <w:r w:rsidRPr="00816C1F">
        <w:t>CDC</w:t>
      </w:r>
      <w:r w:rsidR="00B65CEB" w:rsidRPr="00816C1F">
        <w:tab/>
      </w:r>
      <w:r w:rsidR="00B65CEB" w:rsidRPr="00816C1F">
        <w:tab/>
        <w:t>C</w:t>
      </w:r>
      <w:r w:rsidRPr="00816C1F">
        <w:t>enters for Disease Control and Prevention</w:t>
      </w:r>
    </w:p>
    <w:p w:rsidR="00AA45E5" w:rsidRPr="00AE6D01" w:rsidRDefault="00AA45E5" w:rsidP="003262E3">
      <w:pPr>
        <w:jc w:val="both"/>
      </w:pPr>
      <w:r w:rsidRPr="00AE6D01">
        <w:t>C</w:t>
      </w:r>
      <w:r w:rsidR="00FB3B00" w:rsidRPr="00AE6D01">
        <w:t>OFESA</w:t>
      </w:r>
      <w:r w:rsidR="00FB3B00" w:rsidRPr="00AE6D01">
        <w:tab/>
        <w:t>Federal</w:t>
      </w:r>
      <w:r w:rsidR="00FB3B00" w:rsidRPr="004114D9">
        <w:rPr>
          <w:lang w:val="en-AU"/>
        </w:rPr>
        <w:t xml:space="preserve"> Health</w:t>
      </w:r>
      <w:r w:rsidR="00FB3B00" w:rsidRPr="00AE6D01">
        <w:t xml:space="preserve"> Council</w:t>
      </w:r>
      <w:r w:rsidRPr="00AE6D01">
        <w:t xml:space="preserve"> (</w:t>
      </w:r>
      <w:r w:rsidR="00FB3B00" w:rsidRPr="00AE6D01">
        <w:rPr>
          <w:i/>
        </w:rPr>
        <w:t>Consejo Fede</w:t>
      </w:r>
      <w:r w:rsidR="00E61E1E" w:rsidRPr="00AE6D01">
        <w:rPr>
          <w:i/>
        </w:rPr>
        <w:t>r</w:t>
      </w:r>
      <w:r w:rsidR="00FB3B00" w:rsidRPr="00AE6D01">
        <w:rPr>
          <w:i/>
        </w:rPr>
        <w:t>al de Salud</w:t>
      </w:r>
      <w:r w:rsidRPr="00AE6D01">
        <w:rPr>
          <w:i/>
        </w:rPr>
        <w:t>)</w:t>
      </w:r>
    </w:p>
    <w:p w:rsidR="00B65CEB" w:rsidRPr="0092331A" w:rsidRDefault="00FB3B00" w:rsidP="008932AE">
      <w:pPr>
        <w:ind w:left="1440" w:hanging="1440"/>
      </w:pPr>
      <w:r w:rsidRPr="0092331A">
        <w:t>CONAIN</w:t>
      </w:r>
      <w:r w:rsidR="00B65CEB" w:rsidRPr="0092331A">
        <w:tab/>
      </w:r>
      <w:r w:rsidRPr="0092331A">
        <w:t xml:space="preserve">National Immunization </w:t>
      </w:r>
      <w:r w:rsidR="004114D9" w:rsidRPr="0092331A">
        <w:t>Commission</w:t>
      </w:r>
      <w:r w:rsidR="006E5567" w:rsidRPr="0092331A">
        <w:t xml:space="preserve"> </w:t>
      </w:r>
      <w:r w:rsidR="006E5567" w:rsidRPr="0092331A">
        <w:rPr>
          <w:i/>
        </w:rPr>
        <w:t>(</w:t>
      </w:r>
      <w:r w:rsidR="006E5567" w:rsidRPr="0092331A">
        <w:rPr>
          <w:rFonts w:cs="Arial"/>
          <w:i/>
          <w:color w:val="424242"/>
          <w:lang w:eastAsia="en-US"/>
        </w:rPr>
        <w:t>Comisión</w:t>
      </w:r>
      <w:r w:rsidR="008932AE" w:rsidRPr="0092331A">
        <w:rPr>
          <w:rFonts w:cs="Arial"/>
          <w:i/>
          <w:color w:val="424242"/>
          <w:lang w:eastAsia="en-US"/>
        </w:rPr>
        <w:t xml:space="preserve"> </w:t>
      </w:r>
      <w:r w:rsidR="006E5567" w:rsidRPr="0092331A">
        <w:rPr>
          <w:rFonts w:cs="Arial"/>
          <w:i/>
          <w:color w:val="424242"/>
          <w:lang w:eastAsia="en-US"/>
        </w:rPr>
        <w:t xml:space="preserve">Nacional de </w:t>
      </w:r>
      <w:r w:rsidR="008932AE" w:rsidRPr="0092331A">
        <w:rPr>
          <w:rFonts w:cs="Arial"/>
          <w:i/>
          <w:color w:val="424242"/>
          <w:lang w:eastAsia="en-US"/>
        </w:rPr>
        <w:t>I</w:t>
      </w:r>
      <w:r w:rsidR="006E5567" w:rsidRPr="0092331A">
        <w:rPr>
          <w:rFonts w:cs="Arial"/>
          <w:i/>
          <w:color w:val="424242"/>
          <w:lang w:eastAsia="en-US"/>
        </w:rPr>
        <w:t>nmunizaciones)</w:t>
      </w:r>
    </w:p>
    <w:p w:rsidR="00FB3B00" w:rsidRPr="00816C1F" w:rsidRDefault="00FB3B00" w:rsidP="003262E3">
      <w:pPr>
        <w:jc w:val="both"/>
      </w:pPr>
      <w:r w:rsidRPr="00816C1F">
        <w:t>CPS</w:t>
      </w:r>
      <w:r w:rsidRPr="00816C1F">
        <w:tab/>
      </w:r>
      <w:r w:rsidRPr="00816C1F">
        <w:tab/>
        <w:t>Country Partnership Strategy</w:t>
      </w:r>
    </w:p>
    <w:p w:rsidR="00FB3B00" w:rsidRPr="00816C1F" w:rsidRDefault="00FB3B00" w:rsidP="003262E3">
      <w:pPr>
        <w:jc w:val="both"/>
      </w:pPr>
      <w:r w:rsidRPr="00816C1F">
        <w:t>EA</w:t>
      </w:r>
      <w:r w:rsidRPr="00816C1F">
        <w:tab/>
      </w:r>
      <w:r w:rsidRPr="00816C1F">
        <w:tab/>
        <w:t>Environmental Assessment</w:t>
      </w:r>
    </w:p>
    <w:p w:rsidR="00FB3B00" w:rsidRPr="00816C1F" w:rsidRDefault="0003740F" w:rsidP="003262E3">
      <w:pPr>
        <w:jc w:val="both"/>
      </w:pPr>
      <w:r w:rsidRPr="00816C1F">
        <w:t>EPHF</w:t>
      </w:r>
      <w:r w:rsidRPr="00816C1F">
        <w:tab/>
      </w:r>
      <w:r w:rsidRPr="00816C1F">
        <w:tab/>
        <w:t>Essential Public H</w:t>
      </w:r>
      <w:r w:rsidR="00FB3B00" w:rsidRPr="00816C1F">
        <w:t>ealth Functions</w:t>
      </w:r>
    </w:p>
    <w:p w:rsidR="0003740F" w:rsidRDefault="0003740F" w:rsidP="003262E3">
      <w:pPr>
        <w:jc w:val="both"/>
      </w:pPr>
      <w:r w:rsidRPr="00816C1F">
        <w:t>ERL</w:t>
      </w:r>
      <w:r w:rsidRPr="00816C1F">
        <w:tab/>
      </w:r>
      <w:r w:rsidRPr="00816C1F">
        <w:tab/>
        <w:t>Emergency Recovery Loan</w:t>
      </w:r>
    </w:p>
    <w:p w:rsidR="0069666D" w:rsidRPr="00D8438C" w:rsidRDefault="0069666D" w:rsidP="003262E3">
      <w:pPr>
        <w:jc w:val="both"/>
      </w:pPr>
      <w:r w:rsidRPr="00D8438C">
        <w:t>ETI</w:t>
      </w:r>
      <w:r w:rsidR="0061268E" w:rsidRPr="00D8438C">
        <w:tab/>
      </w:r>
      <w:r w:rsidR="0061268E" w:rsidRPr="00D8438C">
        <w:tab/>
        <w:t>I</w:t>
      </w:r>
      <w:r w:rsidR="0061268E" w:rsidRPr="00D8438C">
        <w:rPr>
          <w:rFonts w:eastAsia="Times New Roman"/>
        </w:rPr>
        <w:t>nfluenza type illness (</w:t>
      </w:r>
      <w:r w:rsidR="00E83EC5" w:rsidRPr="00D8438C">
        <w:rPr>
          <w:rFonts w:eastAsia="Times New Roman"/>
        </w:rPr>
        <w:t>E</w:t>
      </w:r>
      <w:r w:rsidR="0061268E" w:rsidRPr="00D8438C">
        <w:rPr>
          <w:rFonts w:eastAsia="Times New Roman"/>
          <w:i/>
        </w:rPr>
        <w:t xml:space="preserve">nfermedad tipo </w:t>
      </w:r>
      <w:r w:rsidR="00E179B3" w:rsidRPr="00D8438C">
        <w:rPr>
          <w:rFonts w:eastAsia="Times New Roman"/>
          <w:i/>
        </w:rPr>
        <w:t>influenza</w:t>
      </w:r>
      <w:r w:rsidR="0061268E" w:rsidRPr="00D8438C">
        <w:rPr>
          <w:rFonts w:eastAsia="Times New Roman"/>
        </w:rPr>
        <w:t>)</w:t>
      </w:r>
    </w:p>
    <w:p w:rsidR="00FB3B00" w:rsidRPr="00D8438C" w:rsidRDefault="00FB3B00" w:rsidP="00D13EF5">
      <w:pPr>
        <w:ind w:left="1440" w:hanging="1440"/>
        <w:jc w:val="both"/>
      </w:pPr>
      <w:r w:rsidRPr="00D8438C">
        <w:t>FESP</w:t>
      </w:r>
      <w:r w:rsidR="00384E66" w:rsidRPr="00D8438C">
        <w:t xml:space="preserve"> I</w:t>
      </w:r>
      <w:r w:rsidR="00D13EF5" w:rsidRPr="00D8438C">
        <w:tab/>
      </w:r>
      <w:r w:rsidR="008B7815" w:rsidRPr="00D8438C">
        <w:t xml:space="preserve">Essential Public </w:t>
      </w:r>
      <w:r w:rsidR="00E61E1E" w:rsidRPr="00D8438C">
        <w:t>H</w:t>
      </w:r>
      <w:r w:rsidR="008B7815" w:rsidRPr="00D8438C">
        <w:t>ealth Functions and Programs</w:t>
      </w:r>
      <w:r w:rsidR="00384E66" w:rsidRPr="00D8438C">
        <w:t xml:space="preserve"> Project I</w:t>
      </w:r>
      <w:r w:rsidR="00D13EF5" w:rsidRPr="00D8438C">
        <w:t xml:space="preserve"> (</w:t>
      </w:r>
      <w:r w:rsidR="00D13EF5" w:rsidRPr="00D8438C">
        <w:rPr>
          <w:i/>
        </w:rPr>
        <w:t>Funciones Esenciales y Programas Priorizados de Salud</w:t>
      </w:r>
      <w:r w:rsidR="00D13EF5" w:rsidRPr="0063364B">
        <w:rPr>
          <w:i/>
        </w:rPr>
        <w:t xml:space="preserve"> Publica</w:t>
      </w:r>
      <w:r w:rsidR="00D13EF5" w:rsidRPr="00D8438C">
        <w:t>)</w:t>
      </w:r>
    </w:p>
    <w:p w:rsidR="00384E66" w:rsidRPr="00D8438C" w:rsidRDefault="00384E66" w:rsidP="00D13EF5">
      <w:pPr>
        <w:ind w:left="1440" w:hanging="1440"/>
        <w:jc w:val="both"/>
      </w:pPr>
      <w:r w:rsidRPr="00D8438C">
        <w:t xml:space="preserve">FESP II </w:t>
      </w:r>
      <w:r w:rsidRPr="00D8438C">
        <w:tab/>
        <w:t>Essential Public Health Functions and Programs Project II</w:t>
      </w:r>
      <w:r w:rsidR="00D13EF5" w:rsidRPr="00D8438C">
        <w:rPr>
          <w:i/>
        </w:rPr>
        <w:t xml:space="preserve"> (Funciones Esenciales y Programas Priorizados de Salud</w:t>
      </w:r>
      <w:r w:rsidR="00D13EF5" w:rsidRPr="0063364B">
        <w:rPr>
          <w:i/>
        </w:rPr>
        <w:t xml:space="preserve"> Publica</w:t>
      </w:r>
      <w:r w:rsidR="00D13EF5" w:rsidRPr="00D8438C">
        <w:rPr>
          <w:i/>
        </w:rPr>
        <w:t>)</w:t>
      </w:r>
    </w:p>
    <w:p w:rsidR="00FB3B00" w:rsidRPr="00816C1F" w:rsidRDefault="00FB3B00" w:rsidP="003262E3">
      <w:pPr>
        <w:jc w:val="both"/>
      </w:pPr>
      <w:r w:rsidRPr="00816C1F">
        <w:t>EPI</w:t>
      </w:r>
      <w:r w:rsidRPr="00816C1F">
        <w:tab/>
      </w:r>
      <w:r w:rsidRPr="00816C1F">
        <w:tab/>
        <w:t>Expanded Program on Immunization</w:t>
      </w:r>
    </w:p>
    <w:p w:rsidR="008B7815" w:rsidRPr="00816C1F" w:rsidRDefault="008B7815" w:rsidP="003262E3">
      <w:pPr>
        <w:jc w:val="both"/>
      </w:pPr>
      <w:r w:rsidRPr="00816C1F">
        <w:t>FHP</w:t>
      </w:r>
      <w:r w:rsidRPr="00816C1F">
        <w:tab/>
      </w:r>
      <w:r w:rsidRPr="00816C1F">
        <w:tab/>
        <w:t>Federal Health Plan</w:t>
      </w:r>
    </w:p>
    <w:p w:rsidR="00B65CEB" w:rsidRPr="00816C1F" w:rsidRDefault="00B65CEB" w:rsidP="003262E3">
      <w:pPr>
        <w:jc w:val="both"/>
      </w:pPr>
      <w:r w:rsidRPr="00816C1F">
        <w:t>FM</w:t>
      </w:r>
      <w:r w:rsidRPr="00816C1F">
        <w:tab/>
      </w:r>
      <w:r w:rsidRPr="00816C1F">
        <w:tab/>
        <w:t>Financial Management</w:t>
      </w:r>
    </w:p>
    <w:p w:rsidR="00FB3B00" w:rsidRPr="00816C1F" w:rsidRDefault="00FB3B00" w:rsidP="003262E3">
      <w:pPr>
        <w:jc w:val="both"/>
      </w:pPr>
      <w:r w:rsidRPr="00816C1F">
        <w:t>FY</w:t>
      </w:r>
      <w:r w:rsidRPr="00816C1F">
        <w:tab/>
      </w:r>
      <w:r w:rsidRPr="00816C1F">
        <w:tab/>
        <w:t>Fiscal Year</w:t>
      </w:r>
    </w:p>
    <w:p w:rsidR="00B65CEB" w:rsidRPr="00816C1F" w:rsidRDefault="00B65CEB" w:rsidP="003262E3">
      <w:pPr>
        <w:jc w:val="both"/>
      </w:pPr>
      <w:r w:rsidRPr="00816C1F">
        <w:t xml:space="preserve">GDP </w:t>
      </w:r>
      <w:r w:rsidRPr="00816C1F">
        <w:tab/>
      </w:r>
      <w:r w:rsidRPr="00816C1F">
        <w:tab/>
        <w:t>Gross Domestic Product</w:t>
      </w:r>
    </w:p>
    <w:p w:rsidR="00FB3B00" w:rsidRPr="00816C1F" w:rsidRDefault="00FB3B00" w:rsidP="003262E3">
      <w:pPr>
        <w:jc w:val="both"/>
      </w:pPr>
      <w:r w:rsidRPr="00816C1F">
        <w:t>GOA</w:t>
      </w:r>
      <w:r w:rsidRPr="00816C1F">
        <w:tab/>
      </w:r>
      <w:r w:rsidRPr="00816C1F">
        <w:tab/>
        <w:t>Government of Argentina</w:t>
      </w:r>
    </w:p>
    <w:p w:rsidR="00A767FF" w:rsidRDefault="00A767FF" w:rsidP="003262E3">
      <w:pPr>
        <w:jc w:val="both"/>
      </w:pPr>
      <w:r>
        <w:t>HSR</w:t>
      </w:r>
      <w:r>
        <w:tab/>
      </w:r>
      <w:r>
        <w:tab/>
        <w:t>Health Situation Room</w:t>
      </w:r>
    </w:p>
    <w:p w:rsidR="00153FC5" w:rsidRPr="00816C1F" w:rsidRDefault="00153FC5" w:rsidP="003262E3">
      <w:pPr>
        <w:jc w:val="both"/>
      </w:pPr>
      <w:r>
        <w:t>ICB</w:t>
      </w:r>
      <w:r>
        <w:tab/>
      </w:r>
      <w:r>
        <w:tab/>
        <w:t>International Competitive Bidding</w:t>
      </w:r>
    </w:p>
    <w:p w:rsidR="00B65CEB" w:rsidRPr="00816C1F" w:rsidRDefault="001B7DC5" w:rsidP="003262E3">
      <w:pPr>
        <w:jc w:val="both"/>
      </w:pPr>
      <w:r w:rsidRPr="00816C1F">
        <w:t>ICR</w:t>
      </w:r>
      <w:r w:rsidR="00B65CEB" w:rsidRPr="00816C1F">
        <w:tab/>
      </w:r>
      <w:r w:rsidR="00B65CEB" w:rsidRPr="00816C1F">
        <w:tab/>
      </w:r>
      <w:r w:rsidRPr="00816C1F">
        <w:t>Implementation Completion Report</w:t>
      </w:r>
    </w:p>
    <w:p w:rsidR="00B65CEB" w:rsidRPr="00816C1F" w:rsidRDefault="001B7DC5" w:rsidP="003262E3">
      <w:pPr>
        <w:jc w:val="both"/>
      </w:pPr>
      <w:r w:rsidRPr="00816C1F">
        <w:t>ICU</w:t>
      </w:r>
      <w:r w:rsidR="00B65CEB" w:rsidRPr="00816C1F">
        <w:tab/>
      </w:r>
      <w:r w:rsidR="00B65CEB" w:rsidRPr="00816C1F">
        <w:tab/>
      </w:r>
      <w:r w:rsidRPr="00816C1F">
        <w:t>Intensive Care Unit</w:t>
      </w:r>
    </w:p>
    <w:p w:rsidR="00B65CEB" w:rsidRDefault="001B7DC5" w:rsidP="003262E3">
      <w:pPr>
        <w:jc w:val="both"/>
      </w:pPr>
      <w:r w:rsidRPr="00816C1F">
        <w:t>ILI</w:t>
      </w:r>
      <w:r w:rsidR="00B65CEB" w:rsidRPr="00816C1F">
        <w:tab/>
      </w:r>
      <w:r w:rsidR="00B65CEB" w:rsidRPr="00816C1F">
        <w:tab/>
      </w:r>
      <w:r w:rsidRPr="00816C1F">
        <w:t>Influenza</w:t>
      </w:r>
      <w:r w:rsidR="00E46565">
        <w:t>-</w:t>
      </w:r>
      <w:r w:rsidRPr="00816C1F">
        <w:t>like Illness</w:t>
      </w:r>
    </w:p>
    <w:p w:rsidR="00DF23E2" w:rsidRDefault="00DF23E2" w:rsidP="003262E3">
      <w:pPr>
        <w:jc w:val="both"/>
      </w:pPr>
      <w:r>
        <w:t>IFR</w:t>
      </w:r>
      <w:r>
        <w:tab/>
      </w:r>
      <w:r>
        <w:tab/>
        <w:t>Interim Financial Reports</w:t>
      </w:r>
    </w:p>
    <w:p w:rsidR="00153FC5" w:rsidRPr="00816C1F" w:rsidRDefault="00153FC5" w:rsidP="003262E3">
      <w:pPr>
        <w:jc w:val="both"/>
      </w:pPr>
      <w:r>
        <w:t>IP</w:t>
      </w:r>
      <w:r>
        <w:tab/>
      </w:r>
      <w:r>
        <w:tab/>
        <w:t>Indigenous People</w:t>
      </w:r>
    </w:p>
    <w:p w:rsidR="003C388B" w:rsidRDefault="00083838" w:rsidP="003C388B">
      <w:pPr>
        <w:ind w:left="1440" w:hanging="1440"/>
        <w:jc w:val="both"/>
      </w:pPr>
      <w:r w:rsidRPr="00816C1F">
        <w:t>IPP</w:t>
      </w:r>
      <w:r w:rsidRPr="00816C1F">
        <w:tab/>
        <w:t>Indigenous People’s Plan</w:t>
      </w:r>
    </w:p>
    <w:p w:rsidR="00870196" w:rsidRPr="0092331A" w:rsidRDefault="00870196" w:rsidP="00870196">
      <w:pPr>
        <w:ind w:left="1440" w:hanging="1440"/>
        <w:jc w:val="both"/>
      </w:pPr>
      <w:r>
        <w:t>IRAG</w:t>
      </w:r>
      <w:r w:rsidRPr="0092331A">
        <w:tab/>
        <w:t>Severe Acute Respiratory Infection (</w:t>
      </w:r>
      <w:r w:rsidRPr="0092331A">
        <w:rPr>
          <w:i/>
        </w:rPr>
        <w:t xml:space="preserve">Infección </w:t>
      </w:r>
      <w:r w:rsidR="00D8438C">
        <w:rPr>
          <w:i/>
        </w:rPr>
        <w:t>R</w:t>
      </w:r>
      <w:r w:rsidRPr="0092331A">
        <w:rPr>
          <w:i/>
        </w:rPr>
        <w:t xml:space="preserve">espiratoria </w:t>
      </w:r>
      <w:r w:rsidR="00D8438C">
        <w:rPr>
          <w:i/>
        </w:rPr>
        <w:t>A</w:t>
      </w:r>
      <w:r w:rsidRPr="0092331A">
        <w:rPr>
          <w:i/>
        </w:rPr>
        <w:t xml:space="preserve">guda </w:t>
      </w:r>
      <w:r w:rsidR="00D8438C">
        <w:rPr>
          <w:i/>
        </w:rPr>
        <w:t>G</w:t>
      </w:r>
      <w:r w:rsidRPr="0092331A">
        <w:rPr>
          <w:i/>
        </w:rPr>
        <w:t>rave</w:t>
      </w:r>
      <w:r w:rsidRPr="0092331A">
        <w:t>)</w:t>
      </w:r>
    </w:p>
    <w:p w:rsidR="00DF23E2" w:rsidRDefault="00DF23E2" w:rsidP="003C388B">
      <w:pPr>
        <w:ind w:left="1440" w:hanging="1440"/>
        <w:jc w:val="both"/>
      </w:pPr>
      <w:r>
        <w:t>ISR</w:t>
      </w:r>
      <w:r>
        <w:tab/>
        <w:t>Implementation Status and Results Report</w:t>
      </w:r>
    </w:p>
    <w:p w:rsidR="007B7A8A" w:rsidRPr="00680ED6" w:rsidRDefault="007B7A8A" w:rsidP="007B7A8A">
      <w:pPr>
        <w:jc w:val="both"/>
        <w:rPr>
          <w:lang w:val="pt-BR"/>
        </w:rPr>
      </w:pPr>
      <w:r w:rsidRPr="00680ED6">
        <w:rPr>
          <w:lang w:val="pt-BR"/>
        </w:rPr>
        <w:t>ITA</w:t>
      </w:r>
      <w:r w:rsidRPr="00680ED6">
        <w:rPr>
          <w:lang w:val="pt-BR"/>
        </w:rPr>
        <w:tab/>
      </w:r>
      <w:r w:rsidRPr="00540B57">
        <w:rPr>
          <w:lang w:val="en-AU"/>
        </w:rPr>
        <w:tab/>
        <w:t>Independent Technical Audit</w:t>
      </w:r>
      <w:r w:rsidRPr="00680ED6">
        <w:rPr>
          <w:lang w:val="pt-BR"/>
        </w:rPr>
        <w:t xml:space="preserve"> </w:t>
      </w:r>
      <w:r w:rsidRPr="00680ED6">
        <w:rPr>
          <w:i/>
          <w:lang w:val="pt-BR"/>
        </w:rPr>
        <w:t xml:space="preserve">(Auditoria </w:t>
      </w:r>
      <w:r w:rsidR="004114D9" w:rsidRPr="00680ED6">
        <w:rPr>
          <w:i/>
          <w:lang w:val="pt-BR"/>
        </w:rPr>
        <w:t>Técnica</w:t>
      </w:r>
      <w:r w:rsidRPr="00680ED6">
        <w:rPr>
          <w:i/>
          <w:lang w:val="pt-BR"/>
        </w:rPr>
        <w:t xml:space="preserve"> Independiente</w:t>
      </w:r>
      <w:r w:rsidRPr="00680ED6">
        <w:rPr>
          <w:lang w:val="pt-BR"/>
        </w:rPr>
        <w:t>)</w:t>
      </w:r>
    </w:p>
    <w:p w:rsidR="00B65CEB" w:rsidRDefault="00B65CEB" w:rsidP="003262E3">
      <w:pPr>
        <w:jc w:val="both"/>
      </w:pPr>
      <w:r w:rsidRPr="00816C1F">
        <w:t>LAC</w:t>
      </w:r>
      <w:r w:rsidRPr="00816C1F">
        <w:tab/>
      </w:r>
      <w:r w:rsidRPr="00816C1F">
        <w:tab/>
        <w:t>Latin American and Caribbean Region</w:t>
      </w:r>
    </w:p>
    <w:p w:rsidR="007A396F" w:rsidRPr="00816C1F" w:rsidRDefault="007A396F" w:rsidP="003262E3">
      <w:pPr>
        <w:jc w:val="both"/>
      </w:pPr>
      <w:r>
        <w:t>M&amp;E</w:t>
      </w:r>
      <w:r>
        <w:tab/>
      </w:r>
      <w:r>
        <w:tab/>
        <w:t>Monitoring and Evaluation</w:t>
      </w:r>
    </w:p>
    <w:p w:rsidR="007F1600" w:rsidRPr="00816C1F" w:rsidRDefault="00083838" w:rsidP="003262E3">
      <w:pPr>
        <w:jc w:val="both"/>
      </w:pPr>
      <w:r w:rsidRPr="00816C1F">
        <w:lastRenderedPageBreak/>
        <w:t>MEFP</w:t>
      </w:r>
      <w:r w:rsidR="00B65CEB" w:rsidRPr="00816C1F">
        <w:tab/>
      </w:r>
      <w:r w:rsidR="00B65CEB" w:rsidRPr="00816C1F">
        <w:tab/>
      </w:r>
      <w:r w:rsidRPr="00816C1F">
        <w:t>Ministry of Economy and Public Finance</w:t>
      </w:r>
    </w:p>
    <w:p w:rsidR="00B65CEB" w:rsidRPr="00AE6D01" w:rsidRDefault="00083838" w:rsidP="00083838">
      <w:pPr>
        <w:ind w:left="1440" w:hanging="1440"/>
        <w:jc w:val="both"/>
        <w:rPr>
          <w:lang w:val="es-ES"/>
        </w:rPr>
      </w:pPr>
      <w:r w:rsidRPr="00AE6D01">
        <w:rPr>
          <w:lang w:val="es-ES"/>
        </w:rPr>
        <w:t>MOCS</w:t>
      </w:r>
      <w:r w:rsidR="00B65CEB" w:rsidRPr="0063364B">
        <w:rPr>
          <w:lang w:val="es-AR"/>
        </w:rPr>
        <w:tab/>
      </w:r>
      <w:r w:rsidRPr="0063364B">
        <w:rPr>
          <w:lang w:val="es-AR"/>
        </w:rPr>
        <w:t>Operational</w:t>
      </w:r>
      <w:r w:rsidRPr="00AE6D01">
        <w:rPr>
          <w:lang w:val="es-ES"/>
        </w:rPr>
        <w:t xml:space="preserve"> Modules of Social</w:t>
      </w:r>
      <w:r w:rsidRPr="0063364B">
        <w:rPr>
          <w:lang w:val="es-AR"/>
        </w:rPr>
        <w:t xml:space="preserve"> Communication</w:t>
      </w:r>
      <w:r w:rsidRPr="00AE6D01">
        <w:rPr>
          <w:lang w:val="es-ES"/>
        </w:rPr>
        <w:t xml:space="preserve"> </w:t>
      </w:r>
      <w:r w:rsidRPr="004114D9">
        <w:rPr>
          <w:lang w:val="es-AR"/>
        </w:rPr>
        <w:t>(</w:t>
      </w:r>
      <w:r w:rsidR="004114D9" w:rsidRPr="004114D9">
        <w:rPr>
          <w:i/>
          <w:lang w:val="es-AR"/>
        </w:rPr>
        <w:t>Módulos</w:t>
      </w:r>
      <w:r w:rsidRPr="004114D9">
        <w:rPr>
          <w:i/>
          <w:lang w:val="es-AR"/>
        </w:rPr>
        <w:t xml:space="preserve"> Operativos</w:t>
      </w:r>
      <w:r w:rsidRPr="00AE6D01">
        <w:rPr>
          <w:i/>
          <w:lang w:val="es-ES"/>
        </w:rPr>
        <w:t xml:space="preserve"> de</w:t>
      </w:r>
      <w:r w:rsidRPr="004114D9">
        <w:rPr>
          <w:i/>
          <w:lang w:val="es-AR"/>
        </w:rPr>
        <w:t xml:space="preserve"> </w:t>
      </w:r>
      <w:r w:rsidR="004114D9" w:rsidRPr="004114D9">
        <w:rPr>
          <w:i/>
          <w:lang w:val="es-AR"/>
        </w:rPr>
        <w:t>Comunicación</w:t>
      </w:r>
      <w:r w:rsidRPr="00AE6D01">
        <w:rPr>
          <w:i/>
          <w:lang w:val="es-ES"/>
        </w:rPr>
        <w:t xml:space="preserve"> Social</w:t>
      </w:r>
      <w:r w:rsidRPr="00AE6D01">
        <w:rPr>
          <w:lang w:val="es-ES"/>
        </w:rPr>
        <w:t xml:space="preserve">) </w:t>
      </w:r>
    </w:p>
    <w:p w:rsidR="00CD4A85" w:rsidRPr="00AE6D01" w:rsidRDefault="00A23785" w:rsidP="003262E3">
      <w:pPr>
        <w:jc w:val="both"/>
        <w:rPr>
          <w:lang w:val="es-ES"/>
        </w:rPr>
      </w:pPr>
      <w:r w:rsidRPr="00AE6D01">
        <w:rPr>
          <w:lang w:val="es-ES"/>
        </w:rPr>
        <w:t>MSN</w:t>
      </w:r>
      <w:r w:rsidR="00CD4A85" w:rsidRPr="00AE6D01">
        <w:rPr>
          <w:lang w:val="es-ES"/>
        </w:rPr>
        <w:tab/>
      </w:r>
      <w:r w:rsidR="00CD4A85" w:rsidRPr="0063364B">
        <w:rPr>
          <w:lang w:val="es-AR"/>
        </w:rPr>
        <w:tab/>
      </w:r>
      <w:r w:rsidR="00C723DF" w:rsidRPr="0063364B">
        <w:rPr>
          <w:lang w:val="es-AR"/>
        </w:rPr>
        <w:t xml:space="preserve">National </w:t>
      </w:r>
      <w:r w:rsidR="00CD4A85" w:rsidRPr="0063364B">
        <w:rPr>
          <w:lang w:val="es-AR"/>
        </w:rPr>
        <w:t>Ministry</w:t>
      </w:r>
      <w:r w:rsidR="00CD4A85" w:rsidRPr="00AE6D01">
        <w:rPr>
          <w:lang w:val="es-ES"/>
        </w:rPr>
        <w:t xml:space="preserve"> of</w:t>
      </w:r>
      <w:r w:rsidR="00CD4A85" w:rsidRPr="0063364B">
        <w:rPr>
          <w:lang w:val="es-AR"/>
        </w:rPr>
        <w:t xml:space="preserve"> </w:t>
      </w:r>
      <w:r w:rsidRPr="0063364B">
        <w:rPr>
          <w:lang w:val="es-AR"/>
        </w:rPr>
        <w:t>Health</w:t>
      </w:r>
      <w:r w:rsidRPr="00AE6D01">
        <w:rPr>
          <w:lang w:val="es-ES"/>
        </w:rPr>
        <w:t xml:space="preserve"> </w:t>
      </w:r>
      <w:r w:rsidRPr="004114D9">
        <w:rPr>
          <w:lang w:val="es-AR"/>
        </w:rPr>
        <w:t>(</w:t>
      </w:r>
      <w:r w:rsidRPr="004114D9">
        <w:rPr>
          <w:i/>
          <w:lang w:val="es-AR"/>
        </w:rPr>
        <w:t>Ministerio</w:t>
      </w:r>
      <w:r w:rsidRPr="00AE6D01">
        <w:rPr>
          <w:i/>
          <w:lang w:val="es-ES"/>
        </w:rPr>
        <w:t xml:space="preserve"> de</w:t>
      </w:r>
      <w:r w:rsidRPr="004114D9">
        <w:rPr>
          <w:i/>
          <w:lang w:val="es-AR"/>
        </w:rPr>
        <w:t xml:space="preserve"> Salud</w:t>
      </w:r>
      <w:r w:rsidRPr="00AE6D01">
        <w:rPr>
          <w:i/>
          <w:lang w:val="es-ES"/>
        </w:rPr>
        <w:t xml:space="preserve"> de la</w:t>
      </w:r>
      <w:r w:rsidRPr="004114D9">
        <w:rPr>
          <w:i/>
          <w:lang w:val="es-AR"/>
        </w:rPr>
        <w:t xml:space="preserve"> </w:t>
      </w:r>
      <w:r w:rsidR="004114D9" w:rsidRPr="004114D9">
        <w:rPr>
          <w:i/>
          <w:lang w:val="es-AR"/>
        </w:rPr>
        <w:t>Nación</w:t>
      </w:r>
      <w:r w:rsidRPr="00AE6D01">
        <w:rPr>
          <w:lang w:val="es-ES"/>
        </w:rPr>
        <w:t>)</w:t>
      </w:r>
    </w:p>
    <w:p w:rsidR="00602F6E" w:rsidRDefault="00602F6E" w:rsidP="003262E3">
      <w:pPr>
        <w:jc w:val="both"/>
      </w:pPr>
      <w:r w:rsidRPr="008D3060">
        <w:t>OPRC</w:t>
      </w:r>
      <w:r w:rsidRPr="008D3060">
        <w:tab/>
      </w:r>
      <w:r w:rsidRPr="008D3060">
        <w:tab/>
        <w:t xml:space="preserve">Operations Procurement Review </w:t>
      </w:r>
      <w:r w:rsidR="004114D9" w:rsidRPr="008D3060">
        <w:t>Committee</w:t>
      </w:r>
    </w:p>
    <w:p w:rsidR="00016870" w:rsidRDefault="00016870" w:rsidP="003262E3">
      <w:pPr>
        <w:jc w:val="both"/>
      </w:pPr>
      <w:r>
        <w:t>PAD</w:t>
      </w:r>
      <w:r>
        <w:tab/>
      </w:r>
      <w:r>
        <w:tab/>
        <w:t>Project Appraisal Document</w:t>
      </w:r>
    </w:p>
    <w:p w:rsidR="00016870" w:rsidRPr="008D3060" w:rsidRDefault="00016870" w:rsidP="003262E3">
      <w:pPr>
        <w:jc w:val="both"/>
      </w:pPr>
      <w:r>
        <w:t>PDI</w:t>
      </w:r>
      <w:r>
        <w:tab/>
      </w:r>
      <w:r>
        <w:tab/>
        <w:t xml:space="preserve">Project </w:t>
      </w:r>
      <w:r w:rsidR="00E179B3">
        <w:t>Development</w:t>
      </w:r>
      <w:r>
        <w:t xml:space="preserve"> Indicators</w:t>
      </w:r>
    </w:p>
    <w:p w:rsidR="00B65CEB" w:rsidRPr="00434FF1" w:rsidRDefault="00A23785" w:rsidP="003262E3">
      <w:pPr>
        <w:jc w:val="both"/>
      </w:pPr>
      <w:r w:rsidRPr="00434FF1">
        <w:t>PDO</w:t>
      </w:r>
      <w:r w:rsidR="00B65CEB" w:rsidRPr="00434FF1">
        <w:tab/>
      </w:r>
      <w:r w:rsidR="00B65CEB" w:rsidRPr="00434FF1">
        <w:tab/>
      </w:r>
      <w:r w:rsidRPr="00434FF1">
        <w:t>Project Development Objective</w:t>
      </w:r>
    </w:p>
    <w:p w:rsidR="00384E66" w:rsidRPr="00AE6D01" w:rsidRDefault="002203A9" w:rsidP="003262E3">
      <w:pPr>
        <w:jc w:val="both"/>
      </w:pPr>
      <w:r w:rsidRPr="00AE6D01">
        <w:t>PPHP</w:t>
      </w:r>
      <w:r w:rsidRPr="00AE6D01">
        <w:tab/>
      </w:r>
      <w:r w:rsidRPr="004114D9">
        <w:rPr>
          <w:lang w:val="en-AU"/>
        </w:rPr>
        <w:tab/>
        <w:t>Priority Publ</w:t>
      </w:r>
      <w:r w:rsidR="00384E66" w:rsidRPr="004114D9">
        <w:rPr>
          <w:lang w:val="en-AU"/>
        </w:rPr>
        <w:t>ic Health Programs</w:t>
      </w:r>
    </w:p>
    <w:p w:rsidR="0052504E" w:rsidRDefault="0052504E" w:rsidP="004114D9">
      <w:pPr>
        <w:ind w:left="1440" w:hanging="1440"/>
        <w:jc w:val="both"/>
        <w:rPr>
          <w:i/>
        </w:rPr>
      </w:pPr>
      <w:r w:rsidRPr="00AE6D01">
        <w:t>PRONACEI</w:t>
      </w:r>
      <w:r w:rsidR="00962B68" w:rsidRPr="00AE6D01">
        <w:tab/>
      </w:r>
      <w:r w:rsidR="004114D9">
        <w:t>National Program for the Control of Immunopreventable Diseases</w:t>
      </w:r>
      <w:r w:rsidR="004114D9" w:rsidRPr="00AE6D01">
        <w:t xml:space="preserve"> </w:t>
      </w:r>
      <w:r w:rsidR="00962B68" w:rsidRPr="00AE6D01">
        <w:t>(</w:t>
      </w:r>
      <w:r w:rsidR="00962B68" w:rsidRPr="00AE6D01">
        <w:rPr>
          <w:i/>
        </w:rPr>
        <w:t>Programa Nacional de Control de Enfermedades I</w:t>
      </w:r>
      <w:r w:rsidR="004114D9" w:rsidRPr="00AE6D01">
        <w:rPr>
          <w:i/>
        </w:rPr>
        <w:t>nm</w:t>
      </w:r>
      <w:r w:rsidR="00962B68" w:rsidRPr="00AE6D01">
        <w:rPr>
          <w:i/>
        </w:rPr>
        <w:t>u</w:t>
      </w:r>
      <w:r w:rsidR="004114D9" w:rsidRPr="00AE6D01">
        <w:rPr>
          <w:i/>
        </w:rPr>
        <w:t>no</w:t>
      </w:r>
      <w:r w:rsidR="00962B68" w:rsidRPr="00AE6D01">
        <w:rPr>
          <w:i/>
        </w:rPr>
        <w:t>prevenibles)</w:t>
      </w:r>
    </w:p>
    <w:p w:rsidR="005F1CA3" w:rsidRDefault="005F1CA3" w:rsidP="004114D9">
      <w:pPr>
        <w:ind w:left="1440" w:hanging="1440"/>
        <w:jc w:val="both"/>
      </w:pPr>
      <w:r>
        <w:t>RBF</w:t>
      </w:r>
      <w:r>
        <w:tab/>
        <w:t>Result-Based Financing</w:t>
      </w:r>
    </w:p>
    <w:p w:rsidR="00B65CEB" w:rsidRPr="00816C1F" w:rsidRDefault="00A23785" w:rsidP="003262E3">
      <w:pPr>
        <w:jc w:val="both"/>
      </w:pPr>
      <w:r w:rsidRPr="00816C1F">
        <w:t>SARS</w:t>
      </w:r>
      <w:r w:rsidR="00B65CEB" w:rsidRPr="00816C1F">
        <w:tab/>
      </w:r>
      <w:r w:rsidR="00B65CEB" w:rsidRPr="00816C1F">
        <w:tab/>
      </w:r>
      <w:r w:rsidRPr="00816C1F">
        <w:t>Severe Acute Respiratory Syndrome</w:t>
      </w:r>
    </w:p>
    <w:p w:rsidR="00B65CEB" w:rsidRPr="00816C1F" w:rsidRDefault="00A23785" w:rsidP="003262E3">
      <w:pPr>
        <w:ind w:left="1440" w:hanging="1440"/>
        <w:jc w:val="both"/>
        <w:rPr>
          <w:lang w:val="es-ES"/>
        </w:rPr>
      </w:pPr>
      <w:r w:rsidRPr="00816C1F">
        <w:rPr>
          <w:lang w:val="es-ES"/>
        </w:rPr>
        <w:t>SIVILA</w:t>
      </w:r>
      <w:r w:rsidR="00B65CEB" w:rsidRPr="0063364B">
        <w:rPr>
          <w:lang w:val="es-AR"/>
        </w:rPr>
        <w:tab/>
      </w:r>
      <w:r w:rsidRPr="0063364B">
        <w:rPr>
          <w:lang w:val="es-AR"/>
        </w:rPr>
        <w:t>Laboratory Surveillance System</w:t>
      </w:r>
      <w:r w:rsidR="00B65CEB" w:rsidRPr="00816C1F">
        <w:rPr>
          <w:lang w:val="es-ES"/>
        </w:rPr>
        <w:t xml:space="preserve"> (</w:t>
      </w:r>
      <w:r w:rsidRPr="00816C1F">
        <w:rPr>
          <w:i/>
          <w:lang w:val="es-ES"/>
        </w:rPr>
        <w:t>Sistema de Vigilancia de Laboratorios</w:t>
      </w:r>
      <w:r w:rsidR="00B65CEB" w:rsidRPr="00816C1F">
        <w:rPr>
          <w:lang w:val="es-ES"/>
        </w:rPr>
        <w:t>)</w:t>
      </w:r>
    </w:p>
    <w:p w:rsidR="00B65CEB" w:rsidRPr="00816C1F" w:rsidRDefault="00A23785" w:rsidP="003262E3">
      <w:pPr>
        <w:ind w:left="1440" w:hanging="1440"/>
        <w:jc w:val="both"/>
        <w:rPr>
          <w:lang w:val="es-ES"/>
        </w:rPr>
      </w:pPr>
      <w:r w:rsidRPr="00816C1F">
        <w:rPr>
          <w:lang w:val="es-ES"/>
        </w:rPr>
        <w:t>SNVS</w:t>
      </w:r>
      <w:r w:rsidR="00B65CEB" w:rsidRPr="00AE6D01">
        <w:rPr>
          <w:lang w:val="es-ES"/>
        </w:rPr>
        <w:tab/>
      </w:r>
      <w:r w:rsidRPr="00AE6D01">
        <w:rPr>
          <w:lang w:val="es-ES"/>
        </w:rPr>
        <w:t>National Health Surveillance System</w:t>
      </w:r>
      <w:r w:rsidR="00D66DF5">
        <w:rPr>
          <w:lang w:val="es-ES"/>
        </w:rPr>
        <w:t xml:space="preserve"> (</w:t>
      </w:r>
      <w:r w:rsidR="00D66DF5" w:rsidRPr="00D66DF5">
        <w:rPr>
          <w:i/>
          <w:lang w:val="es-ES"/>
        </w:rPr>
        <w:t xml:space="preserve">Sistema Nacional de </w:t>
      </w:r>
      <w:r w:rsidR="004114D9" w:rsidRPr="00D66DF5">
        <w:rPr>
          <w:i/>
          <w:lang w:val="es-ES"/>
        </w:rPr>
        <w:t>Vigilancia</w:t>
      </w:r>
      <w:r w:rsidR="00D66DF5" w:rsidRPr="00D66DF5">
        <w:rPr>
          <w:i/>
          <w:lang w:val="es-ES"/>
        </w:rPr>
        <w:t xml:space="preserve"> de Salud</w:t>
      </w:r>
      <w:r w:rsidR="00D66DF5">
        <w:rPr>
          <w:lang w:val="es-ES"/>
        </w:rPr>
        <w:t>)</w:t>
      </w:r>
    </w:p>
    <w:p w:rsidR="00E7533E" w:rsidRDefault="004114D9" w:rsidP="00D13EF5">
      <w:pPr>
        <w:ind w:left="1440" w:hanging="1440"/>
        <w:jc w:val="both"/>
        <w:rPr>
          <w:bCs/>
          <w:i/>
          <w:color w:val="262626"/>
          <w:lang w:val="es-ES" w:eastAsia="en-US"/>
        </w:rPr>
      </w:pPr>
      <w:r>
        <w:rPr>
          <w:lang w:val="es-ES"/>
        </w:rPr>
        <w:t>UFI-S</w:t>
      </w:r>
      <w:r w:rsidR="00D13EF5">
        <w:rPr>
          <w:lang w:val="es-ES"/>
        </w:rPr>
        <w:tab/>
        <w:t>International</w:t>
      </w:r>
      <w:r w:rsidR="00D13EF5" w:rsidRPr="00AE6D01">
        <w:rPr>
          <w:lang w:val="es-ES"/>
        </w:rPr>
        <w:t xml:space="preserve"> Health Financing Unit</w:t>
      </w:r>
      <w:r w:rsidR="00D13EF5">
        <w:rPr>
          <w:lang w:val="es-ES"/>
        </w:rPr>
        <w:t xml:space="preserve"> </w:t>
      </w:r>
      <w:r w:rsidR="00D13EF5" w:rsidRPr="00D13EF5">
        <w:rPr>
          <w:i/>
          <w:lang w:val="es-ES"/>
        </w:rPr>
        <w:t>(</w:t>
      </w:r>
      <w:r w:rsidR="00D13EF5" w:rsidRPr="00E46565">
        <w:rPr>
          <w:bCs/>
          <w:i/>
          <w:color w:val="262626"/>
          <w:lang w:val="es-ES" w:eastAsia="en-US"/>
        </w:rPr>
        <w:t>Unidad de Financiamiento Internacional de Salud)</w:t>
      </w:r>
    </w:p>
    <w:p w:rsidR="004770D8" w:rsidRPr="00733D69" w:rsidRDefault="004770D8" w:rsidP="00D13EF5">
      <w:pPr>
        <w:ind w:left="1440" w:hanging="1440"/>
        <w:jc w:val="both"/>
        <w:rPr>
          <w:bCs/>
          <w:i/>
          <w:color w:val="262626"/>
          <w:lang w:eastAsia="en-US"/>
        </w:rPr>
      </w:pPr>
      <w:r w:rsidRPr="00733D69">
        <w:t>US</w:t>
      </w:r>
      <w:r w:rsidRPr="00733D69">
        <w:tab/>
        <w:t>United States</w:t>
      </w:r>
    </w:p>
    <w:p w:rsidR="00196760" w:rsidRPr="00733D69" w:rsidRDefault="00196760" w:rsidP="00D13EF5">
      <w:pPr>
        <w:ind w:left="1440" w:hanging="1440"/>
        <w:jc w:val="both"/>
      </w:pPr>
      <w:r w:rsidRPr="00733D69">
        <w:t>WHO</w:t>
      </w:r>
      <w:r w:rsidRPr="00733D69">
        <w:tab/>
        <w:t>World Health Organization</w:t>
      </w:r>
    </w:p>
    <w:p w:rsidR="001C00E2" w:rsidRPr="00733D69" w:rsidRDefault="001C00E2" w:rsidP="003262E3">
      <w:pPr>
        <w:jc w:val="both"/>
        <w:rPr>
          <w:vanish/>
        </w:rPr>
      </w:pPr>
      <w:bookmarkStart w:id="6" w:name="ACRONYMS"/>
      <w:bookmarkEnd w:id="6"/>
    </w:p>
    <w:p w:rsidR="00C434C0" w:rsidRPr="00733D69" w:rsidRDefault="00C434C0" w:rsidP="003262E3">
      <w:pPr>
        <w:jc w:val="both"/>
      </w:pPr>
    </w:p>
    <w:p w:rsidR="00C434C0" w:rsidRPr="00733D69" w:rsidRDefault="00C434C0" w:rsidP="003262E3">
      <w:pPr>
        <w:jc w:val="both"/>
      </w:pPr>
    </w:p>
    <w:p w:rsidR="00C434C0" w:rsidRPr="00733D69" w:rsidRDefault="00C434C0" w:rsidP="003262E3">
      <w:pPr>
        <w:jc w:val="both"/>
      </w:pPr>
    </w:p>
    <w:p w:rsidR="00C434C0" w:rsidRPr="00733D69" w:rsidRDefault="00C434C0" w:rsidP="003262E3">
      <w:pPr>
        <w:jc w:val="both"/>
      </w:pPr>
    </w:p>
    <w:p w:rsidR="00C434C0" w:rsidRPr="00733D69" w:rsidRDefault="00C434C0" w:rsidP="003262E3">
      <w:pPr>
        <w:jc w:val="both"/>
      </w:pPr>
    </w:p>
    <w:p w:rsidR="00B65CEB" w:rsidRPr="00733D69" w:rsidRDefault="00B65CEB"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263634" w:rsidRPr="00733D69" w:rsidRDefault="00263634" w:rsidP="003262E3">
      <w:pPr>
        <w:jc w:val="both"/>
      </w:pPr>
    </w:p>
    <w:p w:rsidR="00B65CEB" w:rsidRPr="00733D69" w:rsidRDefault="00B65CEB" w:rsidP="003262E3">
      <w:pPr>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670"/>
      </w:tblGrid>
      <w:tr w:rsidR="00E03DE1" w:rsidRPr="00816C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824"/>
              <w:gridCol w:w="2892"/>
            </w:tblGrid>
            <w:tr w:rsidR="00E03DE1" w:rsidRPr="00816C1F">
              <w:trPr>
                <w:tblCellSpacing w:w="15" w:type="dxa"/>
                <w:jc w:val="center"/>
              </w:trPr>
              <w:tc>
                <w:tcPr>
                  <w:tcW w:w="2050" w:type="pct"/>
                  <w:vAlign w:val="center"/>
                </w:tcPr>
                <w:p w:rsidR="00E03DE1" w:rsidRPr="00816C1F" w:rsidRDefault="00E03DE1" w:rsidP="003262E3">
                  <w:pPr>
                    <w:pStyle w:val="Heading3"/>
                    <w:keepNext/>
                    <w:spacing w:line="200" w:lineRule="atLeast"/>
                    <w:jc w:val="both"/>
                    <w:rPr>
                      <w:b w:val="0"/>
                      <w:bCs w:val="0"/>
                      <w:sz w:val="24"/>
                      <w:szCs w:val="24"/>
                    </w:rPr>
                  </w:pPr>
                  <w:r w:rsidRPr="00816C1F">
                    <w:rPr>
                      <w:b w:val="0"/>
                      <w:bCs w:val="0"/>
                      <w:sz w:val="24"/>
                      <w:szCs w:val="24"/>
                    </w:rPr>
                    <w:t>Vice President:</w:t>
                  </w:r>
                </w:p>
              </w:tc>
              <w:tc>
                <w:tcPr>
                  <w:tcW w:w="2100" w:type="pct"/>
                  <w:vAlign w:val="center"/>
                </w:tcPr>
                <w:p w:rsidR="00E03DE1" w:rsidRPr="00816C1F" w:rsidRDefault="005F346A" w:rsidP="003262E3">
                  <w:pPr>
                    <w:pStyle w:val="Heading3"/>
                    <w:keepNext/>
                    <w:spacing w:line="200" w:lineRule="atLeast"/>
                    <w:jc w:val="both"/>
                    <w:rPr>
                      <w:b w:val="0"/>
                      <w:bCs w:val="0"/>
                      <w:sz w:val="24"/>
                      <w:szCs w:val="24"/>
                    </w:rPr>
                  </w:pPr>
                  <w:bookmarkStart w:id="7" w:name="VP"/>
                  <w:bookmarkEnd w:id="7"/>
                  <w:r>
                    <w:rPr>
                      <w:b w:val="0"/>
                      <w:bCs w:val="0"/>
                      <w:sz w:val="24"/>
                      <w:szCs w:val="24"/>
                    </w:rPr>
                    <w:t>Jorge Familiar</w:t>
                  </w:r>
                  <w:r w:rsidR="00055DF6">
                    <w:rPr>
                      <w:b w:val="0"/>
                      <w:bCs w:val="0"/>
                      <w:sz w:val="24"/>
                      <w:szCs w:val="24"/>
                    </w:rPr>
                    <w:t xml:space="preserve"> Calderón</w:t>
                  </w:r>
                </w:p>
              </w:tc>
            </w:tr>
            <w:tr w:rsidR="00E03DE1" w:rsidRPr="00816C1F">
              <w:trPr>
                <w:tblCellSpacing w:w="15" w:type="dxa"/>
                <w:jc w:val="center"/>
              </w:trPr>
              <w:tc>
                <w:tcPr>
                  <w:tcW w:w="2050" w:type="pct"/>
                  <w:vAlign w:val="center"/>
                </w:tcPr>
                <w:p w:rsidR="00E03DE1" w:rsidRPr="00816C1F" w:rsidRDefault="00E03DE1" w:rsidP="003262E3">
                  <w:pPr>
                    <w:pStyle w:val="Heading3"/>
                    <w:keepNext/>
                    <w:spacing w:line="200" w:lineRule="atLeast"/>
                    <w:jc w:val="both"/>
                    <w:rPr>
                      <w:b w:val="0"/>
                      <w:bCs w:val="0"/>
                      <w:sz w:val="24"/>
                      <w:szCs w:val="24"/>
                    </w:rPr>
                  </w:pPr>
                  <w:r w:rsidRPr="00816C1F">
                    <w:rPr>
                      <w:b w:val="0"/>
                      <w:bCs w:val="0"/>
                      <w:sz w:val="24"/>
                      <w:szCs w:val="24"/>
                    </w:rPr>
                    <w:t>Country Director:</w:t>
                  </w:r>
                </w:p>
              </w:tc>
              <w:tc>
                <w:tcPr>
                  <w:tcW w:w="2100" w:type="pct"/>
                  <w:vAlign w:val="center"/>
                </w:tcPr>
                <w:p w:rsidR="00E03DE1" w:rsidRPr="00816C1F" w:rsidRDefault="00E46569" w:rsidP="003262E3">
                  <w:pPr>
                    <w:pStyle w:val="Heading3"/>
                    <w:keepNext/>
                    <w:spacing w:line="200" w:lineRule="atLeast"/>
                    <w:jc w:val="both"/>
                    <w:rPr>
                      <w:b w:val="0"/>
                      <w:bCs w:val="0"/>
                      <w:sz w:val="24"/>
                      <w:szCs w:val="24"/>
                    </w:rPr>
                  </w:pPr>
                  <w:bookmarkStart w:id="8" w:name="CD"/>
                  <w:bookmarkEnd w:id="8"/>
                  <w:r>
                    <w:rPr>
                      <w:b w:val="0"/>
                      <w:bCs w:val="0"/>
                      <w:sz w:val="24"/>
                      <w:szCs w:val="24"/>
                    </w:rPr>
                    <w:t>Jesko Hentschel</w:t>
                  </w:r>
                </w:p>
              </w:tc>
            </w:tr>
            <w:tr w:rsidR="00E03DE1" w:rsidRPr="00816C1F">
              <w:trPr>
                <w:tblCellSpacing w:w="15" w:type="dxa"/>
                <w:jc w:val="center"/>
              </w:trPr>
              <w:tc>
                <w:tcPr>
                  <w:tcW w:w="2050" w:type="pct"/>
                  <w:vAlign w:val="center"/>
                </w:tcPr>
                <w:p w:rsidR="00E03DE1" w:rsidRPr="00816C1F" w:rsidRDefault="00E03DE1" w:rsidP="003262E3">
                  <w:pPr>
                    <w:pStyle w:val="Heading3"/>
                    <w:keepNext/>
                    <w:spacing w:line="200" w:lineRule="atLeast"/>
                    <w:jc w:val="both"/>
                    <w:rPr>
                      <w:b w:val="0"/>
                      <w:bCs w:val="0"/>
                      <w:sz w:val="24"/>
                      <w:szCs w:val="24"/>
                    </w:rPr>
                  </w:pPr>
                  <w:r w:rsidRPr="00816C1F">
                    <w:rPr>
                      <w:b w:val="0"/>
                      <w:bCs w:val="0"/>
                      <w:sz w:val="24"/>
                      <w:szCs w:val="24"/>
                    </w:rPr>
                    <w:t>Sector Manager:</w:t>
                  </w:r>
                </w:p>
              </w:tc>
              <w:tc>
                <w:tcPr>
                  <w:tcW w:w="2100" w:type="pct"/>
                  <w:vAlign w:val="center"/>
                </w:tcPr>
                <w:p w:rsidR="00E03DE1" w:rsidRPr="00816C1F" w:rsidRDefault="00D86F0A" w:rsidP="003262E3">
                  <w:pPr>
                    <w:pStyle w:val="Heading3"/>
                    <w:keepNext/>
                    <w:spacing w:line="200" w:lineRule="atLeast"/>
                    <w:jc w:val="both"/>
                    <w:rPr>
                      <w:b w:val="0"/>
                      <w:bCs w:val="0"/>
                      <w:sz w:val="24"/>
                      <w:szCs w:val="24"/>
                    </w:rPr>
                  </w:pPr>
                  <w:bookmarkStart w:id="9" w:name="SM"/>
                  <w:bookmarkEnd w:id="9"/>
                  <w:r w:rsidRPr="00816C1F">
                    <w:rPr>
                      <w:b w:val="0"/>
                      <w:bCs w:val="0"/>
                      <w:sz w:val="24"/>
                      <w:szCs w:val="24"/>
                    </w:rPr>
                    <w:t>Joana Godinho</w:t>
                  </w:r>
                </w:p>
              </w:tc>
            </w:tr>
            <w:tr w:rsidR="00E03DE1" w:rsidRPr="00816C1F">
              <w:trPr>
                <w:tblCellSpacing w:w="15" w:type="dxa"/>
                <w:jc w:val="center"/>
              </w:trPr>
              <w:tc>
                <w:tcPr>
                  <w:tcW w:w="2050" w:type="pct"/>
                  <w:vAlign w:val="center"/>
                </w:tcPr>
                <w:p w:rsidR="00E03DE1" w:rsidRPr="00816C1F" w:rsidRDefault="00F85DAD" w:rsidP="003262E3">
                  <w:pPr>
                    <w:pStyle w:val="Heading3"/>
                    <w:keepNext/>
                    <w:spacing w:line="200" w:lineRule="atLeast"/>
                    <w:jc w:val="both"/>
                    <w:rPr>
                      <w:b w:val="0"/>
                      <w:bCs w:val="0"/>
                      <w:sz w:val="24"/>
                      <w:szCs w:val="24"/>
                    </w:rPr>
                  </w:pPr>
                  <w:r w:rsidRPr="00816C1F">
                    <w:rPr>
                      <w:b w:val="0"/>
                      <w:bCs w:val="0"/>
                      <w:sz w:val="24"/>
                      <w:szCs w:val="24"/>
                    </w:rPr>
                    <w:t>Project</w:t>
                  </w:r>
                  <w:r w:rsidR="00E03DE1" w:rsidRPr="00816C1F">
                    <w:rPr>
                      <w:b w:val="0"/>
                      <w:bCs w:val="0"/>
                      <w:sz w:val="24"/>
                      <w:szCs w:val="24"/>
                    </w:rPr>
                    <w:t xml:space="preserve"> Team Leader:</w:t>
                  </w:r>
                </w:p>
              </w:tc>
              <w:tc>
                <w:tcPr>
                  <w:tcW w:w="2100" w:type="pct"/>
                  <w:vAlign w:val="center"/>
                </w:tcPr>
                <w:p w:rsidR="00E03DE1" w:rsidRPr="00816C1F" w:rsidRDefault="001A6950" w:rsidP="003262E3">
                  <w:pPr>
                    <w:pStyle w:val="Heading3"/>
                    <w:keepNext/>
                    <w:spacing w:line="200" w:lineRule="atLeast"/>
                    <w:jc w:val="both"/>
                    <w:rPr>
                      <w:b w:val="0"/>
                      <w:bCs w:val="0"/>
                      <w:sz w:val="24"/>
                      <w:szCs w:val="24"/>
                    </w:rPr>
                  </w:pPr>
                  <w:bookmarkStart w:id="10" w:name="PTL"/>
                  <w:bookmarkEnd w:id="10"/>
                  <w:r w:rsidRPr="00816C1F">
                    <w:rPr>
                      <w:b w:val="0"/>
                      <w:bCs w:val="0"/>
                      <w:sz w:val="24"/>
                      <w:szCs w:val="24"/>
                    </w:rPr>
                    <w:t>Vanina Camporeale</w:t>
                  </w:r>
                </w:p>
              </w:tc>
            </w:tr>
            <w:tr w:rsidR="000411CD" w:rsidRPr="00816C1F">
              <w:trPr>
                <w:tblCellSpacing w:w="15" w:type="dxa"/>
                <w:jc w:val="center"/>
              </w:trPr>
              <w:tc>
                <w:tcPr>
                  <w:tcW w:w="2050" w:type="pct"/>
                  <w:vAlign w:val="center"/>
                </w:tcPr>
                <w:p w:rsidR="00123601" w:rsidRPr="00816C1F" w:rsidRDefault="000411CD" w:rsidP="00123601">
                  <w:pPr>
                    <w:pStyle w:val="Heading3"/>
                    <w:keepNext/>
                    <w:spacing w:line="200" w:lineRule="atLeast"/>
                    <w:jc w:val="both"/>
                    <w:rPr>
                      <w:b w:val="0"/>
                      <w:bCs w:val="0"/>
                      <w:sz w:val="24"/>
                      <w:szCs w:val="24"/>
                    </w:rPr>
                  </w:pPr>
                  <w:r w:rsidRPr="00816C1F">
                    <w:rPr>
                      <w:b w:val="0"/>
                      <w:bCs w:val="0"/>
                      <w:sz w:val="24"/>
                      <w:szCs w:val="24"/>
                    </w:rPr>
                    <w:t>ICR Team Leader:</w:t>
                  </w:r>
                </w:p>
              </w:tc>
              <w:tc>
                <w:tcPr>
                  <w:tcW w:w="2100" w:type="pct"/>
                  <w:vAlign w:val="center"/>
                </w:tcPr>
                <w:p w:rsidR="000411CD" w:rsidRPr="00816C1F" w:rsidRDefault="00123601" w:rsidP="003262E3">
                  <w:pPr>
                    <w:pStyle w:val="Heading3"/>
                    <w:keepNext/>
                    <w:spacing w:line="200" w:lineRule="atLeast"/>
                    <w:jc w:val="both"/>
                    <w:rPr>
                      <w:b w:val="0"/>
                      <w:bCs w:val="0"/>
                      <w:sz w:val="24"/>
                      <w:szCs w:val="24"/>
                    </w:rPr>
                  </w:pPr>
                  <w:bookmarkStart w:id="11" w:name="ITL"/>
                  <w:bookmarkEnd w:id="11"/>
                  <w:r w:rsidRPr="00816C1F">
                    <w:rPr>
                      <w:b w:val="0"/>
                      <w:bCs w:val="0"/>
                      <w:sz w:val="24"/>
                      <w:szCs w:val="24"/>
                    </w:rPr>
                    <w:t>Claudia Macias</w:t>
                  </w:r>
                </w:p>
              </w:tc>
            </w:tr>
            <w:tr w:rsidR="00123601" w:rsidRPr="00816C1F">
              <w:trPr>
                <w:tblCellSpacing w:w="15" w:type="dxa"/>
                <w:jc w:val="center"/>
              </w:trPr>
              <w:tc>
                <w:tcPr>
                  <w:tcW w:w="2050" w:type="pct"/>
                  <w:vAlign w:val="center"/>
                </w:tcPr>
                <w:p w:rsidR="00123601" w:rsidRPr="00816C1F" w:rsidRDefault="00123601" w:rsidP="00123601">
                  <w:pPr>
                    <w:pStyle w:val="Heading3"/>
                    <w:keepNext/>
                    <w:spacing w:line="200" w:lineRule="atLeast"/>
                    <w:jc w:val="both"/>
                    <w:rPr>
                      <w:b w:val="0"/>
                      <w:bCs w:val="0"/>
                      <w:sz w:val="24"/>
                      <w:szCs w:val="24"/>
                    </w:rPr>
                  </w:pPr>
                  <w:r w:rsidRPr="00501559">
                    <w:rPr>
                      <w:b w:val="0"/>
                      <w:bCs w:val="0"/>
                    </w:rPr>
                    <w:t>ICR Primary Author</w:t>
                  </w:r>
                  <w:r>
                    <w:rPr>
                      <w:b w:val="0"/>
                      <w:bCs w:val="0"/>
                    </w:rPr>
                    <w:t>:</w:t>
                  </w:r>
                </w:p>
              </w:tc>
              <w:tc>
                <w:tcPr>
                  <w:tcW w:w="2100" w:type="pct"/>
                  <w:vAlign w:val="center"/>
                </w:tcPr>
                <w:p w:rsidR="00123601" w:rsidRPr="00816C1F" w:rsidRDefault="00123601" w:rsidP="003262E3">
                  <w:pPr>
                    <w:pStyle w:val="Heading3"/>
                    <w:keepNext/>
                    <w:spacing w:line="200" w:lineRule="atLeast"/>
                    <w:jc w:val="both"/>
                    <w:rPr>
                      <w:b w:val="0"/>
                      <w:bCs w:val="0"/>
                      <w:sz w:val="24"/>
                      <w:szCs w:val="24"/>
                    </w:rPr>
                  </w:pPr>
                  <w:r>
                    <w:rPr>
                      <w:b w:val="0"/>
                      <w:bCs w:val="0"/>
                      <w:sz w:val="24"/>
                      <w:szCs w:val="24"/>
                    </w:rPr>
                    <w:t>Natasha Zamecnik</w:t>
                  </w:r>
                </w:p>
              </w:tc>
            </w:tr>
          </w:tbl>
          <w:p w:rsidR="00E03DE1" w:rsidRPr="00816C1F" w:rsidRDefault="00E03DE1" w:rsidP="003262E3">
            <w:pPr>
              <w:jc w:val="both"/>
            </w:pPr>
          </w:p>
        </w:tc>
      </w:tr>
    </w:tbl>
    <w:p w:rsidR="00E03DE1" w:rsidRPr="00816C1F" w:rsidRDefault="00E03DE1" w:rsidP="003262E3">
      <w:pPr>
        <w:jc w:val="both"/>
        <w:rPr>
          <w:vanish/>
        </w:rPr>
      </w:pPr>
      <w:r w:rsidRPr="00816C1F">
        <w:rPr>
          <w:rFonts w:eastAsia="Times New Roman"/>
          <w:lang w:eastAsia="en-US"/>
        </w:rPr>
        <w:br w:type="page"/>
      </w:r>
    </w:p>
    <w:tbl>
      <w:tblPr>
        <w:tblW w:w="5000" w:type="pct"/>
        <w:tblCellSpacing w:w="0" w:type="dxa"/>
        <w:tblCellMar>
          <w:left w:w="0" w:type="dxa"/>
          <w:right w:w="0" w:type="dxa"/>
        </w:tblCellMar>
        <w:tblLook w:val="0000" w:firstRow="0" w:lastRow="0" w:firstColumn="0" w:lastColumn="0" w:noHBand="0" w:noVBand="0"/>
      </w:tblPr>
      <w:tblGrid>
        <w:gridCol w:w="8640"/>
      </w:tblGrid>
      <w:tr w:rsidR="00E03DE1" w:rsidRPr="00816C1F">
        <w:trPr>
          <w:tblCellSpacing w:w="0" w:type="dxa"/>
        </w:trPr>
        <w:tc>
          <w:tcPr>
            <w:tcW w:w="0" w:type="auto"/>
            <w:vAlign w:val="center"/>
          </w:tcPr>
          <w:p w:rsidR="00E03DE1" w:rsidRPr="00816C1F" w:rsidRDefault="001A6950" w:rsidP="003262E3">
            <w:pPr>
              <w:jc w:val="center"/>
              <w:rPr>
                <w:b/>
              </w:rPr>
            </w:pPr>
            <w:r w:rsidRPr="00816C1F">
              <w:rPr>
                <w:b/>
              </w:rPr>
              <w:t>ARGENTINA</w:t>
            </w:r>
          </w:p>
        </w:tc>
      </w:tr>
      <w:tr w:rsidR="00E03DE1" w:rsidRPr="00816C1F">
        <w:trPr>
          <w:tblCellSpacing w:w="0" w:type="dxa"/>
        </w:trPr>
        <w:tc>
          <w:tcPr>
            <w:tcW w:w="0" w:type="auto"/>
            <w:vAlign w:val="center"/>
          </w:tcPr>
          <w:p w:rsidR="00E03DE1" w:rsidRPr="00816C1F" w:rsidRDefault="00A23785" w:rsidP="003262E3">
            <w:pPr>
              <w:jc w:val="center"/>
              <w:rPr>
                <w:b/>
              </w:rPr>
            </w:pPr>
            <w:r w:rsidRPr="00816C1F">
              <w:rPr>
                <w:b/>
              </w:rPr>
              <w:t xml:space="preserve">Emergency Project for the </w:t>
            </w:r>
            <w:r w:rsidR="001A6950" w:rsidRPr="00816C1F">
              <w:rPr>
                <w:b/>
              </w:rPr>
              <w:t>Prevention and Mana</w:t>
            </w:r>
            <w:r w:rsidRPr="00816C1F">
              <w:rPr>
                <w:b/>
              </w:rPr>
              <w:t>gement of</w:t>
            </w:r>
            <w:r w:rsidR="001A6950" w:rsidRPr="00816C1F">
              <w:rPr>
                <w:b/>
              </w:rPr>
              <w:t xml:space="preserve"> Influenza Type </w:t>
            </w:r>
            <w:r w:rsidR="004114D9" w:rsidRPr="00816C1F">
              <w:rPr>
                <w:b/>
              </w:rPr>
              <w:t>Illness</w:t>
            </w:r>
            <w:r w:rsidR="001A6950" w:rsidRPr="00816C1F">
              <w:rPr>
                <w:b/>
              </w:rPr>
              <w:t xml:space="preserve"> and Strengthening of Argentina’s Epidemiological System</w:t>
            </w:r>
          </w:p>
        </w:tc>
      </w:tr>
      <w:tr w:rsidR="00E03DE1" w:rsidRPr="00816C1F">
        <w:trPr>
          <w:trHeight w:val="390"/>
          <w:tblCellSpacing w:w="0" w:type="dxa"/>
        </w:trPr>
        <w:tc>
          <w:tcPr>
            <w:tcW w:w="4250" w:type="pct"/>
            <w:vAlign w:val="center"/>
          </w:tcPr>
          <w:p w:rsidR="00E03DE1" w:rsidRPr="00816C1F" w:rsidRDefault="00E03DE1" w:rsidP="003262E3">
            <w:pPr>
              <w:jc w:val="center"/>
              <w:rPr>
                <w:b/>
              </w:rPr>
            </w:pPr>
          </w:p>
        </w:tc>
      </w:tr>
      <w:tr w:rsidR="00E03DE1" w:rsidRPr="00816C1F">
        <w:trPr>
          <w:trHeight w:val="390"/>
          <w:tblCellSpacing w:w="0" w:type="dxa"/>
        </w:trPr>
        <w:tc>
          <w:tcPr>
            <w:tcW w:w="4250" w:type="pct"/>
            <w:vAlign w:val="center"/>
          </w:tcPr>
          <w:p w:rsidR="00E03DE1" w:rsidRPr="00816C1F" w:rsidRDefault="00F57644" w:rsidP="003262E3">
            <w:pPr>
              <w:jc w:val="center"/>
              <w:rPr>
                <w:b/>
              </w:rPr>
            </w:pPr>
            <w:r w:rsidRPr="00816C1F">
              <w:rPr>
                <w:b/>
              </w:rPr>
              <w:t>TABLE OF CONTENTS</w:t>
            </w:r>
          </w:p>
        </w:tc>
      </w:tr>
    </w:tbl>
    <w:p w:rsidR="00E03DE1" w:rsidRPr="00816C1F" w:rsidRDefault="00E03DE1" w:rsidP="003262E3">
      <w:pPr>
        <w:jc w:val="center"/>
        <w:rPr>
          <w:vanish/>
        </w:rPr>
      </w:pPr>
    </w:p>
    <w:tbl>
      <w:tblPr>
        <w:tblW w:w="5000" w:type="pct"/>
        <w:tblCellSpacing w:w="0" w:type="dxa"/>
        <w:tblCellMar>
          <w:left w:w="0" w:type="dxa"/>
          <w:right w:w="0" w:type="dxa"/>
        </w:tblCellMar>
        <w:tblLook w:val="0000" w:firstRow="0" w:lastRow="0" w:firstColumn="0" w:lastColumn="0" w:noHBand="0" w:noVBand="0"/>
      </w:tblPr>
      <w:tblGrid>
        <w:gridCol w:w="8634"/>
        <w:gridCol w:w="6"/>
      </w:tblGrid>
      <w:tr w:rsidR="00E03DE1" w:rsidRPr="00816C1F">
        <w:trPr>
          <w:tblCellSpacing w:w="0" w:type="dxa"/>
        </w:trPr>
        <w:tc>
          <w:tcPr>
            <w:tcW w:w="0" w:type="auto"/>
            <w:gridSpan w:val="2"/>
            <w:vAlign w:val="center"/>
          </w:tcPr>
          <w:p w:rsidR="00E03DE1" w:rsidRPr="00816C1F" w:rsidRDefault="00E03DE1" w:rsidP="003262E3">
            <w:pPr>
              <w:jc w:val="center"/>
            </w:pPr>
          </w:p>
        </w:tc>
      </w:tr>
      <w:tr w:rsidR="00E03DE1" w:rsidRPr="00816C1F">
        <w:trPr>
          <w:tblCellSpacing w:w="0" w:type="dxa"/>
        </w:trPr>
        <w:tc>
          <w:tcPr>
            <w:tcW w:w="0" w:type="auto"/>
            <w:vAlign w:val="center"/>
          </w:tcPr>
          <w:tbl>
            <w:tblPr>
              <w:tblW w:w="5000" w:type="pct"/>
              <w:jc w:val="center"/>
              <w:tblCellMar>
                <w:top w:w="10" w:type="dxa"/>
                <w:left w:w="10" w:type="dxa"/>
                <w:bottom w:w="10" w:type="dxa"/>
                <w:right w:w="10" w:type="dxa"/>
              </w:tblCellMar>
              <w:tblLook w:val="0000" w:firstRow="0" w:lastRow="0" w:firstColumn="0" w:lastColumn="0" w:noHBand="0" w:noVBand="0"/>
            </w:tblPr>
            <w:tblGrid>
              <w:gridCol w:w="8634"/>
            </w:tblGrid>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jc w:val="both"/>
                    <w:rPr>
                      <w:color w:val="0000FF"/>
                    </w:rPr>
                  </w:pPr>
                  <w:r w:rsidRPr="00816C1F">
                    <w:t>Data Sheet</w:t>
                  </w:r>
                </w:p>
              </w:tc>
            </w:tr>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A. Basic Information</w:t>
                  </w:r>
                </w:p>
              </w:tc>
            </w:tr>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B. Key Dates</w:t>
                  </w:r>
                </w:p>
              </w:tc>
            </w:tr>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C. Ratings Summary</w:t>
                  </w:r>
                </w:p>
              </w:tc>
            </w:tr>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D. Sector and Theme Codes</w:t>
                  </w:r>
                </w:p>
              </w:tc>
            </w:tr>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E. Bank Staff</w:t>
                  </w:r>
                </w:p>
              </w:tc>
            </w:tr>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F. Results Framework Analysis</w:t>
                  </w:r>
                </w:p>
              </w:tc>
            </w:tr>
            <w:tr w:rsidR="00E7533E" w:rsidRPr="00816C1F" w:rsidTr="00E7533E">
              <w:trPr>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 xml:space="preserve">G. Ratings of </w:t>
                  </w:r>
                  <w:r w:rsidR="00F85DAD" w:rsidRPr="00816C1F">
                    <w:rPr>
                      <w:color w:val="000000"/>
                    </w:rPr>
                    <w:t>Project</w:t>
                  </w:r>
                  <w:r w:rsidRPr="00816C1F">
                    <w:rPr>
                      <w:color w:val="000000"/>
                    </w:rPr>
                    <w:t xml:space="preserve"> Performance in ISRs</w:t>
                  </w:r>
                </w:p>
              </w:tc>
            </w:tr>
            <w:tr w:rsidR="00E7533E" w:rsidRPr="00816C1F" w:rsidTr="00033073">
              <w:trPr>
                <w:trHeight w:val="70"/>
                <w:jc w:val="center"/>
              </w:trPr>
              <w:tc>
                <w:tcPr>
                  <w:tcW w:w="0" w:type="auto"/>
                  <w:tcBorders>
                    <w:top w:val="nil"/>
                    <w:left w:val="nil"/>
                    <w:bottom w:val="nil"/>
                    <w:right w:val="nil"/>
                  </w:tcBorders>
                  <w:vAlign w:val="center"/>
                </w:tcPr>
                <w:p w:rsidR="00E7533E" w:rsidRPr="00816C1F" w:rsidRDefault="00E7533E" w:rsidP="003262E3">
                  <w:pPr>
                    <w:tabs>
                      <w:tab w:val="left" w:pos="380"/>
                    </w:tabs>
                    <w:jc w:val="both"/>
                    <w:rPr>
                      <w:color w:val="000000"/>
                    </w:rPr>
                  </w:pPr>
                  <w:r w:rsidRPr="00816C1F">
                    <w:rPr>
                      <w:color w:val="000000"/>
                    </w:rPr>
                    <w:tab/>
                    <w:t xml:space="preserve">H. Restructuring </w:t>
                  </w:r>
                </w:p>
              </w:tc>
            </w:tr>
            <w:tr w:rsidR="00C67D43" w:rsidRPr="00816C1F" w:rsidTr="00E7533E">
              <w:trPr>
                <w:jc w:val="center"/>
              </w:trPr>
              <w:tc>
                <w:tcPr>
                  <w:tcW w:w="0" w:type="auto"/>
                  <w:tcBorders>
                    <w:top w:val="nil"/>
                    <w:left w:val="nil"/>
                    <w:bottom w:val="nil"/>
                    <w:right w:val="nil"/>
                  </w:tcBorders>
                  <w:vAlign w:val="center"/>
                </w:tcPr>
                <w:p w:rsidR="00C67D43" w:rsidRPr="00816C1F" w:rsidRDefault="00E07BAC" w:rsidP="003227E8">
                  <w:pPr>
                    <w:tabs>
                      <w:tab w:val="left" w:pos="380"/>
                    </w:tabs>
                    <w:jc w:val="both"/>
                    <w:rPr>
                      <w:color w:val="0000FF"/>
                    </w:rPr>
                  </w:pPr>
                  <w:r w:rsidRPr="00816C1F">
                    <w:rPr>
                      <w:color w:val="000000"/>
                    </w:rPr>
                    <w:tab/>
                  </w:r>
                  <w:r w:rsidR="00C67D43" w:rsidRPr="00816C1F">
                    <w:t xml:space="preserve">I.  Disbursement </w:t>
                  </w:r>
                  <w:r w:rsidR="003227E8" w:rsidRPr="00816C1F">
                    <w:t>Profile</w:t>
                  </w:r>
                </w:p>
              </w:tc>
            </w:tr>
          </w:tbl>
          <w:p w:rsidR="00E03DE1" w:rsidRPr="00816C1F" w:rsidRDefault="00E03DE1" w:rsidP="003262E3">
            <w:pPr>
              <w:jc w:val="both"/>
            </w:pPr>
          </w:p>
          <w:p w:rsidR="004713F4" w:rsidRDefault="00AD0BB7">
            <w:pPr>
              <w:pStyle w:val="TOC2"/>
              <w:rPr>
                <w:rFonts w:asciiTheme="minorHAnsi" w:eastAsiaTheme="minorEastAsia" w:hAnsiTheme="minorHAnsi" w:cstheme="minorBidi"/>
                <w:noProof/>
                <w:sz w:val="22"/>
                <w:szCs w:val="22"/>
                <w:lang w:eastAsia="en-US"/>
              </w:rPr>
            </w:pPr>
            <w:r w:rsidRPr="00816C1F">
              <w:fldChar w:fldCharType="begin"/>
            </w:r>
            <w:r w:rsidRPr="00816C1F">
              <w:instrText xml:space="preserve"> TOC \o "2-2" \h \z \u </w:instrText>
            </w:r>
            <w:r w:rsidRPr="00816C1F">
              <w:fldChar w:fldCharType="separate"/>
            </w:r>
            <w:hyperlink w:anchor="_Toc384896510" w:history="1">
              <w:r w:rsidR="004713F4" w:rsidRPr="00EC1C8C">
                <w:rPr>
                  <w:rStyle w:val="Hyperlink"/>
                  <w:noProof/>
                </w:rPr>
                <w:t>1. Project Context, Development Objectives and Design</w:t>
              </w:r>
              <w:r w:rsidR="004713F4">
                <w:rPr>
                  <w:noProof/>
                  <w:webHidden/>
                </w:rPr>
                <w:tab/>
              </w:r>
              <w:r w:rsidR="004713F4">
                <w:rPr>
                  <w:noProof/>
                  <w:webHidden/>
                </w:rPr>
                <w:fldChar w:fldCharType="begin"/>
              </w:r>
              <w:r w:rsidR="004713F4">
                <w:rPr>
                  <w:noProof/>
                  <w:webHidden/>
                </w:rPr>
                <w:instrText xml:space="preserve"> PAGEREF _Toc384896510 \h </w:instrText>
              </w:r>
              <w:r w:rsidR="004713F4">
                <w:rPr>
                  <w:noProof/>
                  <w:webHidden/>
                </w:rPr>
              </w:r>
              <w:r w:rsidR="004713F4">
                <w:rPr>
                  <w:noProof/>
                  <w:webHidden/>
                </w:rPr>
                <w:fldChar w:fldCharType="separate"/>
              </w:r>
              <w:r w:rsidR="00EB2928">
                <w:rPr>
                  <w:noProof/>
                  <w:webHidden/>
                </w:rPr>
                <w:t>1</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1" w:history="1">
              <w:r w:rsidR="004713F4" w:rsidRPr="00EC1C8C">
                <w:rPr>
                  <w:rStyle w:val="Hyperlink"/>
                  <w:noProof/>
                </w:rPr>
                <w:t>2. Key Factors Affecting Implementation and Outcomes</w:t>
              </w:r>
              <w:r w:rsidR="004713F4">
                <w:rPr>
                  <w:noProof/>
                  <w:webHidden/>
                </w:rPr>
                <w:tab/>
              </w:r>
              <w:r w:rsidR="004713F4">
                <w:rPr>
                  <w:noProof/>
                  <w:webHidden/>
                </w:rPr>
                <w:fldChar w:fldCharType="begin"/>
              </w:r>
              <w:r w:rsidR="004713F4">
                <w:rPr>
                  <w:noProof/>
                  <w:webHidden/>
                </w:rPr>
                <w:instrText xml:space="preserve"> PAGEREF _Toc384896511 \h </w:instrText>
              </w:r>
              <w:r w:rsidR="004713F4">
                <w:rPr>
                  <w:noProof/>
                  <w:webHidden/>
                </w:rPr>
              </w:r>
              <w:r w:rsidR="004713F4">
                <w:rPr>
                  <w:noProof/>
                  <w:webHidden/>
                </w:rPr>
                <w:fldChar w:fldCharType="separate"/>
              </w:r>
              <w:r w:rsidR="00EB2928">
                <w:rPr>
                  <w:noProof/>
                  <w:webHidden/>
                </w:rPr>
                <w:t>6</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2" w:history="1">
              <w:r w:rsidR="004713F4" w:rsidRPr="00EC1C8C">
                <w:rPr>
                  <w:rStyle w:val="Hyperlink"/>
                  <w:noProof/>
                </w:rPr>
                <w:t>3. Assessment of Outcomes</w:t>
              </w:r>
              <w:r w:rsidR="004713F4">
                <w:rPr>
                  <w:noProof/>
                  <w:webHidden/>
                </w:rPr>
                <w:tab/>
              </w:r>
              <w:r w:rsidR="004713F4">
                <w:rPr>
                  <w:noProof/>
                  <w:webHidden/>
                </w:rPr>
                <w:fldChar w:fldCharType="begin"/>
              </w:r>
              <w:r w:rsidR="004713F4">
                <w:rPr>
                  <w:noProof/>
                  <w:webHidden/>
                </w:rPr>
                <w:instrText xml:space="preserve"> PAGEREF _Toc384896512 \h </w:instrText>
              </w:r>
              <w:r w:rsidR="004713F4">
                <w:rPr>
                  <w:noProof/>
                  <w:webHidden/>
                </w:rPr>
              </w:r>
              <w:r w:rsidR="004713F4">
                <w:rPr>
                  <w:noProof/>
                  <w:webHidden/>
                </w:rPr>
                <w:fldChar w:fldCharType="separate"/>
              </w:r>
              <w:r w:rsidR="00EB2928">
                <w:rPr>
                  <w:noProof/>
                  <w:webHidden/>
                </w:rPr>
                <w:t>11</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3" w:history="1">
              <w:r w:rsidR="004713F4" w:rsidRPr="00EC1C8C">
                <w:rPr>
                  <w:rStyle w:val="Hyperlink"/>
                  <w:noProof/>
                </w:rPr>
                <w:t>4. Assessment of Risk to Development Outcome</w:t>
              </w:r>
              <w:r w:rsidR="004713F4">
                <w:rPr>
                  <w:noProof/>
                  <w:webHidden/>
                </w:rPr>
                <w:tab/>
              </w:r>
              <w:r w:rsidR="004713F4">
                <w:rPr>
                  <w:noProof/>
                  <w:webHidden/>
                </w:rPr>
                <w:fldChar w:fldCharType="begin"/>
              </w:r>
              <w:r w:rsidR="004713F4">
                <w:rPr>
                  <w:noProof/>
                  <w:webHidden/>
                </w:rPr>
                <w:instrText xml:space="preserve"> PAGEREF _Toc384896513 \h </w:instrText>
              </w:r>
              <w:r w:rsidR="004713F4">
                <w:rPr>
                  <w:noProof/>
                  <w:webHidden/>
                </w:rPr>
              </w:r>
              <w:r w:rsidR="004713F4">
                <w:rPr>
                  <w:noProof/>
                  <w:webHidden/>
                </w:rPr>
                <w:fldChar w:fldCharType="separate"/>
              </w:r>
              <w:r w:rsidR="00EB2928">
                <w:rPr>
                  <w:noProof/>
                  <w:webHidden/>
                </w:rPr>
                <w:t>16</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4" w:history="1">
              <w:r w:rsidR="004713F4" w:rsidRPr="00EC1C8C">
                <w:rPr>
                  <w:rStyle w:val="Hyperlink"/>
                  <w:noProof/>
                </w:rPr>
                <w:t>5. Assessment of Bank and Borrower Performance</w:t>
              </w:r>
              <w:r w:rsidR="004713F4">
                <w:rPr>
                  <w:noProof/>
                  <w:webHidden/>
                </w:rPr>
                <w:tab/>
              </w:r>
              <w:r w:rsidR="004713F4">
                <w:rPr>
                  <w:noProof/>
                  <w:webHidden/>
                </w:rPr>
                <w:fldChar w:fldCharType="begin"/>
              </w:r>
              <w:r w:rsidR="004713F4">
                <w:rPr>
                  <w:noProof/>
                  <w:webHidden/>
                </w:rPr>
                <w:instrText xml:space="preserve"> PAGEREF _Toc384896514 \h </w:instrText>
              </w:r>
              <w:r w:rsidR="004713F4">
                <w:rPr>
                  <w:noProof/>
                  <w:webHidden/>
                </w:rPr>
              </w:r>
              <w:r w:rsidR="004713F4">
                <w:rPr>
                  <w:noProof/>
                  <w:webHidden/>
                </w:rPr>
                <w:fldChar w:fldCharType="separate"/>
              </w:r>
              <w:r w:rsidR="00EB2928">
                <w:rPr>
                  <w:noProof/>
                  <w:webHidden/>
                </w:rPr>
                <w:t>16</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5" w:history="1">
              <w:r w:rsidR="004713F4" w:rsidRPr="00EC1C8C">
                <w:rPr>
                  <w:rStyle w:val="Hyperlink"/>
                  <w:noProof/>
                </w:rPr>
                <w:t>6. Lessons Learned</w:t>
              </w:r>
              <w:r w:rsidR="004713F4">
                <w:rPr>
                  <w:noProof/>
                  <w:webHidden/>
                </w:rPr>
                <w:tab/>
              </w:r>
              <w:r w:rsidR="004713F4">
                <w:rPr>
                  <w:noProof/>
                  <w:webHidden/>
                </w:rPr>
                <w:fldChar w:fldCharType="begin"/>
              </w:r>
              <w:r w:rsidR="004713F4">
                <w:rPr>
                  <w:noProof/>
                  <w:webHidden/>
                </w:rPr>
                <w:instrText xml:space="preserve"> PAGEREF _Toc384896515 \h </w:instrText>
              </w:r>
              <w:r w:rsidR="004713F4">
                <w:rPr>
                  <w:noProof/>
                  <w:webHidden/>
                </w:rPr>
              </w:r>
              <w:r w:rsidR="004713F4">
                <w:rPr>
                  <w:noProof/>
                  <w:webHidden/>
                </w:rPr>
                <w:fldChar w:fldCharType="separate"/>
              </w:r>
              <w:r w:rsidR="00EB2928">
                <w:rPr>
                  <w:noProof/>
                  <w:webHidden/>
                </w:rPr>
                <w:t>18</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6" w:history="1">
              <w:r w:rsidR="004713F4" w:rsidRPr="00EC1C8C">
                <w:rPr>
                  <w:rStyle w:val="Hyperlink"/>
                  <w:noProof/>
                </w:rPr>
                <w:t>7. Comments on Issues Raised by Borrower/Implementing Agencies/Partners</w:t>
              </w:r>
              <w:r w:rsidR="004713F4">
                <w:rPr>
                  <w:noProof/>
                  <w:webHidden/>
                </w:rPr>
                <w:tab/>
              </w:r>
              <w:r w:rsidR="004713F4">
                <w:rPr>
                  <w:noProof/>
                  <w:webHidden/>
                </w:rPr>
                <w:fldChar w:fldCharType="begin"/>
              </w:r>
              <w:r w:rsidR="004713F4">
                <w:rPr>
                  <w:noProof/>
                  <w:webHidden/>
                </w:rPr>
                <w:instrText xml:space="preserve"> PAGEREF _Toc384896516 \h </w:instrText>
              </w:r>
              <w:r w:rsidR="004713F4">
                <w:rPr>
                  <w:noProof/>
                  <w:webHidden/>
                </w:rPr>
              </w:r>
              <w:r w:rsidR="004713F4">
                <w:rPr>
                  <w:noProof/>
                  <w:webHidden/>
                </w:rPr>
                <w:fldChar w:fldCharType="separate"/>
              </w:r>
              <w:r w:rsidR="00EB2928">
                <w:rPr>
                  <w:noProof/>
                  <w:webHidden/>
                </w:rPr>
                <w:t>19</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7" w:history="1">
              <w:r w:rsidR="004713F4" w:rsidRPr="00EC1C8C">
                <w:rPr>
                  <w:rStyle w:val="Hyperlink"/>
                  <w:noProof/>
                </w:rPr>
                <w:t>Annex 1. Project Costs and Financing</w:t>
              </w:r>
              <w:r w:rsidR="004713F4">
                <w:rPr>
                  <w:noProof/>
                  <w:webHidden/>
                </w:rPr>
                <w:tab/>
              </w:r>
              <w:r w:rsidR="004713F4">
                <w:rPr>
                  <w:noProof/>
                  <w:webHidden/>
                </w:rPr>
                <w:fldChar w:fldCharType="begin"/>
              </w:r>
              <w:r w:rsidR="004713F4">
                <w:rPr>
                  <w:noProof/>
                  <w:webHidden/>
                </w:rPr>
                <w:instrText xml:space="preserve"> PAGEREF _Toc384896517 \h </w:instrText>
              </w:r>
              <w:r w:rsidR="004713F4">
                <w:rPr>
                  <w:noProof/>
                  <w:webHidden/>
                </w:rPr>
              </w:r>
              <w:r w:rsidR="004713F4">
                <w:rPr>
                  <w:noProof/>
                  <w:webHidden/>
                </w:rPr>
                <w:fldChar w:fldCharType="separate"/>
              </w:r>
              <w:r w:rsidR="00EB2928">
                <w:rPr>
                  <w:noProof/>
                  <w:webHidden/>
                </w:rPr>
                <w:t>20</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8" w:history="1">
              <w:r w:rsidR="004713F4" w:rsidRPr="00EC1C8C">
                <w:rPr>
                  <w:rStyle w:val="Hyperlink"/>
                  <w:noProof/>
                </w:rPr>
                <w:t>Annex 2. Outputs by Component</w:t>
              </w:r>
              <w:r w:rsidR="004713F4">
                <w:rPr>
                  <w:noProof/>
                  <w:webHidden/>
                </w:rPr>
                <w:tab/>
              </w:r>
              <w:r w:rsidR="004713F4">
                <w:rPr>
                  <w:noProof/>
                  <w:webHidden/>
                </w:rPr>
                <w:fldChar w:fldCharType="begin"/>
              </w:r>
              <w:r w:rsidR="004713F4">
                <w:rPr>
                  <w:noProof/>
                  <w:webHidden/>
                </w:rPr>
                <w:instrText xml:space="preserve"> PAGEREF _Toc384896518 \h </w:instrText>
              </w:r>
              <w:r w:rsidR="004713F4">
                <w:rPr>
                  <w:noProof/>
                  <w:webHidden/>
                </w:rPr>
              </w:r>
              <w:r w:rsidR="004713F4">
                <w:rPr>
                  <w:noProof/>
                  <w:webHidden/>
                </w:rPr>
                <w:fldChar w:fldCharType="separate"/>
              </w:r>
              <w:r w:rsidR="00EB2928">
                <w:rPr>
                  <w:noProof/>
                  <w:webHidden/>
                </w:rPr>
                <w:t>21</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19" w:history="1">
              <w:r w:rsidR="004713F4" w:rsidRPr="00EC1C8C">
                <w:rPr>
                  <w:rStyle w:val="Hyperlink"/>
                  <w:noProof/>
                </w:rPr>
                <w:t>Annex 3. Economic and Financial Analysis</w:t>
              </w:r>
              <w:r w:rsidR="004713F4">
                <w:rPr>
                  <w:noProof/>
                  <w:webHidden/>
                </w:rPr>
                <w:tab/>
              </w:r>
              <w:r w:rsidR="004713F4">
                <w:rPr>
                  <w:noProof/>
                  <w:webHidden/>
                </w:rPr>
                <w:fldChar w:fldCharType="begin"/>
              </w:r>
              <w:r w:rsidR="004713F4">
                <w:rPr>
                  <w:noProof/>
                  <w:webHidden/>
                </w:rPr>
                <w:instrText xml:space="preserve"> PAGEREF _Toc384896519 \h </w:instrText>
              </w:r>
              <w:r w:rsidR="004713F4">
                <w:rPr>
                  <w:noProof/>
                  <w:webHidden/>
                </w:rPr>
              </w:r>
              <w:r w:rsidR="004713F4">
                <w:rPr>
                  <w:noProof/>
                  <w:webHidden/>
                </w:rPr>
                <w:fldChar w:fldCharType="separate"/>
              </w:r>
              <w:r w:rsidR="00EB2928">
                <w:rPr>
                  <w:noProof/>
                  <w:webHidden/>
                </w:rPr>
                <w:t>27</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20" w:history="1">
              <w:r w:rsidR="004713F4" w:rsidRPr="00EC1C8C">
                <w:rPr>
                  <w:rStyle w:val="Hyperlink"/>
                  <w:noProof/>
                </w:rPr>
                <w:t>Annex 4. Bank Lending and Implementation Support/Supervision Processes</w:t>
              </w:r>
              <w:r w:rsidR="004713F4">
                <w:rPr>
                  <w:noProof/>
                  <w:webHidden/>
                </w:rPr>
                <w:tab/>
              </w:r>
              <w:r w:rsidR="004713F4">
                <w:rPr>
                  <w:noProof/>
                  <w:webHidden/>
                </w:rPr>
                <w:fldChar w:fldCharType="begin"/>
              </w:r>
              <w:r w:rsidR="004713F4">
                <w:rPr>
                  <w:noProof/>
                  <w:webHidden/>
                </w:rPr>
                <w:instrText xml:space="preserve"> PAGEREF _Toc384896520 \h </w:instrText>
              </w:r>
              <w:r w:rsidR="004713F4">
                <w:rPr>
                  <w:noProof/>
                  <w:webHidden/>
                </w:rPr>
              </w:r>
              <w:r w:rsidR="004713F4">
                <w:rPr>
                  <w:noProof/>
                  <w:webHidden/>
                </w:rPr>
                <w:fldChar w:fldCharType="separate"/>
              </w:r>
              <w:r w:rsidR="00EB2928">
                <w:rPr>
                  <w:noProof/>
                  <w:webHidden/>
                </w:rPr>
                <w:t>31</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21" w:history="1">
              <w:r w:rsidR="004713F4" w:rsidRPr="00EC1C8C">
                <w:rPr>
                  <w:rStyle w:val="Hyperlink"/>
                  <w:noProof/>
                </w:rPr>
                <w:t>Annex 5. Beneficiary Survey Results</w:t>
              </w:r>
              <w:r w:rsidR="004713F4">
                <w:rPr>
                  <w:noProof/>
                  <w:webHidden/>
                </w:rPr>
                <w:tab/>
              </w:r>
              <w:r w:rsidR="004713F4">
                <w:rPr>
                  <w:noProof/>
                  <w:webHidden/>
                </w:rPr>
                <w:fldChar w:fldCharType="begin"/>
              </w:r>
              <w:r w:rsidR="004713F4">
                <w:rPr>
                  <w:noProof/>
                  <w:webHidden/>
                </w:rPr>
                <w:instrText xml:space="preserve"> PAGEREF _Toc384896521 \h </w:instrText>
              </w:r>
              <w:r w:rsidR="004713F4">
                <w:rPr>
                  <w:noProof/>
                  <w:webHidden/>
                </w:rPr>
              </w:r>
              <w:r w:rsidR="004713F4">
                <w:rPr>
                  <w:noProof/>
                  <w:webHidden/>
                </w:rPr>
                <w:fldChar w:fldCharType="separate"/>
              </w:r>
              <w:r w:rsidR="00EB2928">
                <w:rPr>
                  <w:noProof/>
                  <w:webHidden/>
                </w:rPr>
                <w:t>33</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22" w:history="1">
              <w:r w:rsidR="004713F4" w:rsidRPr="00EC1C8C">
                <w:rPr>
                  <w:rStyle w:val="Hyperlink"/>
                  <w:noProof/>
                </w:rPr>
                <w:t>Annex 6. Stakeholder Workshop Report and Results</w:t>
              </w:r>
              <w:r w:rsidR="004713F4">
                <w:rPr>
                  <w:noProof/>
                  <w:webHidden/>
                </w:rPr>
                <w:tab/>
              </w:r>
              <w:r w:rsidR="004713F4">
                <w:rPr>
                  <w:noProof/>
                  <w:webHidden/>
                </w:rPr>
                <w:fldChar w:fldCharType="begin"/>
              </w:r>
              <w:r w:rsidR="004713F4">
                <w:rPr>
                  <w:noProof/>
                  <w:webHidden/>
                </w:rPr>
                <w:instrText xml:space="preserve"> PAGEREF _Toc384896522 \h </w:instrText>
              </w:r>
              <w:r w:rsidR="004713F4">
                <w:rPr>
                  <w:noProof/>
                  <w:webHidden/>
                </w:rPr>
              </w:r>
              <w:r w:rsidR="004713F4">
                <w:rPr>
                  <w:noProof/>
                  <w:webHidden/>
                </w:rPr>
                <w:fldChar w:fldCharType="separate"/>
              </w:r>
              <w:r w:rsidR="00EB2928">
                <w:rPr>
                  <w:noProof/>
                  <w:webHidden/>
                </w:rPr>
                <w:t>34</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23" w:history="1">
              <w:r w:rsidR="004713F4" w:rsidRPr="00EC1C8C">
                <w:rPr>
                  <w:rStyle w:val="Hyperlink"/>
                  <w:noProof/>
                </w:rPr>
                <w:t>Annex 7. Summary of Borrower's ICR and/or Comments on Draft ICR</w:t>
              </w:r>
              <w:r w:rsidR="004713F4">
                <w:rPr>
                  <w:noProof/>
                  <w:webHidden/>
                </w:rPr>
                <w:tab/>
              </w:r>
              <w:r w:rsidR="004713F4">
                <w:rPr>
                  <w:noProof/>
                  <w:webHidden/>
                </w:rPr>
                <w:fldChar w:fldCharType="begin"/>
              </w:r>
              <w:r w:rsidR="004713F4">
                <w:rPr>
                  <w:noProof/>
                  <w:webHidden/>
                </w:rPr>
                <w:instrText xml:space="preserve"> PAGEREF _Toc384896523 \h </w:instrText>
              </w:r>
              <w:r w:rsidR="004713F4">
                <w:rPr>
                  <w:noProof/>
                  <w:webHidden/>
                </w:rPr>
              </w:r>
              <w:r w:rsidR="004713F4">
                <w:rPr>
                  <w:noProof/>
                  <w:webHidden/>
                </w:rPr>
                <w:fldChar w:fldCharType="separate"/>
              </w:r>
              <w:r w:rsidR="00EB2928">
                <w:rPr>
                  <w:noProof/>
                  <w:webHidden/>
                </w:rPr>
                <w:t>35</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24" w:history="1">
              <w:r w:rsidR="004713F4" w:rsidRPr="00EC1C8C">
                <w:rPr>
                  <w:rStyle w:val="Hyperlink"/>
                  <w:noProof/>
                </w:rPr>
                <w:t>Annex 8. Comments of Cofinanciers and Other Partners/Stakeholders</w:t>
              </w:r>
              <w:r w:rsidR="004713F4">
                <w:rPr>
                  <w:noProof/>
                  <w:webHidden/>
                </w:rPr>
                <w:tab/>
              </w:r>
              <w:r w:rsidR="004713F4">
                <w:rPr>
                  <w:noProof/>
                  <w:webHidden/>
                </w:rPr>
                <w:fldChar w:fldCharType="begin"/>
              </w:r>
              <w:r w:rsidR="004713F4">
                <w:rPr>
                  <w:noProof/>
                  <w:webHidden/>
                </w:rPr>
                <w:instrText xml:space="preserve"> PAGEREF _Toc384896524 \h </w:instrText>
              </w:r>
              <w:r w:rsidR="004713F4">
                <w:rPr>
                  <w:noProof/>
                  <w:webHidden/>
                </w:rPr>
              </w:r>
              <w:r w:rsidR="004713F4">
                <w:rPr>
                  <w:noProof/>
                  <w:webHidden/>
                </w:rPr>
                <w:fldChar w:fldCharType="separate"/>
              </w:r>
              <w:r w:rsidR="00EB2928">
                <w:rPr>
                  <w:noProof/>
                  <w:webHidden/>
                </w:rPr>
                <w:t>47</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25" w:history="1">
              <w:r w:rsidR="004713F4" w:rsidRPr="00EC1C8C">
                <w:rPr>
                  <w:rStyle w:val="Hyperlink"/>
                  <w:noProof/>
                </w:rPr>
                <w:t>Annex 9. List of Supporting Documents</w:t>
              </w:r>
              <w:r w:rsidR="004713F4">
                <w:rPr>
                  <w:noProof/>
                  <w:webHidden/>
                </w:rPr>
                <w:tab/>
              </w:r>
              <w:r w:rsidR="004713F4">
                <w:rPr>
                  <w:noProof/>
                  <w:webHidden/>
                </w:rPr>
                <w:fldChar w:fldCharType="begin"/>
              </w:r>
              <w:r w:rsidR="004713F4">
                <w:rPr>
                  <w:noProof/>
                  <w:webHidden/>
                </w:rPr>
                <w:instrText xml:space="preserve"> PAGEREF _Toc384896525 \h </w:instrText>
              </w:r>
              <w:r w:rsidR="004713F4">
                <w:rPr>
                  <w:noProof/>
                  <w:webHidden/>
                </w:rPr>
              </w:r>
              <w:r w:rsidR="004713F4">
                <w:rPr>
                  <w:noProof/>
                  <w:webHidden/>
                </w:rPr>
                <w:fldChar w:fldCharType="separate"/>
              </w:r>
              <w:r w:rsidR="00EB2928">
                <w:rPr>
                  <w:noProof/>
                  <w:webHidden/>
                </w:rPr>
                <w:t>48</w:t>
              </w:r>
              <w:r w:rsidR="004713F4">
                <w:rPr>
                  <w:noProof/>
                  <w:webHidden/>
                </w:rPr>
                <w:fldChar w:fldCharType="end"/>
              </w:r>
            </w:hyperlink>
          </w:p>
          <w:p w:rsidR="004713F4" w:rsidRDefault="00936223">
            <w:pPr>
              <w:pStyle w:val="TOC2"/>
              <w:rPr>
                <w:rFonts w:asciiTheme="minorHAnsi" w:eastAsiaTheme="minorEastAsia" w:hAnsiTheme="minorHAnsi" w:cstheme="minorBidi"/>
                <w:noProof/>
                <w:sz w:val="22"/>
                <w:szCs w:val="22"/>
                <w:lang w:eastAsia="en-US"/>
              </w:rPr>
            </w:pPr>
            <w:hyperlink w:anchor="_Toc384896526" w:history="1">
              <w:r w:rsidR="004713F4" w:rsidRPr="00EC1C8C">
                <w:rPr>
                  <w:rStyle w:val="Hyperlink"/>
                  <w:noProof/>
                  <w:lang w:val="es-ES"/>
                </w:rPr>
                <w:t>Annex 10. Map</w:t>
              </w:r>
              <w:r w:rsidR="004713F4">
                <w:rPr>
                  <w:noProof/>
                  <w:webHidden/>
                </w:rPr>
                <w:tab/>
              </w:r>
              <w:r w:rsidR="004713F4">
                <w:rPr>
                  <w:noProof/>
                  <w:webHidden/>
                </w:rPr>
                <w:fldChar w:fldCharType="begin"/>
              </w:r>
              <w:r w:rsidR="004713F4">
                <w:rPr>
                  <w:noProof/>
                  <w:webHidden/>
                </w:rPr>
                <w:instrText xml:space="preserve"> PAGEREF _Toc384896526 \h </w:instrText>
              </w:r>
              <w:r w:rsidR="004713F4">
                <w:rPr>
                  <w:noProof/>
                  <w:webHidden/>
                </w:rPr>
              </w:r>
              <w:r w:rsidR="004713F4">
                <w:rPr>
                  <w:noProof/>
                  <w:webHidden/>
                </w:rPr>
                <w:fldChar w:fldCharType="separate"/>
              </w:r>
              <w:r w:rsidR="00EB2928">
                <w:rPr>
                  <w:noProof/>
                  <w:webHidden/>
                </w:rPr>
                <w:t>50</w:t>
              </w:r>
              <w:r w:rsidR="004713F4">
                <w:rPr>
                  <w:noProof/>
                  <w:webHidden/>
                </w:rPr>
                <w:fldChar w:fldCharType="end"/>
              </w:r>
            </w:hyperlink>
          </w:p>
          <w:p w:rsidR="00AD0BB7" w:rsidRPr="00816C1F" w:rsidRDefault="00AD0BB7" w:rsidP="003262E3">
            <w:pPr>
              <w:jc w:val="both"/>
            </w:pPr>
            <w:r w:rsidRPr="00816C1F">
              <w:fldChar w:fldCharType="end"/>
            </w:r>
          </w:p>
          <w:p w:rsidR="00532407" w:rsidRPr="00816C1F" w:rsidRDefault="00532407" w:rsidP="003262E3">
            <w:pPr>
              <w:jc w:val="both"/>
            </w:pPr>
          </w:p>
          <w:p w:rsidR="00532407" w:rsidRPr="00816C1F" w:rsidRDefault="00532407" w:rsidP="003262E3">
            <w:pPr>
              <w:jc w:val="both"/>
            </w:pPr>
          </w:p>
          <w:p w:rsidR="00532407" w:rsidRPr="00816C1F" w:rsidRDefault="00532407" w:rsidP="003262E3">
            <w:pPr>
              <w:jc w:val="both"/>
            </w:pPr>
          </w:p>
          <w:p w:rsidR="003227E8" w:rsidRPr="00816C1F" w:rsidRDefault="003227E8" w:rsidP="003262E3">
            <w:pPr>
              <w:jc w:val="both"/>
            </w:pPr>
          </w:p>
          <w:p w:rsidR="003227E8" w:rsidRPr="00816C1F" w:rsidRDefault="003227E8" w:rsidP="003262E3">
            <w:pPr>
              <w:jc w:val="both"/>
            </w:pPr>
          </w:p>
          <w:p w:rsidR="003227E8" w:rsidRPr="00816C1F" w:rsidRDefault="003227E8" w:rsidP="003262E3">
            <w:pPr>
              <w:jc w:val="both"/>
            </w:pPr>
          </w:p>
          <w:p w:rsidR="003227E8" w:rsidRPr="00816C1F" w:rsidRDefault="003227E8" w:rsidP="003262E3">
            <w:pPr>
              <w:jc w:val="both"/>
            </w:pPr>
          </w:p>
          <w:p w:rsidR="003227E8" w:rsidRPr="00816C1F" w:rsidRDefault="003227E8" w:rsidP="003262E3">
            <w:pPr>
              <w:jc w:val="both"/>
            </w:pPr>
          </w:p>
          <w:p w:rsidR="003227E8" w:rsidRPr="00816C1F" w:rsidRDefault="003227E8" w:rsidP="003262E3">
            <w:pPr>
              <w:jc w:val="both"/>
            </w:pPr>
          </w:p>
          <w:p w:rsidR="00E7533E" w:rsidRPr="00816C1F" w:rsidRDefault="000411CD" w:rsidP="003262E3">
            <w:pPr>
              <w:jc w:val="both"/>
            </w:pPr>
            <w:r w:rsidRPr="00816C1F">
              <w:t xml:space="preserve"> </w:t>
            </w:r>
          </w:p>
        </w:tc>
        <w:tc>
          <w:tcPr>
            <w:tcW w:w="0" w:type="auto"/>
            <w:vAlign w:val="center"/>
          </w:tcPr>
          <w:p w:rsidR="00E03DE1" w:rsidRPr="00816C1F" w:rsidRDefault="00E03DE1" w:rsidP="003262E3">
            <w:pPr>
              <w:jc w:val="both"/>
            </w:pPr>
          </w:p>
        </w:tc>
      </w:tr>
    </w:tbl>
    <w:p w:rsidR="00532407" w:rsidRDefault="00AF7DEE" w:rsidP="00156F90">
      <w:pPr>
        <w:pStyle w:val="Heading1"/>
        <w:jc w:val="center"/>
      </w:pPr>
      <w:bookmarkStart w:id="12" w:name="_Toc354398947"/>
      <w:bookmarkStart w:id="13" w:name="_Toc358640858"/>
      <w:bookmarkStart w:id="14" w:name="_Toc358641364"/>
      <w:bookmarkStart w:id="15" w:name="_Toc358641492"/>
      <w:bookmarkStart w:id="16" w:name="_Toc358642183"/>
      <w:bookmarkStart w:id="17" w:name="_Toc358642393"/>
      <w:bookmarkStart w:id="18" w:name="_Toc358816189"/>
      <w:r w:rsidRPr="006132E4">
        <w:rPr>
          <w:sz w:val="28"/>
          <w:szCs w:val="28"/>
          <w:lang w:val="es-ES_tradnl"/>
        </w:rPr>
        <w:lastRenderedPageBreak/>
        <w:t xml:space="preserve">Data </w:t>
      </w:r>
      <w:r w:rsidRPr="006132E4">
        <w:rPr>
          <w:sz w:val="28"/>
          <w:szCs w:val="28"/>
        </w:rPr>
        <w:t>Sheet</w:t>
      </w:r>
      <w:bookmarkStart w:id="19" w:name="IMP_AGEN"/>
      <w:bookmarkStart w:id="20" w:name="EXT_PART"/>
      <w:bookmarkStart w:id="21" w:name="MILESTONE"/>
      <w:bookmarkStart w:id="22" w:name="SEC_3_1"/>
      <w:bookmarkStart w:id="23" w:name="SEC_3_2"/>
      <w:bookmarkStart w:id="24" w:name="SECTORS"/>
      <w:bookmarkStart w:id="25" w:name="THEMES"/>
      <w:bookmarkStart w:id="26" w:name="BANK_STAFF"/>
      <w:bookmarkStart w:id="27" w:name="PDO_INDICATORS"/>
      <w:bookmarkStart w:id="28" w:name="IO_INDICATORS"/>
      <w:bookmarkStart w:id="29" w:name="ARCHISR"/>
      <w:bookmarkStart w:id="30" w:name="restruc_fld"/>
      <w:bookmarkStart w:id="31" w:name="RESTRUCTURING_DATE"/>
      <w:bookmarkStart w:id="32" w:name="RESTRUCTURING_DATES"/>
      <w:bookmarkStart w:id="33" w:name="BOARD_APP_RESTR"/>
      <w:bookmarkStart w:id="34" w:name="DISBPROJ1"/>
      <w:bookmarkStart w:id="35" w:name="_Toc15801937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67"/>
        <w:gridCol w:w="2167"/>
        <w:gridCol w:w="2168"/>
        <w:gridCol w:w="2168"/>
      </w:tblGrid>
      <w:tr w:rsidR="00156F90" w:rsidTr="00156F90">
        <w:tc>
          <w:tcPr>
            <w:tcW w:w="8670" w:type="dxa"/>
            <w:gridSpan w:val="4"/>
            <w:tcBorders>
              <w:top w:val="single" w:sz="6" w:space="0" w:color="B1B1B1"/>
              <w:left w:val="single" w:sz="6" w:space="0" w:color="B1B1B1"/>
              <w:bottom w:val="single" w:sz="6" w:space="0" w:color="B1B1B1"/>
              <w:right w:val="single" w:sz="6" w:space="0" w:color="B1B1B1"/>
            </w:tcBorders>
            <w:shd w:val="clear" w:color="auto" w:fill="CDCCCC"/>
            <w:vAlign w:val="center"/>
          </w:tcPr>
          <w:tbl>
            <w:tblPr>
              <w:tblW w:w="5000" w:type="pct"/>
              <w:tblLayout w:type="fixed"/>
              <w:tblCellMar>
                <w:top w:w="15" w:type="dxa"/>
                <w:left w:w="15" w:type="dxa"/>
                <w:bottom w:w="15" w:type="dxa"/>
                <w:right w:w="15" w:type="dxa"/>
              </w:tblCellMar>
              <w:tblLook w:val="0000" w:firstRow="0" w:lastRow="0" w:firstColumn="0" w:lastColumn="0" w:noHBand="0" w:noVBand="0"/>
            </w:tblPr>
            <w:tblGrid>
              <w:gridCol w:w="8640"/>
            </w:tblGrid>
            <w:tr w:rsidR="00156F90" w:rsidTr="00156F90">
              <w:tc>
                <w:tcPr>
                  <w:tcW w:w="8640" w:type="dxa"/>
                  <w:tcBorders>
                    <w:top w:val="nil"/>
                    <w:left w:val="nil"/>
                    <w:bottom w:val="nil"/>
                    <w:right w:val="nil"/>
                  </w:tcBorders>
                  <w:shd w:val="clear" w:color="auto" w:fill="CDCCCC"/>
                </w:tcPr>
                <w:tbl>
                  <w:tblPr>
                    <w:tblW w:w="5000" w:type="pct"/>
                    <w:tblLayout w:type="fixed"/>
                    <w:tblCellMar>
                      <w:top w:w="10" w:type="dxa"/>
                      <w:left w:w="10" w:type="dxa"/>
                      <w:bottom w:w="10" w:type="dxa"/>
                      <w:right w:w="10" w:type="dxa"/>
                    </w:tblCellMar>
                    <w:tblLook w:val="0000" w:firstRow="0" w:lastRow="0" w:firstColumn="0" w:lastColumn="0" w:noHBand="0" w:noVBand="0"/>
                  </w:tblPr>
                  <w:tblGrid>
                    <w:gridCol w:w="8610"/>
                  </w:tblGrid>
                  <w:tr w:rsidR="00156F90" w:rsidTr="00156F90">
                    <w:tc>
                      <w:tcPr>
                        <w:tcW w:w="8610" w:type="dxa"/>
                        <w:tcBorders>
                          <w:top w:val="nil"/>
                          <w:left w:val="nil"/>
                          <w:bottom w:val="nil"/>
                          <w:right w:val="nil"/>
                        </w:tcBorders>
                        <w:shd w:val="clear" w:color="auto" w:fill="CDCCCC"/>
                        <w:vAlign w:val="center"/>
                      </w:tcPr>
                      <w:p w:rsidR="00156F90" w:rsidRDefault="00156F90" w:rsidP="00156F90">
                        <w:pPr>
                          <w:pStyle w:val="ICRTOC"/>
                          <w:keepLines/>
                        </w:pPr>
                        <w:bookmarkStart w:id="36" w:name="_IL1"/>
                        <w:r>
                          <w:rPr>
                            <w:rStyle w:val="Strong"/>
                          </w:rPr>
                          <w:t>A. Basic Information</w:t>
                        </w:r>
                        <w:bookmarkEnd w:id="36"/>
                        <w:r>
                          <w:t xml:space="preserve"> </w:t>
                        </w:r>
                      </w:p>
                    </w:tc>
                  </w:tr>
                </w:tbl>
                <w:p w:rsidR="00156F90" w:rsidRDefault="00156F90" w:rsidP="00156F90">
                  <w:pPr>
                    <w:pStyle w:val="Heading2"/>
                  </w:pPr>
                </w:p>
              </w:tc>
            </w:tr>
          </w:tbl>
          <w:p w:rsidR="00156F90" w:rsidRDefault="00156F90" w:rsidP="00156F90">
            <w:pPr>
              <w:pStyle w:val="Heading2"/>
            </w:pPr>
          </w:p>
        </w:tc>
      </w:tr>
      <w:tr w:rsidR="00156F90" w:rsidTr="00156F90">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Country:</w:t>
            </w:r>
          </w:p>
        </w:tc>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37" w:name="countr_fld"/>
            <w:r>
              <w:rPr>
                <w:color w:val="000000"/>
                <w:sz w:val="22"/>
                <w:szCs w:val="22"/>
              </w:rPr>
              <w:t>Argentina</w:t>
            </w:r>
            <w:bookmarkEnd w:id="37"/>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Project Name:</w:t>
            </w:r>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38" w:name="pronam_fld"/>
            <w:r>
              <w:rPr>
                <w:color w:val="000000"/>
                <w:sz w:val="22"/>
                <w:szCs w:val="22"/>
              </w:rPr>
              <w:t xml:space="preserve">Prevention and Management of Influenza Type Illness and Strengthening of Argentina's Epidemiological System Project </w:t>
            </w:r>
            <w:bookmarkEnd w:id="38"/>
          </w:p>
        </w:tc>
      </w:tr>
      <w:tr w:rsidR="00156F90" w:rsidTr="00156F90">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Project ID:</w:t>
            </w:r>
          </w:p>
        </w:tc>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39" w:name="projid_fld"/>
            <w:r>
              <w:rPr>
                <w:color w:val="000000"/>
                <w:sz w:val="22"/>
                <w:szCs w:val="22"/>
              </w:rPr>
              <w:t>P117377</w:t>
            </w:r>
            <w:bookmarkEnd w:id="39"/>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L/C/TF Number(s):</w:t>
            </w:r>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0" w:name="lctfnu_fld"/>
            <w:r>
              <w:rPr>
                <w:color w:val="000000"/>
                <w:sz w:val="22"/>
                <w:szCs w:val="22"/>
              </w:rPr>
              <w:t>IBRD-78430</w:t>
            </w:r>
            <w:bookmarkEnd w:id="40"/>
          </w:p>
        </w:tc>
      </w:tr>
      <w:tr w:rsidR="00156F90" w:rsidTr="00156F90">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ICR Date:</w:t>
            </w:r>
          </w:p>
        </w:tc>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2D4782">
            <w:pPr>
              <w:spacing w:line="300" w:lineRule="atLeast"/>
              <w:rPr>
                <w:color w:val="000000"/>
                <w:sz w:val="22"/>
                <w:szCs w:val="22"/>
              </w:rPr>
            </w:pPr>
            <w:bookmarkStart w:id="41" w:name="icrdat_fld"/>
            <w:r>
              <w:rPr>
                <w:color w:val="000000"/>
                <w:sz w:val="22"/>
                <w:szCs w:val="22"/>
              </w:rPr>
              <w:t>06/2</w:t>
            </w:r>
            <w:r w:rsidR="002D4782">
              <w:rPr>
                <w:color w:val="000000"/>
                <w:sz w:val="22"/>
                <w:szCs w:val="22"/>
              </w:rPr>
              <w:t>5</w:t>
            </w:r>
            <w:r>
              <w:rPr>
                <w:color w:val="000000"/>
                <w:sz w:val="22"/>
                <w:szCs w:val="22"/>
              </w:rPr>
              <w:t>/2014</w:t>
            </w:r>
            <w:bookmarkEnd w:id="41"/>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ICR Type:</w:t>
            </w:r>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2" w:name="icrtyp_fld"/>
            <w:r>
              <w:rPr>
                <w:color w:val="000000"/>
                <w:sz w:val="22"/>
                <w:szCs w:val="22"/>
              </w:rPr>
              <w:t>Core ICR</w:t>
            </w:r>
            <w:bookmarkEnd w:id="42"/>
          </w:p>
        </w:tc>
      </w:tr>
      <w:tr w:rsidR="00156F90" w:rsidTr="00156F90">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Lending Instrument:</w:t>
            </w:r>
          </w:p>
        </w:tc>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3" w:name="lenins_fld"/>
            <w:r>
              <w:rPr>
                <w:color w:val="000000"/>
                <w:sz w:val="22"/>
                <w:szCs w:val="22"/>
              </w:rPr>
              <w:t>ERL</w:t>
            </w:r>
            <w:bookmarkEnd w:id="43"/>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4" w:name="borrow_fld_lbl"/>
            <w:r>
              <w:rPr>
                <w:color w:val="000000"/>
                <w:sz w:val="22"/>
                <w:szCs w:val="22"/>
              </w:rPr>
              <w:t>Borrower:</w:t>
            </w:r>
            <w:bookmarkEnd w:id="44"/>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5" w:name="borrow_fld"/>
            <w:r>
              <w:rPr>
                <w:color w:val="000000"/>
                <w:sz w:val="22"/>
                <w:szCs w:val="22"/>
              </w:rPr>
              <w:t>REPUBLIC OF ARGENTINA</w:t>
            </w:r>
            <w:bookmarkEnd w:id="45"/>
          </w:p>
        </w:tc>
      </w:tr>
      <w:tr w:rsidR="00156F90" w:rsidTr="00156F90">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Original Total Commitment:</w:t>
            </w:r>
          </w:p>
        </w:tc>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6" w:name="oritot_fld"/>
            <w:r>
              <w:rPr>
                <w:color w:val="000000"/>
                <w:sz w:val="22"/>
                <w:szCs w:val="22"/>
              </w:rPr>
              <w:t>USD 229.00M</w:t>
            </w:r>
            <w:bookmarkEnd w:id="46"/>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Disbursed Amount:</w:t>
            </w:r>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7" w:name="disamo_fld"/>
            <w:r>
              <w:rPr>
                <w:color w:val="000000"/>
                <w:sz w:val="22"/>
                <w:szCs w:val="22"/>
              </w:rPr>
              <w:t>USD 141.00M</w:t>
            </w:r>
            <w:bookmarkEnd w:id="47"/>
          </w:p>
        </w:tc>
      </w:tr>
      <w:tr w:rsidR="00156F90" w:rsidTr="00156F90">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8" w:name="revamt_fld_lbl"/>
            <w:r>
              <w:rPr>
                <w:color w:val="000000"/>
                <w:sz w:val="22"/>
                <w:szCs w:val="22"/>
              </w:rPr>
              <w:t>Revised Amount:</w:t>
            </w:r>
            <w:bookmarkEnd w:id="48"/>
          </w:p>
        </w:tc>
        <w:tc>
          <w:tcPr>
            <w:tcW w:w="2167"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49" w:name="revamt_fld"/>
            <w:r>
              <w:rPr>
                <w:color w:val="000000"/>
                <w:sz w:val="22"/>
                <w:szCs w:val="22"/>
              </w:rPr>
              <w:t>USD 141.00M</w:t>
            </w:r>
            <w:bookmarkEnd w:id="49"/>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p>
        </w:tc>
        <w:tc>
          <w:tcPr>
            <w:tcW w:w="216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p>
        </w:tc>
      </w:tr>
      <w:tr w:rsidR="00156F90" w:rsidTr="00156F90">
        <w:tc>
          <w:tcPr>
            <w:tcW w:w="8670" w:type="dxa"/>
            <w:gridSpan w:val="4"/>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rStyle w:val="Strong"/>
                <w:color w:val="000000"/>
                <w:sz w:val="22"/>
                <w:szCs w:val="22"/>
              </w:rPr>
              <w:t xml:space="preserve">Environmental Category: </w:t>
            </w:r>
            <w:bookmarkStart w:id="50" w:name="envcat_fld"/>
            <w:r>
              <w:rPr>
                <w:rStyle w:val="Strong"/>
                <w:color w:val="000000"/>
                <w:sz w:val="22"/>
                <w:szCs w:val="22"/>
              </w:rPr>
              <w:t>B</w:t>
            </w:r>
            <w:bookmarkEnd w:id="50"/>
          </w:p>
        </w:tc>
      </w:tr>
      <w:tr w:rsidR="00156F90" w:rsidTr="00156F90">
        <w:tc>
          <w:tcPr>
            <w:tcW w:w="8670" w:type="dxa"/>
            <w:gridSpan w:val="4"/>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rStyle w:val="Strong"/>
                <w:b w:val="0"/>
                <w:color w:val="000000"/>
                <w:sz w:val="22"/>
                <w:szCs w:val="22"/>
              </w:rPr>
            </w:pPr>
            <w:r>
              <w:rPr>
                <w:rStyle w:val="Strong"/>
                <w:color w:val="000000"/>
                <w:sz w:val="22"/>
                <w:szCs w:val="22"/>
              </w:rPr>
              <w:t xml:space="preserve">Implementing Agencies: </w:t>
            </w:r>
          </w:p>
          <w:p w:rsidR="00156F90" w:rsidRDefault="00156F90" w:rsidP="00156F90">
            <w:pPr>
              <w:keepLines/>
              <w:spacing w:line="300" w:lineRule="atLeast"/>
              <w:rPr>
                <w:color w:val="000000"/>
                <w:sz w:val="22"/>
                <w:szCs w:val="22"/>
              </w:rPr>
            </w:pPr>
            <w:r>
              <w:rPr>
                <w:color w:val="000000"/>
                <w:sz w:val="22"/>
                <w:szCs w:val="22"/>
              </w:rPr>
              <w:t xml:space="preserve"> </w:t>
            </w:r>
            <w:bookmarkStart w:id="51" w:name="IMP_AGEN_COL_1"/>
            <w:r>
              <w:rPr>
                <w:color w:val="000000"/>
                <w:sz w:val="22"/>
                <w:szCs w:val="22"/>
              </w:rPr>
              <w:t>National Ministry of Health</w:t>
            </w:r>
            <w:bookmarkEnd w:id="51"/>
            <w:r>
              <w:rPr>
                <w:color w:val="000000"/>
                <w:sz w:val="22"/>
                <w:szCs w:val="22"/>
              </w:rPr>
              <w:t xml:space="preserve"> </w:t>
            </w:r>
          </w:p>
        </w:tc>
      </w:tr>
      <w:tr w:rsidR="00156F90" w:rsidTr="00156F90">
        <w:trPr>
          <w:cantSplit/>
        </w:trPr>
        <w:tc>
          <w:tcPr>
            <w:tcW w:w="8670" w:type="dxa"/>
            <w:gridSpan w:val="4"/>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Lines/>
              <w:spacing w:line="300" w:lineRule="atLeast"/>
              <w:rPr>
                <w:rStyle w:val="Strong"/>
                <w:b w:val="0"/>
                <w:color w:val="000000"/>
                <w:sz w:val="22"/>
                <w:szCs w:val="22"/>
              </w:rPr>
            </w:pPr>
            <w:r>
              <w:rPr>
                <w:rStyle w:val="Strong"/>
                <w:color w:val="000000"/>
                <w:sz w:val="22"/>
                <w:szCs w:val="22"/>
              </w:rPr>
              <w:t xml:space="preserve">Cofinanciers and Other External Partners: </w:t>
            </w:r>
          </w:p>
        </w:tc>
      </w:tr>
    </w:tbl>
    <w:p w:rsidR="00156F90" w:rsidRDefault="00156F90" w:rsidP="00156F90"/>
    <w:tbl>
      <w:tblPr>
        <w:tblW w:w="5000" w:type="pct"/>
        <w:tblLayout w:type="fixed"/>
        <w:tblCellMar>
          <w:top w:w="15" w:type="dxa"/>
          <w:left w:w="15" w:type="dxa"/>
          <w:bottom w:w="15" w:type="dxa"/>
          <w:right w:w="15" w:type="dxa"/>
        </w:tblCellMar>
        <w:tblLook w:val="0000" w:firstRow="0" w:lastRow="0" w:firstColumn="0" w:lastColumn="0" w:noHBand="0" w:noVBand="0"/>
      </w:tblPr>
      <w:tblGrid>
        <w:gridCol w:w="1734"/>
        <w:gridCol w:w="1734"/>
        <w:gridCol w:w="1734"/>
        <w:gridCol w:w="1734"/>
        <w:gridCol w:w="1734"/>
      </w:tblGrid>
      <w:tr w:rsidR="00156F90" w:rsidTr="00156F90">
        <w:tc>
          <w:tcPr>
            <w:tcW w:w="8670" w:type="dxa"/>
            <w:gridSpan w:val="5"/>
            <w:tcBorders>
              <w:top w:val="single" w:sz="6" w:space="0" w:color="B1B1B1"/>
              <w:left w:val="single" w:sz="6" w:space="0" w:color="B1B1B1"/>
              <w:bottom w:val="single" w:sz="6" w:space="0" w:color="B1B1B1"/>
              <w:right w:val="single" w:sz="6" w:space="0" w:color="B1B1B1"/>
            </w:tcBorders>
            <w:shd w:val="clear" w:color="auto" w:fill="CDCCCC"/>
            <w:vAlign w:val="center"/>
          </w:tcPr>
          <w:p w:rsidR="00156F90" w:rsidRDefault="00156F90" w:rsidP="00156F90">
            <w:pPr>
              <w:pStyle w:val="Heading2"/>
              <w:keepNext/>
              <w:keepLines/>
            </w:pPr>
            <w:bookmarkStart w:id="52" w:name="_IL2"/>
            <w:bookmarkStart w:id="53" w:name="_Toc147483790"/>
            <w:r>
              <w:t>B. Key Dates</w:t>
            </w:r>
            <w:bookmarkEnd w:id="52"/>
            <w:bookmarkEnd w:id="53"/>
            <w:r>
              <w:t xml:space="preserve"> </w:t>
            </w:r>
          </w:p>
        </w:tc>
      </w:tr>
      <w:tr w:rsidR="00156F90" w:rsidTr="00156F90">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Original 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Revised / Actual Date(s)</w:t>
            </w:r>
          </w:p>
        </w:tc>
      </w:tr>
      <w:tr w:rsidR="00156F90" w:rsidTr="00156F90">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Concept Review:</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10/20/2009</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Effectiveness:</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04/30/2010</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04/14/2010</w:t>
            </w:r>
          </w:p>
        </w:tc>
      </w:tr>
      <w:tr w:rsidR="00156F90" w:rsidTr="00156F90">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Appraisal:</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10/21/2009</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Restructuring(s):</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05/12/2011</w:t>
            </w:r>
          </w:p>
          <w:p w:rsidR="00156F90" w:rsidRDefault="00156F90" w:rsidP="00156F90">
            <w:pPr>
              <w:spacing w:line="300" w:lineRule="atLeast"/>
              <w:jc w:val="center"/>
              <w:rPr>
                <w:color w:val="000000"/>
                <w:sz w:val="22"/>
                <w:szCs w:val="22"/>
              </w:rPr>
            </w:pPr>
            <w:r>
              <w:rPr>
                <w:color w:val="000000"/>
                <w:sz w:val="22"/>
                <w:szCs w:val="22"/>
              </w:rPr>
              <w:t>03/19/2012</w:t>
            </w:r>
          </w:p>
          <w:p w:rsidR="00156F90" w:rsidRDefault="00156F90" w:rsidP="00156F90">
            <w:pPr>
              <w:spacing w:line="300" w:lineRule="atLeast"/>
              <w:jc w:val="center"/>
              <w:rPr>
                <w:color w:val="000000"/>
                <w:sz w:val="22"/>
                <w:szCs w:val="22"/>
              </w:rPr>
            </w:pPr>
            <w:r>
              <w:rPr>
                <w:color w:val="000000"/>
                <w:sz w:val="22"/>
                <w:szCs w:val="22"/>
              </w:rPr>
              <w:t>03/01/2013</w:t>
            </w:r>
          </w:p>
        </w:tc>
      </w:tr>
      <w:tr w:rsidR="00156F90" w:rsidTr="00156F90">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Approval:</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02/23/2010</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Mid-term Review:</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11/21/2011</w:t>
            </w:r>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11/21/2011</w:t>
            </w:r>
          </w:p>
        </w:tc>
      </w:tr>
      <w:tr w:rsidR="00156F90" w:rsidTr="00156F90">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w:t>
            </w:r>
            <w:bookmarkStart w:id="54" w:name="MILESTONE_COL_1"/>
            <w:bookmarkEnd w:id="54"/>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bookmarkStart w:id="55" w:name="MILESTONE_COL_2"/>
            <w:bookmarkEnd w:id="55"/>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56" w:name="MILESTONE_COL_3"/>
            <w:r>
              <w:rPr>
                <w:color w:val="000000"/>
                <w:sz w:val="22"/>
                <w:szCs w:val="22"/>
              </w:rPr>
              <w:t>Closing:</w:t>
            </w:r>
            <w:bookmarkEnd w:id="56"/>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bookmarkStart w:id="57" w:name="MILESTONE_COL_4"/>
            <w:r>
              <w:rPr>
                <w:color w:val="000000"/>
                <w:sz w:val="22"/>
                <w:szCs w:val="22"/>
              </w:rPr>
              <w:t>03/31/2012</w:t>
            </w:r>
            <w:bookmarkEnd w:id="57"/>
          </w:p>
        </w:tc>
        <w:tc>
          <w:tcPr>
            <w:tcW w:w="1734"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bookmarkStart w:id="58" w:name="MILESTONE_COL_5"/>
            <w:r>
              <w:rPr>
                <w:color w:val="000000"/>
                <w:sz w:val="22"/>
                <w:szCs w:val="22"/>
              </w:rPr>
              <w:t>12/31/2013</w:t>
            </w:r>
            <w:bookmarkEnd w:id="58"/>
          </w:p>
        </w:tc>
      </w:tr>
    </w:tbl>
    <w:p w:rsidR="00156F90" w:rsidRDefault="00156F90" w:rsidP="00156F90"/>
    <w:tbl>
      <w:tblPr>
        <w:tblW w:w="5000" w:type="pct"/>
        <w:tblLayout w:type="fixed"/>
        <w:tblCellMar>
          <w:top w:w="15" w:type="dxa"/>
          <w:left w:w="15" w:type="dxa"/>
          <w:bottom w:w="15" w:type="dxa"/>
          <w:right w:w="15" w:type="dxa"/>
        </w:tblCellMar>
        <w:tblLook w:val="0000" w:firstRow="0" w:lastRow="0" w:firstColumn="0" w:lastColumn="0" w:noHBand="0" w:noVBand="0"/>
      </w:tblPr>
      <w:tblGrid>
        <w:gridCol w:w="4335"/>
        <w:gridCol w:w="4335"/>
      </w:tblGrid>
      <w:tr w:rsidR="00156F90" w:rsidTr="00156F90">
        <w:tc>
          <w:tcPr>
            <w:tcW w:w="8670" w:type="dxa"/>
            <w:gridSpan w:val="2"/>
            <w:tcBorders>
              <w:top w:val="single" w:sz="6" w:space="0" w:color="B1B1B1"/>
              <w:left w:val="single" w:sz="6" w:space="0" w:color="B1B1B1"/>
              <w:bottom w:val="single" w:sz="6" w:space="0" w:color="B1B1B1"/>
              <w:right w:val="single" w:sz="6" w:space="0" w:color="B1B1B1"/>
            </w:tcBorders>
            <w:shd w:val="clear" w:color="auto" w:fill="CDCCCC"/>
            <w:vAlign w:val="center"/>
          </w:tcPr>
          <w:p w:rsidR="00156F90" w:rsidRDefault="00156F90" w:rsidP="00156F90">
            <w:pPr>
              <w:pStyle w:val="Heading2"/>
              <w:keepNext/>
              <w:keepLines/>
            </w:pPr>
            <w:bookmarkStart w:id="59" w:name="_IL3"/>
            <w:bookmarkStart w:id="60" w:name="_Toc147483791"/>
            <w:r>
              <w:t>C. Ratings Summary</w:t>
            </w:r>
            <w:bookmarkEnd w:id="59"/>
            <w:bookmarkEnd w:id="60"/>
            <w:r>
              <w:t xml:space="preserve"> </w:t>
            </w:r>
          </w:p>
        </w:tc>
      </w:tr>
      <w:tr w:rsidR="00156F90" w:rsidTr="00156F90">
        <w:tc>
          <w:tcPr>
            <w:tcW w:w="8670" w:type="dxa"/>
            <w:gridSpan w:val="2"/>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rPr>
                <w:b/>
                <w:sz w:val="22"/>
                <w:szCs w:val="22"/>
              </w:rPr>
            </w:pPr>
            <w:r>
              <w:rPr>
                <w:b/>
                <w:sz w:val="22"/>
                <w:szCs w:val="22"/>
              </w:rPr>
              <w:t>C.1 Performance Rating by ICR</w:t>
            </w:r>
          </w:p>
        </w:tc>
      </w:tr>
      <w:tr w:rsidR="00156F90" w:rsidTr="00156F90">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Outcomes:</w:t>
            </w:r>
          </w:p>
        </w:tc>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Satisfactory</w:t>
            </w:r>
          </w:p>
        </w:tc>
      </w:tr>
      <w:tr w:rsidR="00156F90" w:rsidTr="00156F90">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Risk to Development Outcome:</w:t>
            </w:r>
          </w:p>
        </w:tc>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Moderate</w:t>
            </w:r>
          </w:p>
        </w:tc>
      </w:tr>
      <w:tr w:rsidR="00156F90" w:rsidTr="00156F90">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Bank Performance:</w:t>
            </w:r>
          </w:p>
        </w:tc>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Moderately Satisfactory</w:t>
            </w:r>
          </w:p>
        </w:tc>
      </w:tr>
      <w:tr w:rsidR="00156F90" w:rsidTr="00156F90">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w:t>
            </w:r>
            <w:bookmarkStart w:id="61" w:name="SEC_3_1_COL_1"/>
            <w:r>
              <w:rPr>
                <w:color w:val="000000"/>
                <w:sz w:val="22"/>
                <w:szCs w:val="22"/>
              </w:rPr>
              <w:t>Borrower Performance:</w:t>
            </w:r>
            <w:bookmarkEnd w:id="61"/>
          </w:p>
        </w:tc>
        <w:tc>
          <w:tcPr>
            <w:tcW w:w="433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62" w:name="SEC_3_1_COL_2"/>
            <w:r>
              <w:rPr>
                <w:color w:val="000000"/>
                <w:sz w:val="22"/>
                <w:szCs w:val="22"/>
              </w:rPr>
              <w:t>Satisfactory</w:t>
            </w:r>
            <w:bookmarkEnd w:id="62"/>
          </w:p>
        </w:tc>
      </w:tr>
    </w:tbl>
    <w:p w:rsidR="00156F90" w:rsidRDefault="00156F90" w:rsidP="00156F90"/>
    <w:p w:rsidR="00156F90" w:rsidRDefault="00156F90" w:rsidP="00156F90">
      <w:pPr>
        <w:rPr>
          <w:sz w:val="2"/>
          <w:szCs w:val="2"/>
        </w:rPr>
      </w:pPr>
    </w:p>
    <w:tbl>
      <w:tblPr>
        <w:tblW w:w="5000" w:type="pct"/>
        <w:tblCellMar>
          <w:top w:w="10" w:type="dxa"/>
          <w:left w:w="10" w:type="dxa"/>
          <w:bottom w:w="10" w:type="dxa"/>
          <w:right w:w="10" w:type="dxa"/>
        </w:tblCellMar>
        <w:tblLook w:val="0000" w:firstRow="0" w:lastRow="0" w:firstColumn="0" w:lastColumn="0" w:noHBand="0" w:noVBand="0"/>
      </w:tblPr>
      <w:tblGrid>
        <w:gridCol w:w="2165"/>
        <w:gridCol w:w="2165"/>
        <w:gridCol w:w="2165"/>
        <w:gridCol w:w="2165"/>
      </w:tblGrid>
      <w:tr w:rsidR="00156F90" w:rsidTr="00156F90">
        <w:tc>
          <w:tcPr>
            <w:tcW w:w="5000" w:type="pct"/>
            <w:gridSpan w:val="4"/>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rPr>
                <w:b/>
                <w:bCs/>
                <w:color w:val="606060"/>
                <w:sz w:val="22"/>
                <w:szCs w:val="22"/>
              </w:rPr>
            </w:pPr>
            <w:r>
              <w:rPr>
                <w:b/>
                <w:sz w:val="22"/>
                <w:szCs w:val="22"/>
              </w:rPr>
              <w:lastRenderedPageBreak/>
              <w:t>C.2  Detailed Ratings of Bank and Borrower Performance (by ICR)</w:t>
            </w:r>
          </w:p>
        </w:tc>
      </w:tr>
      <w:tr w:rsidR="00156F90" w:rsidTr="00156F90">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jc w:val="center"/>
              <w:rPr>
                <w:b/>
                <w:bCs/>
                <w:color w:val="606060"/>
                <w:sz w:val="22"/>
                <w:szCs w:val="22"/>
              </w:rPr>
            </w:pPr>
            <w:r>
              <w:rPr>
                <w:b/>
                <w:bCs/>
                <w:color w:val="606060"/>
                <w:sz w:val="22"/>
                <w:szCs w:val="22"/>
              </w:rPr>
              <w:t>Bank</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Ratings</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jc w:val="center"/>
              <w:rPr>
                <w:b/>
                <w:bCs/>
                <w:color w:val="606060"/>
                <w:sz w:val="22"/>
                <w:szCs w:val="22"/>
              </w:rPr>
            </w:pPr>
            <w:r>
              <w:rPr>
                <w:b/>
                <w:bCs/>
                <w:color w:val="606060"/>
                <w:sz w:val="22"/>
                <w:szCs w:val="22"/>
              </w:rPr>
              <w:t>Borrower</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jc w:val="center"/>
              <w:rPr>
                <w:b/>
                <w:bCs/>
                <w:color w:val="606060"/>
                <w:sz w:val="22"/>
                <w:szCs w:val="22"/>
              </w:rPr>
            </w:pPr>
            <w:r>
              <w:rPr>
                <w:b/>
                <w:bCs/>
                <w:color w:val="606060"/>
                <w:sz w:val="22"/>
                <w:szCs w:val="22"/>
              </w:rPr>
              <w:t>Ratings</w:t>
            </w:r>
          </w:p>
        </w:tc>
      </w:tr>
      <w:tr w:rsidR="00156F90" w:rsidTr="00156F90">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r>
              <w:rPr>
                <w:color w:val="000000"/>
                <w:sz w:val="22"/>
                <w:szCs w:val="22"/>
              </w:rPr>
              <w:t>Quality at Entry:</w:t>
            </w:r>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bookmarkStart w:id="63" w:name="RAT_1"/>
            <w:r>
              <w:rPr>
                <w:color w:val="000000"/>
                <w:sz w:val="22"/>
                <w:szCs w:val="22"/>
              </w:rPr>
              <w:t>Satisfactory</w:t>
            </w:r>
            <w:bookmarkEnd w:id="63"/>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r>
              <w:rPr>
                <w:color w:val="000000"/>
                <w:sz w:val="22"/>
                <w:szCs w:val="22"/>
              </w:rPr>
              <w:t>Government:</w:t>
            </w:r>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bookmarkStart w:id="64" w:name="RAT_4"/>
            <w:r>
              <w:rPr>
                <w:color w:val="000000"/>
                <w:sz w:val="22"/>
                <w:szCs w:val="22"/>
              </w:rPr>
              <w:t>Satisfactory</w:t>
            </w:r>
            <w:bookmarkEnd w:id="64"/>
          </w:p>
        </w:tc>
      </w:tr>
      <w:tr w:rsidR="00156F90" w:rsidTr="00156F90">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r>
              <w:rPr>
                <w:color w:val="000000"/>
                <w:sz w:val="22"/>
                <w:szCs w:val="22"/>
              </w:rPr>
              <w:t>Quality of Supervision:</w:t>
            </w:r>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bookmarkStart w:id="65" w:name="RAT_2"/>
            <w:r>
              <w:rPr>
                <w:color w:val="000000"/>
                <w:sz w:val="22"/>
                <w:szCs w:val="22"/>
              </w:rPr>
              <w:t>Moderately Satisfactory</w:t>
            </w:r>
            <w:bookmarkEnd w:id="65"/>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r>
              <w:rPr>
                <w:color w:val="000000"/>
                <w:sz w:val="22"/>
                <w:szCs w:val="22"/>
              </w:rPr>
              <w:t>Implementing Agency/Agencies:</w:t>
            </w:r>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bookmarkStart w:id="66" w:name="RAT_5"/>
            <w:r>
              <w:rPr>
                <w:color w:val="000000"/>
                <w:sz w:val="22"/>
                <w:szCs w:val="22"/>
              </w:rPr>
              <w:t>Satisfactory</w:t>
            </w:r>
            <w:bookmarkEnd w:id="66"/>
          </w:p>
        </w:tc>
      </w:tr>
      <w:tr w:rsidR="00156F90" w:rsidTr="00156F90">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r>
              <w:rPr>
                <w:rStyle w:val="Strong"/>
                <w:color w:val="000000"/>
                <w:sz w:val="22"/>
                <w:szCs w:val="22"/>
              </w:rPr>
              <w:t>Overall Bank Performance:</w:t>
            </w:r>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bookmarkStart w:id="67" w:name="RAT_3"/>
            <w:r>
              <w:rPr>
                <w:color w:val="000000"/>
                <w:sz w:val="22"/>
                <w:szCs w:val="22"/>
              </w:rPr>
              <w:t>Moderately Satisfactory</w:t>
            </w:r>
            <w:bookmarkEnd w:id="67"/>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r>
              <w:rPr>
                <w:rStyle w:val="Strong"/>
                <w:color w:val="000000"/>
                <w:sz w:val="22"/>
                <w:szCs w:val="22"/>
              </w:rPr>
              <w:t>Overall Borrower Performance:</w:t>
            </w:r>
          </w:p>
        </w:tc>
        <w:tc>
          <w:tcPr>
            <w:tcW w:w="0" w:type="auto"/>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keepLines/>
              <w:spacing w:line="200" w:lineRule="atLeast"/>
              <w:rPr>
                <w:color w:val="000000"/>
                <w:sz w:val="22"/>
                <w:szCs w:val="22"/>
              </w:rPr>
            </w:pPr>
            <w:bookmarkStart w:id="68" w:name="RAT_6"/>
            <w:r>
              <w:rPr>
                <w:color w:val="000000"/>
                <w:sz w:val="22"/>
                <w:szCs w:val="22"/>
              </w:rPr>
              <w:t>Satisfactory</w:t>
            </w:r>
            <w:bookmarkEnd w:id="68"/>
          </w:p>
        </w:tc>
      </w:tr>
    </w:tbl>
    <w:p w:rsidR="00156F90" w:rsidRDefault="00156F90" w:rsidP="00156F90"/>
    <w:tbl>
      <w:tblPr>
        <w:tblW w:w="5000" w:type="pct"/>
        <w:tblLayout w:type="fixed"/>
        <w:tblCellMar>
          <w:top w:w="15" w:type="dxa"/>
          <w:left w:w="15" w:type="dxa"/>
          <w:bottom w:w="15" w:type="dxa"/>
          <w:right w:w="15" w:type="dxa"/>
        </w:tblCellMar>
        <w:tblLook w:val="0000" w:firstRow="0" w:lastRow="0" w:firstColumn="0" w:lastColumn="0" w:noHBand="0" w:noVBand="0"/>
      </w:tblPr>
      <w:tblGrid>
        <w:gridCol w:w="2355"/>
        <w:gridCol w:w="1980"/>
        <w:gridCol w:w="1980"/>
        <w:gridCol w:w="2355"/>
      </w:tblGrid>
      <w:tr w:rsidR="00156F90" w:rsidTr="00156F90">
        <w:tc>
          <w:tcPr>
            <w:tcW w:w="8670" w:type="dxa"/>
            <w:gridSpan w:val="4"/>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pPr>
            <w:r>
              <w:rPr>
                <w:b/>
                <w:sz w:val="22"/>
                <w:szCs w:val="22"/>
              </w:rPr>
              <w:t>C.3 Quality at Entry and Implementation Performance Indicators</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Implementation Performance</w:t>
            </w:r>
          </w:p>
        </w:tc>
        <w:tc>
          <w:tcPr>
            <w:tcW w:w="1980"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Indicators</w:t>
            </w:r>
          </w:p>
        </w:tc>
        <w:tc>
          <w:tcPr>
            <w:tcW w:w="1980"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QAG Assessments (if any)</w:t>
            </w:r>
          </w:p>
        </w:tc>
        <w:tc>
          <w:tcPr>
            <w:tcW w:w="2355"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 xml:space="preserve">Rating </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Potential Problem Project at any time (Yes/No):</w:t>
            </w:r>
          </w:p>
        </w:tc>
        <w:tc>
          <w:tcPr>
            <w:tcW w:w="1980"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No</w:t>
            </w:r>
          </w:p>
        </w:tc>
        <w:tc>
          <w:tcPr>
            <w:tcW w:w="1980"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Quality at Entry (QEA):</w:t>
            </w:r>
          </w:p>
        </w:tc>
        <w:tc>
          <w:tcPr>
            <w:tcW w:w="235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None</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Problem Project at any time (Yes/No):</w:t>
            </w:r>
          </w:p>
        </w:tc>
        <w:tc>
          <w:tcPr>
            <w:tcW w:w="1980"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No</w:t>
            </w:r>
          </w:p>
        </w:tc>
        <w:tc>
          <w:tcPr>
            <w:tcW w:w="1980"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Quality of Supervision (QSA):</w:t>
            </w:r>
          </w:p>
        </w:tc>
        <w:tc>
          <w:tcPr>
            <w:tcW w:w="235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None</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w:t>
            </w:r>
            <w:bookmarkStart w:id="69" w:name="SEC_3_2_COL_1"/>
            <w:r>
              <w:rPr>
                <w:color w:val="000000"/>
                <w:sz w:val="22"/>
                <w:szCs w:val="22"/>
              </w:rPr>
              <w:t>DO rating before Closing/Inactive status:</w:t>
            </w:r>
            <w:bookmarkEnd w:id="69"/>
          </w:p>
        </w:tc>
        <w:tc>
          <w:tcPr>
            <w:tcW w:w="1980"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70" w:name="SEC_3_2_COL_2"/>
            <w:r>
              <w:rPr>
                <w:color w:val="000000"/>
                <w:sz w:val="22"/>
                <w:szCs w:val="22"/>
              </w:rPr>
              <w:t>Satisfactory</w:t>
            </w:r>
            <w:bookmarkEnd w:id="70"/>
          </w:p>
        </w:tc>
        <w:tc>
          <w:tcPr>
            <w:tcW w:w="1980"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71" w:name="SEC_3_2_COL_3"/>
            <w:bookmarkEnd w:id="71"/>
          </w:p>
        </w:tc>
        <w:tc>
          <w:tcPr>
            <w:tcW w:w="235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bookmarkStart w:id="72" w:name="SEC_3_2_COL_4"/>
            <w:bookmarkEnd w:id="72"/>
          </w:p>
        </w:tc>
      </w:tr>
    </w:tbl>
    <w:p w:rsidR="00156F90" w:rsidRDefault="00156F90" w:rsidP="00156F90"/>
    <w:tbl>
      <w:tblPr>
        <w:tblW w:w="5000" w:type="pct"/>
        <w:tblLayout w:type="fixed"/>
        <w:tblCellMar>
          <w:top w:w="15" w:type="dxa"/>
          <w:left w:w="15" w:type="dxa"/>
          <w:bottom w:w="15" w:type="dxa"/>
          <w:right w:w="15" w:type="dxa"/>
        </w:tblCellMar>
        <w:tblLook w:val="0000" w:firstRow="0" w:lastRow="0" w:firstColumn="0" w:lastColumn="0" w:noHBand="0" w:noVBand="0"/>
      </w:tblPr>
      <w:tblGrid>
        <w:gridCol w:w="5202"/>
        <w:gridCol w:w="1815"/>
        <w:gridCol w:w="1653"/>
      </w:tblGrid>
      <w:tr w:rsidR="00156F90" w:rsidTr="00156F90">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vAlign w:val="center"/>
          </w:tcPr>
          <w:p w:rsidR="00156F90" w:rsidRDefault="00156F90" w:rsidP="00156F90">
            <w:pPr>
              <w:pStyle w:val="Heading2"/>
              <w:keepNext/>
              <w:keepLines/>
            </w:pPr>
            <w:bookmarkStart w:id="73" w:name="_IL4"/>
            <w:bookmarkStart w:id="74" w:name="_Toc147483792"/>
            <w:r>
              <w:t>D. Sector and Theme Codes</w:t>
            </w:r>
            <w:bookmarkEnd w:id="73"/>
            <w:bookmarkEnd w:id="74"/>
            <w:r>
              <w:t xml:space="preserve"> </w:t>
            </w:r>
          </w:p>
        </w:tc>
      </w:tr>
      <w:tr w:rsidR="00156F90" w:rsidTr="00156F90">
        <w:tc>
          <w:tcPr>
            <w:tcW w:w="5202"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p>
        </w:tc>
        <w:tc>
          <w:tcPr>
            <w:tcW w:w="1815"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Original</w:t>
            </w:r>
          </w:p>
        </w:tc>
        <w:tc>
          <w:tcPr>
            <w:tcW w:w="1653"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Actual</w:t>
            </w:r>
          </w:p>
        </w:tc>
      </w:tr>
      <w:tr w:rsidR="00156F90" w:rsidTr="00156F90">
        <w:tc>
          <w:tcPr>
            <w:tcW w:w="5202"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spacing w:line="300" w:lineRule="atLeast"/>
              <w:rPr>
                <w:b/>
                <w:color w:val="000000"/>
                <w:sz w:val="22"/>
                <w:szCs w:val="22"/>
              </w:rPr>
            </w:pPr>
            <w:r>
              <w:rPr>
                <w:rStyle w:val="Strong"/>
                <w:color w:val="000000"/>
                <w:sz w:val="22"/>
                <w:szCs w:val="22"/>
              </w:rPr>
              <w:t>Sector Code (as % of total Bank financing)</w:t>
            </w:r>
          </w:p>
        </w:tc>
        <w:tc>
          <w:tcPr>
            <w:tcW w:w="181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spacing w:line="300" w:lineRule="atLeast"/>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spacing w:line="300" w:lineRule="atLeast"/>
              <w:rPr>
                <w:color w:val="000000"/>
                <w:sz w:val="22"/>
                <w:szCs w:val="22"/>
              </w:rPr>
            </w:pPr>
          </w:p>
        </w:tc>
      </w:tr>
      <w:tr w:rsidR="00156F90" w:rsidTr="00156F90">
        <w:tc>
          <w:tcPr>
            <w:tcW w:w="5202"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w:t>
            </w:r>
            <w:bookmarkStart w:id="75" w:name="SECTORS_COL_1"/>
            <w:r>
              <w:rPr>
                <w:color w:val="000000"/>
                <w:sz w:val="22"/>
                <w:szCs w:val="22"/>
              </w:rPr>
              <w:t>Health</w:t>
            </w:r>
            <w:bookmarkEnd w:id="75"/>
          </w:p>
        </w:tc>
        <w:tc>
          <w:tcPr>
            <w:tcW w:w="1815"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tabs>
                <w:tab w:val="decimal" w:pos="918"/>
              </w:tabs>
              <w:spacing w:line="300" w:lineRule="atLeast"/>
              <w:rPr>
                <w:color w:val="000000"/>
                <w:sz w:val="22"/>
                <w:szCs w:val="22"/>
              </w:rPr>
            </w:pPr>
            <w:bookmarkStart w:id="76" w:name="SECTORS_COL_2"/>
            <w:r>
              <w:rPr>
                <w:color w:val="000000"/>
                <w:sz w:val="22"/>
                <w:szCs w:val="22"/>
              </w:rPr>
              <w:t>100</w:t>
            </w:r>
            <w:bookmarkEnd w:id="76"/>
          </w:p>
        </w:tc>
        <w:tc>
          <w:tcPr>
            <w:tcW w:w="1653"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tabs>
                <w:tab w:val="decimal" w:pos="918"/>
              </w:tabs>
              <w:spacing w:line="300" w:lineRule="atLeast"/>
              <w:rPr>
                <w:color w:val="000000"/>
                <w:sz w:val="22"/>
                <w:szCs w:val="22"/>
              </w:rPr>
            </w:pPr>
            <w:bookmarkStart w:id="77" w:name="SECTORS_COL_3"/>
            <w:r>
              <w:rPr>
                <w:color w:val="000000"/>
                <w:sz w:val="22"/>
                <w:szCs w:val="22"/>
              </w:rPr>
              <w:t>100</w:t>
            </w:r>
            <w:bookmarkEnd w:id="77"/>
          </w:p>
        </w:tc>
      </w:tr>
    </w:tbl>
    <w:p w:rsidR="00156F90" w:rsidRDefault="00156F90" w:rsidP="00156F90">
      <w:pPr>
        <w:tabs>
          <w:tab w:val="left" w:pos="5202"/>
          <w:tab w:val="left" w:pos="6936"/>
        </w:tabs>
        <w:rPr>
          <w:b/>
          <w:bCs/>
          <w:color w:val="606060"/>
          <w:sz w:val="2"/>
          <w:szCs w:val="2"/>
        </w:rPr>
      </w:pPr>
    </w:p>
    <w:p w:rsidR="00156F90" w:rsidRDefault="00156F90" w:rsidP="00156F90">
      <w:pPr>
        <w:tabs>
          <w:tab w:val="left" w:pos="5202"/>
          <w:tab w:val="left" w:pos="6936"/>
        </w:tabs>
        <w:rPr>
          <w:b/>
          <w:bCs/>
          <w:color w:val="606060"/>
          <w:sz w:val="2"/>
          <w:szCs w:val="2"/>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5208"/>
        <w:gridCol w:w="1809"/>
        <w:gridCol w:w="1653"/>
      </w:tblGrid>
      <w:tr w:rsidR="00156F90" w:rsidTr="00156F90">
        <w:tc>
          <w:tcPr>
            <w:tcW w:w="5208"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p>
        </w:tc>
        <w:tc>
          <w:tcPr>
            <w:tcW w:w="1809"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 xml:space="preserve"> </w:t>
            </w:r>
          </w:p>
        </w:tc>
        <w:tc>
          <w:tcPr>
            <w:tcW w:w="1653"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 xml:space="preserve"> </w:t>
            </w:r>
          </w:p>
        </w:tc>
      </w:tr>
      <w:tr w:rsidR="00156F90" w:rsidTr="00156F90">
        <w:tc>
          <w:tcPr>
            <w:tcW w:w="520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spacing w:line="300" w:lineRule="atLeast"/>
              <w:rPr>
                <w:b/>
                <w:color w:val="000000"/>
                <w:sz w:val="22"/>
                <w:szCs w:val="22"/>
              </w:rPr>
            </w:pPr>
            <w:r>
              <w:rPr>
                <w:rStyle w:val="Strong"/>
                <w:color w:val="000000"/>
                <w:sz w:val="22"/>
                <w:szCs w:val="22"/>
              </w:rPr>
              <w:t>Theme Code (as % of total Bank financing)</w:t>
            </w:r>
          </w:p>
        </w:tc>
        <w:tc>
          <w:tcPr>
            <w:tcW w:w="1809"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spacing w:line="300" w:lineRule="atLeast"/>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keepNext/>
              <w:keepLines/>
              <w:spacing w:line="300" w:lineRule="atLeast"/>
              <w:rPr>
                <w:color w:val="000000"/>
                <w:sz w:val="22"/>
                <w:szCs w:val="22"/>
              </w:rPr>
            </w:pPr>
          </w:p>
        </w:tc>
      </w:tr>
      <w:tr w:rsidR="00156F90" w:rsidTr="00156F90">
        <w:tc>
          <w:tcPr>
            <w:tcW w:w="520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Health system performance</w:t>
            </w:r>
          </w:p>
        </w:tc>
        <w:tc>
          <w:tcPr>
            <w:tcW w:w="1809"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81</w:t>
            </w:r>
          </w:p>
        </w:tc>
        <w:tc>
          <w:tcPr>
            <w:tcW w:w="1653"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r>
              <w:rPr>
                <w:color w:val="000000"/>
                <w:sz w:val="22"/>
                <w:szCs w:val="22"/>
              </w:rPr>
              <w:t>90</w:t>
            </w:r>
          </w:p>
        </w:tc>
      </w:tr>
      <w:tr w:rsidR="00156F90" w:rsidTr="00156F90">
        <w:tc>
          <w:tcPr>
            <w:tcW w:w="5208"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rPr>
                <w:color w:val="000000"/>
                <w:sz w:val="22"/>
                <w:szCs w:val="22"/>
              </w:rPr>
            </w:pPr>
            <w:r>
              <w:rPr>
                <w:color w:val="000000"/>
                <w:sz w:val="22"/>
                <w:szCs w:val="22"/>
              </w:rPr>
              <w:t xml:space="preserve"> </w:t>
            </w:r>
            <w:bookmarkStart w:id="78" w:name="THEMES_COL_1"/>
            <w:r>
              <w:rPr>
                <w:color w:val="000000"/>
                <w:sz w:val="22"/>
                <w:szCs w:val="22"/>
              </w:rPr>
              <w:t>Other communicable diseases</w:t>
            </w:r>
            <w:bookmarkEnd w:id="78"/>
          </w:p>
        </w:tc>
        <w:tc>
          <w:tcPr>
            <w:tcW w:w="1809"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bookmarkStart w:id="79" w:name="THEMES_COL_2"/>
            <w:r>
              <w:rPr>
                <w:color w:val="000000"/>
                <w:sz w:val="22"/>
                <w:szCs w:val="22"/>
              </w:rPr>
              <w:t>19</w:t>
            </w:r>
            <w:bookmarkEnd w:id="79"/>
          </w:p>
        </w:tc>
        <w:tc>
          <w:tcPr>
            <w:tcW w:w="1653" w:type="dxa"/>
            <w:tcBorders>
              <w:top w:val="single" w:sz="6" w:space="0" w:color="B1B1B1"/>
              <w:left w:val="single" w:sz="6" w:space="0" w:color="B1B1B1"/>
              <w:bottom w:val="single" w:sz="6" w:space="0" w:color="B1B1B1"/>
              <w:right w:val="single" w:sz="6" w:space="0" w:color="B1B1B1"/>
            </w:tcBorders>
            <w:vAlign w:val="center"/>
          </w:tcPr>
          <w:p w:rsidR="00156F90" w:rsidRDefault="00156F90" w:rsidP="00156F90">
            <w:pPr>
              <w:spacing w:line="300" w:lineRule="atLeast"/>
              <w:jc w:val="center"/>
              <w:rPr>
                <w:color w:val="000000"/>
                <w:sz w:val="22"/>
                <w:szCs w:val="22"/>
              </w:rPr>
            </w:pPr>
            <w:bookmarkStart w:id="80" w:name="THEMES_COL_3"/>
            <w:r>
              <w:rPr>
                <w:color w:val="000000"/>
                <w:sz w:val="22"/>
                <w:szCs w:val="22"/>
              </w:rPr>
              <w:t>10</w:t>
            </w:r>
            <w:bookmarkEnd w:id="80"/>
          </w:p>
        </w:tc>
      </w:tr>
    </w:tbl>
    <w:p w:rsidR="00156F90" w:rsidRDefault="00156F90" w:rsidP="00156F90"/>
    <w:tbl>
      <w:tblPr>
        <w:tblW w:w="5000" w:type="pct"/>
        <w:tblLayout w:type="fixed"/>
        <w:tblCellMar>
          <w:top w:w="15" w:type="dxa"/>
          <w:left w:w="15" w:type="dxa"/>
          <w:bottom w:w="15" w:type="dxa"/>
          <w:right w:w="15" w:type="dxa"/>
        </w:tblCellMar>
        <w:tblLook w:val="0000" w:firstRow="0" w:lastRow="0" w:firstColumn="0" w:lastColumn="0" w:noHBand="0" w:noVBand="0"/>
      </w:tblPr>
      <w:tblGrid>
        <w:gridCol w:w="2355"/>
        <w:gridCol w:w="3157"/>
        <w:gridCol w:w="3158"/>
      </w:tblGrid>
      <w:tr w:rsidR="00156F90" w:rsidTr="00156F90">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vAlign w:val="center"/>
          </w:tcPr>
          <w:p w:rsidR="00156F90" w:rsidRDefault="00156F90" w:rsidP="00156F90">
            <w:pPr>
              <w:pStyle w:val="Heading2"/>
              <w:keepNext/>
              <w:keepLines/>
            </w:pPr>
            <w:bookmarkStart w:id="81" w:name="_IL5"/>
            <w:bookmarkStart w:id="82" w:name="_Toc147483793"/>
            <w:r>
              <w:t>E. Bank Staff</w:t>
            </w:r>
            <w:bookmarkEnd w:id="81"/>
            <w:bookmarkEnd w:id="82"/>
            <w:r>
              <w:t xml:space="preserve"> </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Positions</w:t>
            </w:r>
          </w:p>
        </w:tc>
        <w:tc>
          <w:tcPr>
            <w:tcW w:w="3157"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At ICR</w:t>
            </w:r>
          </w:p>
        </w:tc>
        <w:tc>
          <w:tcPr>
            <w:tcW w:w="3158" w:type="dxa"/>
            <w:tcBorders>
              <w:top w:val="single" w:sz="6" w:space="0" w:color="B1B1B1"/>
              <w:left w:val="single" w:sz="6" w:space="0" w:color="B1B1B1"/>
              <w:bottom w:val="single" w:sz="6" w:space="0" w:color="B1B1B1"/>
              <w:right w:val="single" w:sz="6"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At Approval</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 xml:space="preserve"> Vice President:</w:t>
            </w:r>
          </w:p>
        </w:tc>
        <w:tc>
          <w:tcPr>
            <w:tcW w:w="3157"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Jorge Familiar Calderon</w:t>
            </w:r>
          </w:p>
        </w:tc>
        <w:tc>
          <w:tcPr>
            <w:tcW w:w="3158"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Pamela Cox</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 xml:space="preserve"> Country Director:</w:t>
            </w:r>
          </w:p>
        </w:tc>
        <w:tc>
          <w:tcPr>
            <w:tcW w:w="3157"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Jesko S. Hentschel</w:t>
            </w:r>
          </w:p>
        </w:tc>
        <w:tc>
          <w:tcPr>
            <w:tcW w:w="3158"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Pedro Alba</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 xml:space="preserve"> Sector Manager:</w:t>
            </w:r>
          </w:p>
        </w:tc>
        <w:tc>
          <w:tcPr>
            <w:tcW w:w="3157"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Joana Godinho</w:t>
            </w:r>
          </w:p>
        </w:tc>
        <w:tc>
          <w:tcPr>
            <w:tcW w:w="3158"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Keith E. Hansen</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 xml:space="preserve"> Project Team Leader:</w:t>
            </w:r>
          </w:p>
        </w:tc>
        <w:tc>
          <w:tcPr>
            <w:tcW w:w="3157"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Vanina Camporeale</w:t>
            </w:r>
          </w:p>
        </w:tc>
        <w:tc>
          <w:tcPr>
            <w:tcW w:w="3158"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Fernando Lavadenz</w:t>
            </w:r>
          </w:p>
        </w:tc>
      </w:tr>
      <w:tr w:rsidR="00156F90" w:rsidTr="00156F90">
        <w:tc>
          <w:tcPr>
            <w:tcW w:w="2355"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 xml:space="preserve"> ICR Team Leader:</w:t>
            </w:r>
          </w:p>
        </w:tc>
        <w:tc>
          <w:tcPr>
            <w:tcW w:w="3157"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Claudia Macias</w:t>
            </w:r>
          </w:p>
        </w:tc>
        <w:tc>
          <w:tcPr>
            <w:tcW w:w="3158"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p>
        </w:tc>
      </w:tr>
      <w:tr w:rsidR="00156F90" w:rsidTr="00156F90">
        <w:tc>
          <w:tcPr>
            <w:tcW w:w="2355"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r>
              <w:rPr>
                <w:color w:val="000000"/>
                <w:sz w:val="22"/>
                <w:szCs w:val="22"/>
              </w:rPr>
              <w:t xml:space="preserve"> </w:t>
            </w:r>
            <w:bookmarkStart w:id="83" w:name="BANK_STAFF_COL_1"/>
            <w:r>
              <w:rPr>
                <w:color w:val="000000"/>
                <w:sz w:val="22"/>
                <w:szCs w:val="22"/>
              </w:rPr>
              <w:t>ICR Primary Author:</w:t>
            </w:r>
            <w:bookmarkEnd w:id="83"/>
          </w:p>
        </w:tc>
        <w:tc>
          <w:tcPr>
            <w:tcW w:w="3157"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bookmarkStart w:id="84" w:name="BANK_STAFF_COL_4"/>
            <w:bookmarkStart w:id="85" w:name="BANK_STAFF_COL_2"/>
            <w:bookmarkEnd w:id="84"/>
            <w:r>
              <w:rPr>
                <w:color w:val="000000"/>
                <w:sz w:val="22"/>
                <w:szCs w:val="22"/>
              </w:rPr>
              <w:t>Natasha Zamecnik</w:t>
            </w:r>
            <w:bookmarkEnd w:id="85"/>
          </w:p>
        </w:tc>
        <w:tc>
          <w:tcPr>
            <w:tcW w:w="3158" w:type="dxa"/>
            <w:tcBorders>
              <w:top w:val="single" w:sz="6" w:space="0" w:color="B1B1B1"/>
              <w:left w:val="single" w:sz="6" w:space="0" w:color="B1B1B1"/>
              <w:bottom w:val="single" w:sz="6" w:space="0" w:color="B1B1B1"/>
              <w:right w:val="single" w:sz="6" w:space="0" w:color="B1B1B1"/>
            </w:tcBorders>
            <w:noWrap/>
            <w:vAlign w:val="center"/>
          </w:tcPr>
          <w:p w:rsidR="00156F90" w:rsidRDefault="00156F90" w:rsidP="00156F90">
            <w:pPr>
              <w:spacing w:line="300" w:lineRule="atLeast"/>
              <w:rPr>
                <w:color w:val="000000"/>
                <w:sz w:val="22"/>
                <w:szCs w:val="22"/>
              </w:rPr>
            </w:pPr>
            <w:bookmarkStart w:id="86" w:name="BANK_STAFF_COL_6"/>
            <w:bookmarkStart w:id="87" w:name="BANK_STAFF_COL_3"/>
            <w:bookmarkEnd w:id="86"/>
            <w:bookmarkEnd w:id="87"/>
          </w:p>
        </w:tc>
      </w:tr>
    </w:tbl>
    <w:p w:rsidR="00156F90" w:rsidRDefault="00156F90" w:rsidP="00156F90"/>
    <w:p w:rsidR="00156F90" w:rsidRDefault="00156F90" w:rsidP="00156F90"/>
    <w:tbl>
      <w:tblPr>
        <w:tblW w:w="5000" w:type="pct"/>
        <w:tblLayout w:type="fixed"/>
        <w:tblCellMar>
          <w:left w:w="0" w:type="dxa"/>
          <w:right w:w="0" w:type="dxa"/>
        </w:tblCellMar>
        <w:tblLook w:val="0000" w:firstRow="0" w:lastRow="0" w:firstColumn="0" w:lastColumn="0" w:noHBand="0" w:noVBand="0"/>
      </w:tblPr>
      <w:tblGrid>
        <w:gridCol w:w="3013"/>
        <w:gridCol w:w="1739"/>
        <w:gridCol w:w="1509"/>
        <w:gridCol w:w="715"/>
        <w:gridCol w:w="1664"/>
      </w:tblGrid>
      <w:tr w:rsidR="00156F90" w:rsidTr="00156F90">
        <w:tc>
          <w:tcPr>
            <w:tcW w:w="8640" w:type="dxa"/>
            <w:gridSpan w:val="5"/>
            <w:vAlign w:val="center"/>
          </w:tcPr>
          <w:p w:rsidR="00156F90" w:rsidRDefault="00156F90" w:rsidP="00156F90">
            <w:pPr>
              <w:pStyle w:val="Heading2"/>
              <w:keepNext/>
            </w:pPr>
            <w:bookmarkStart w:id="88" w:name="_IL13"/>
            <w:r>
              <w:lastRenderedPageBreak/>
              <w:t>F. Results Framework Analysis</w:t>
            </w:r>
            <w:bookmarkEnd w:id="88"/>
            <w:r>
              <w:t xml:space="preserve"> </w:t>
            </w:r>
          </w:p>
        </w:tc>
      </w:tr>
      <w:tr w:rsidR="00156F90" w:rsidTr="00156F90">
        <w:tc>
          <w:tcPr>
            <w:tcW w:w="3013" w:type="dxa"/>
            <w:vAlign w:val="center"/>
          </w:tcPr>
          <w:p w:rsidR="00156F90" w:rsidRDefault="00156F90" w:rsidP="00156F90">
            <w:pPr>
              <w:keepNext/>
            </w:pPr>
          </w:p>
        </w:tc>
        <w:tc>
          <w:tcPr>
            <w:tcW w:w="1739" w:type="dxa"/>
            <w:vAlign w:val="center"/>
          </w:tcPr>
          <w:p w:rsidR="00156F90" w:rsidRDefault="00156F90" w:rsidP="00156F90">
            <w:pPr>
              <w:keepNext/>
              <w:rPr>
                <w:sz w:val="20"/>
                <w:szCs w:val="20"/>
              </w:rPr>
            </w:pPr>
          </w:p>
        </w:tc>
        <w:tc>
          <w:tcPr>
            <w:tcW w:w="1509" w:type="dxa"/>
            <w:vAlign w:val="center"/>
          </w:tcPr>
          <w:p w:rsidR="00156F90" w:rsidRDefault="00156F90" w:rsidP="00156F90">
            <w:pPr>
              <w:keepNext/>
              <w:rPr>
                <w:sz w:val="20"/>
                <w:szCs w:val="20"/>
              </w:rPr>
            </w:pPr>
          </w:p>
        </w:tc>
        <w:tc>
          <w:tcPr>
            <w:tcW w:w="715" w:type="dxa"/>
            <w:vAlign w:val="center"/>
          </w:tcPr>
          <w:p w:rsidR="00156F90" w:rsidRDefault="00156F90" w:rsidP="00156F90">
            <w:pPr>
              <w:keepNext/>
              <w:rPr>
                <w:sz w:val="20"/>
                <w:szCs w:val="20"/>
              </w:rPr>
            </w:pPr>
          </w:p>
        </w:tc>
        <w:tc>
          <w:tcPr>
            <w:tcW w:w="1664" w:type="dxa"/>
            <w:vAlign w:val="center"/>
          </w:tcPr>
          <w:p w:rsidR="00156F90" w:rsidRDefault="00156F90" w:rsidP="00156F90">
            <w:pPr>
              <w:keepNext/>
              <w:rPr>
                <w:sz w:val="20"/>
                <w:szCs w:val="20"/>
              </w:rPr>
            </w:pPr>
          </w:p>
        </w:tc>
      </w:tr>
      <w:tr w:rsidR="00156F90" w:rsidTr="00156F90">
        <w:tc>
          <w:tcPr>
            <w:tcW w:w="8640" w:type="dxa"/>
            <w:gridSpan w:val="5"/>
            <w:vAlign w:val="center"/>
          </w:tcPr>
          <w:p w:rsidR="00156F90" w:rsidRDefault="00156F90" w:rsidP="00156F90">
            <w:pPr>
              <w:keepNext/>
            </w:pPr>
            <w:r>
              <w:rPr>
                <w:rStyle w:val="Strong"/>
              </w:rPr>
              <w:t>Project Development Objectives (from Project Appraisal Document)</w:t>
            </w:r>
          </w:p>
        </w:tc>
      </w:tr>
    </w:tbl>
    <w:p w:rsidR="00156F90" w:rsidRDefault="00156F90" w:rsidP="00156F90">
      <w:pPr>
        <w:pStyle w:val="NormalWeb"/>
        <w:spacing w:before="0" w:beforeAutospacing="0" w:after="0" w:afterAutospacing="0"/>
        <w:jc w:val="both"/>
        <w:rPr>
          <w:color w:val="000000"/>
        </w:rPr>
      </w:pPr>
      <w:r>
        <w:rPr>
          <w:color w:val="000000"/>
        </w:rPr>
        <w:t xml:space="preserve">The objective of the Project is to strengthen the capacity of the Borrower's epidemiological health surveillance system: (a) to prevent, monitor and evaluate influenza activity; and (b) to control epidemic waves of the A/H1N1 influenza. </w:t>
      </w:r>
    </w:p>
    <w:p w:rsidR="00156F90" w:rsidRDefault="00156F90" w:rsidP="00156F90">
      <w:pPr>
        <w:pStyle w:val="NormalWeb"/>
        <w:spacing w:before="0" w:beforeAutospacing="0" w:after="0" w:afterAutospacing="0"/>
        <w:rPr>
          <w:color w:val="000000"/>
        </w:rPr>
      </w:pPr>
    </w:p>
    <w:tbl>
      <w:tblPr>
        <w:tblW w:w="5000" w:type="pct"/>
        <w:tblLayout w:type="fixed"/>
        <w:tblCellMar>
          <w:left w:w="0" w:type="dxa"/>
          <w:right w:w="0" w:type="dxa"/>
        </w:tblCellMar>
        <w:tblLook w:val="0000" w:firstRow="0" w:lastRow="0" w:firstColumn="0" w:lastColumn="0" w:noHBand="0" w:noVBand="0"/>
      </w:tblPr>
      <w:tblGrid>
        <w:gridCol w:w="8640"/>
      </w:tblGrid>
      <w:tr w:rsidR="00156F90" w:rsidTr="00156F90">
        <w:tc>
          <w:tcPr>
            <w:tcW w:w="8640" w:type="dxa"/>
            <w:vAlign w:val="center"/>
          </w:tcPr>
          <w:p w:rsidR="00156F90" w:rsidRDefault="00156F90" w:rsidP="00156F90">
            <w:pPr>
              <w:keepNext/>
              <w:spacing w:line="200" w:lineRule="atLeast"/>
              <w:rPr>
                <w:color w:val="000000"/>
                <w:sz w:val="22"/>
                <w:szCs w:val="22"/>
              </w:rPr>
            </w:pPr>
            <w:r>
              <w:rPr>
                <w:rStyle w:val="Strong"/>
                <w:color w:val="000000"/>
                <w:sz w:val="22"/>
                <w:szCs w:val="22"/>
              </w:rPr>
              <w:t>Revised Project Development Objectives (as approved by original approving authority)</w:t>
            </w:r>
          </w:p>
        </w:tc>
      </w:tr>
    </w:tbl>
    <w:p w:rsidR="00156F90" w:rsidRDefault="00156F90" w:rsidP="00156F90">
      <w:pPr>
        <w:pStyle w:val="NormalWeb"/>
        <w:spacing w:before="0" w:beforeAutospacing="0" w:after="0" w:afterAutospacing="0"/>
        <w:jc w:val="both"/>
        <w:rPr>
          <w:color w:val="000000"/>
        </w:rPr>
      </w:pPr>
      <w:bookmarkStart w:id="89" w:name="RPDO"/>
      <w:r>
        <w:rPr>
          <w:color w:val="000000"/>
        </w:rPr>
        <w:t xml:space="preserve">N/A </w:t>
      </w:r>
      <w:bookmarkEnd w:id="89"/>
    </w:p>
    <w:p w:rsidR="00156F90" w:rsidRDefault="00156F90" w:rsidP="00156F90">
      <w:pPr>
        <w:pStyle w:val="NormalWeb"/>
        <w:spacing w:before="0" w:beforeAutospacing="0" w:after="0" w:afterAutospacing="0"/>
        <w:rPr>
          <w:color w:val="000000"/>
        </w:rPr>
      </w:pPr>
    </w:p>
    <w:tbl>
      <w:tblPr>
        <w:tblW w:w="5000" w:type="pct"/>
        <w:tblLayout w:type="fixed"/>
        <w:tblCellMar>
          <w:left w:w="0" w:type="dxa"/>
          <w:right w:w="0" w:type="dxa"/>
        </w:tblCellMar>
        <w:tblLook w:val="0000" w:firstRow="0" w:lastRow="0" w:firstColumn="0" w:lastColumn="0" w:noHBand="0" w:noVBand="0"/>
      </w:tblPr>
      <w:tblGrid>
        <w:gridCol w:w="8660"/>
      </w:tblGrid>
      <w:tr w:rsidR="00156F90" w:rsidTr="00156F90">
        <w:tc>
          <w:tcPr>
            <w:tcW w:w="8660" w:type="dxa"/>
            <w:tcBorders>
              <w:top w:val="nil"/>
              <w:left w:val="nil"/>
              <w:bottom w:val="nil"/>
              <w:right w:val="nil"/>
            </w:tcBorders>
            <w:tcMar>
              <w:top w:w="10" w:type="dxa"/>
              <w:left w:w="10" w:type="dxa"/>
              <w:bottom w:w="10" w:type="dxa"/>
              <w:right w:w="10" w:type="dxa"/>
            </w:tcMar>
            <w:vAlign w:val="center"/>
          </w:tcPr>
          <w:p w:rsidR="00156F90" w:rsidRDefault="00156F90" w:rsidP="00156F90">
            <w:pPr>
              <w:keepNext/>
              <w:keepLines/>
              <w:spacing w:line="200" w:lineRule="atLeast"/>
              <w:rPr>
                <w:rStyle w:val="Strong"/>
                <w:color w:val="000000"/>
                <w:sz w:val="22"/>
                <w:szCs w:val="22"/>
              </w:rPr>
            </w:pPr>
            <w:r>
              <w:rPr>
                <w:rStyle w:val="Strong"/>
                <w:color w:val="000000"/>
                <w:sz w:val="22"/>
                <w:szCs w:val="22"/>
              </w:rPr>
              <w:t xml:space="preserve"> (a) PDO Indicator(s)</w:t>
            </w:r>
          </w:p>
        </w:tc>
      </w:tr>
    </w:tbl>
    <w:p w:rsidR="00156F90" w:rsidRDefault="00156F90" w:rsidP="00156F90">
      <w:pPr>
        <w:keepNext/>
        <w:keepLines/>
        <w:spacing w:line="200" w:lineRule="atLeast"/>
        <w:rPr>
          <w:color w:val="000000"/>
          <w:sz w:val="22"/>
          <w:szCs w:val="22"/>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1449"/>
        <w:gridCol w:w="2340"/>
        <w:gridCol w:w="1714"/>
        <w:gridCol w:w="1332"/>
        <w:gridCol w:w="22"/>
        <w:gridCol w:w="1803"/>
      </w:tblGrid>
      <w:tr w:rsidR="00156F90" w:rsidTr="00156F90">
        <w:tc>
          <w:tcPr>
            <w:tcW w:w="145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Indicator</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Baseline Value</w:t>
            </w:r>
          </w:p>
        </w:tc>
        <w:tc>
          <w:tcPr>
            <w:tcW w:w="1713"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Original Target Values (from approval documents)</w:t>
            </w:r>
          </w:p>
        </w:tc>
        <w:tc>
          <w:tcPr>
            <w:tcW w:w="1332"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Formally Revised Target Values</w:t>
            </w:r>
          </w:p>
        </w:tc>
        <w:tc>
          <w:tcPr>
            <w:tcW w:w="1825"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Actual Value Achieved at Completion or Target Years</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w:t>
            </w:r>
            <w:bookmarkStart w:id="90" w:name="PDO_INDICATORS_COL_1"/>
            <w:r>
              <w:rPr>
                <w:rStyle w:val="Strong"/>
                <w:color w:val="000000"/>
                <w:sz w:val="22"/>
                <w:szCs w:val="22"/>
              </w:rPr>
              <w:t>1</w:t>
            </w:r>
            <w:bookmarkEnd w:id="90"/>
            <w:r>
              <w:rPr>
                <w:rStyle w:val="Strong"/>
                <w:color w:val="000000"/>
                <w:sz w:val="22"/>
                <w:szCs w:val="22"/>
              </w:rPr>
              <w:t xml:space="preserve">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1" w:name="PDO_INDICATORS_COL_2"/>
            <w:r>
              <w:rPr>
                <w:color w:val="000000"/>
                <w:sz w:val="22"/>
                <w:szCs w:val="22"/>
              </w:rPr>
              <w:t>Health Situation Rooms (HSR) Certified.</w:t>
            </w:r>
            <w:bookmarkEnd w:id="91"/>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or </w:t>
            </w:r>
          </w:p>
          <w:p w:rsidR="00156F90" w:rsidRDefault="00156F90" w:rsidP="00156F90">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2" w:name="PDO_INDICATORS_COL_3"/>
            <w:r>
              <w:rPr>
                <w:color w:val="000000"/>
                <w:sz w:val="22"/>
                <w:szCs w:val="22"/>
              </w:rPr>
              <w:t>0</w:t>
            </w:r>
            <w:bookmarkEnd w:id="92"/>
          </w:p>
        </w:tc>
        <w:tc>
          <w:tcPr>
            <w:tcW w:w="1714"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3" w:name="PDO_INDICATORS_COL_4"/>
            <w:r>
              <w:rPr>
                <w:color w:val="000000"/>
                <w:sz w:val="22"/>
                <w:szCs w:val="22"/>
              </w:rPr>
              <w:t>40</w:t>
            </w:r>
            <w:bookmarkEnd w:id="93"/>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4" w:name="PDO_INDICATORS_COL_5"/>
            <w:r>
              <w:rPr>
                <w:color w:val="000000"/>
                <w:sz w:val="22"/>
                <w:szCs w:val="22"/>
              </w:rPr>
              <w:t>38</w:t>
            </w:r>
            <w:bookmarkEnd w:id="94"/>
          </w:p>
        </w:tc>
        <w:tc>
          <w:tcPr>
            <w:tcW w:w="180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5" w:name="PDO_INDICATORS_COL_6"/>
            <w:r>
              <w:rPr>
                <w:color w:val="000000"/>
                <w:sz w:val="22"/>
                <w:szCs w:val="22"/>
              </w:rPr>
              <w:t>36</w:t>
            </w:r>
            <w:bookmarkEnd w:id="95"/>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6" w:name="PDO_INDICATORS_COL_7"/>
            <w:r>
              <w:rPr>
                <w:color w:val="000000"/>
                <w:sz w:val="22"/>
                <w:szCs w:val="22"/>
              </w:rPr>
              <w:t>01/26/2010</w:t>
            </w:r>
            <w:bookmarkEnd w:id="96"/>
          </w:p>
        </w:tc>
        <w:tc>
          <w:tcPr>
            <w:tcW w:w="1714"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7" w:name="PDO_INDICATORS_COL_8"/>
            <w:r>
              <w:rPr>
                <w:color w:val="000000"/>
                <w:sz w:val="22"/>
                <w:szCs w:val="22"/>
              </w:rPr>
              <w:t>03/31/2012</w:t>
            </w:r>
            <w:bookmarkEnd w:id="97"/>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8" w:name="PDO_INDICATORS_COL_9"/>
            <w:r>
              <w:rPr>
                <w:color w:val="000000"/>
                <w:sz w:val="22"/>
                <w:szCs w:val="22"/>
              </w:rPr>
              <w:t>03/31/2013</w:t>
            </w:r>
            <w:bookmarkEnd w:id="98"/>
          </w:p>
        </w:tc>
        <w:tc>
          <w:tcPr>
            <w:tcW w:w="180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99" w:name="PDO_INDICATORS_COL_10"/>
            <w:r>
              <w:rPr>
                <w:color w:val="000000"/>
                <w:sz w:val="22"/>
                <w:szCs w:val="22"/>
              </w:rPr>
              <w:t>11/14/2013</w:t>
            </w:r>
            <w:bookmarkEnd w:id="99"/>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rsidR="00156F90" w:rsidRDefault="00156F90" w:rsidP="003D11EF">
            <w:pPr>
              <w:spacing w:line="200" w:lineRule="atLeast"/>
              <w:rPr>
                <w:color w:val="000000"/>
                <w:sz w:val="22"/>
                <w:szCs w:val="22"/>
              </w:rPr>
            </w:pPr>
            <w:bookmarkStart w:id="100" w:name="PDO_INDICATORS_COL_11"/>
            <w:r>
              <w:rPr>
                <w:color w:val="000000"/>
                <w:sz w:val="22"/>
                <w:szCs w:val="22"/>
              </w:rPr>
              <w:t xml:space="preserve">The PAD did not differentiate between PDO indicators and intermediate results indicators. </w:t>
            </w:r>
            <w:r w:rsidR="003D11EF">
              <w:rPr>
                <w:color w:val="000000"/>
                <w:sz w:val="22"/>
                <w:szCs w:val="22"/>
              </w:rPr>
              <w:t>Project r</w:t>
            </w:r>
            <w:r>
              <w:rPr>
                <w:color w:val="000000"/>
                <w:sz w:val="22"/>
                <w:szCs w:val="22"/>
              </w:rPr>
              <w:t xml:space="preserve">esults are measured by 14 intermediate indicators, out of which </w:t>
            </w:r>
            <w:r w:rsidR="003D11EF">
              <w:rPr>
                <w:color w:val="000000"/>
                <w:sz w:val="22"/>
                <w:szCs w:val="22"/>
              </w:rPr>
              <w:t>five</w:t>
            </w:r>
            <w:r>
              <w:rPr>
                <w:color w:val="000000"/>
                <w:sz w:val="22"/>
                <w:szCs w:val="22"/>
              </w:rPr>
              <w:t xml:space="preserve"> were selected to measure the PDO. This indicator is one and is included here for system purposes.</w:t>
            </w:r>
            <w:bookmarkEnd w:id="100"/>
          </w:p>
        </w:tc>
      </w:tr>
    </w:tbl>
    <w:p w:rsidR="00156F90" w:rsidRDefault="00156F90" w:rsidP="00156F90"/>
    <w:p w:rsidR="00156F90" w:rsidRDefault="00156F90" w:rsidP="00156F90">
      <w:pPr>
        <w:rPr>
          <w:sz w:val="2"/>
          <w:szCs w:val="2"/>
        </w:rPr>
      </w:pPr>
    </w:p>
    <w:tbl>
      <w:tblPr>
        <w:tblW w:w="5000" w:type="pct"/>
        <w:tblLayout w:type="fixed"/>
        <w:tblCellMar>
          <w:left w:w="0" w:type="dxa"/>
          <w:right w:w="0" w:type="dxa"/>
        </w:tblCellMar>
        <w:tblLook w:val="0000" w:firstRow="0" w:lastRow="0" w:firstColumn="0" w:lastColumn="0" w:noHBand="0" w:noVBand="0"/>
      </w:tblPr>
      <w:tblGrid>
        <w:gridCol w:w="8640"/>
      </w:tblGrid>
      <w:tr w:rsidR="00156F90" w:rsidTr="00156F90">
        <w:tc>
          <w:tcPr>
            <w:tcW w:w="8640" w:type="dxa"/>
            <w:vAlign w:val="center"/>
          </w:tcPr>
          <w:p w:rsidR="00156F90" w:rsidRDefault="00156F90" w:rsidP="00156F90">
            <w:pPr>
              <w:keepNext/>
              <w:keepLines/>
              <w:spacing w:line="200" w:lineRule="atLeast"/>
              <w:rPr>
                <w:rStyle w:val="Strong"/>
                <w:color w:val="000000"/>
                <w:sz w:val="22"/>
                <w:szCs w:val="22"/>
              </w:rPr>
            </w:pPr>
            <w:r>
              <w:rPr>
                <w:rStyle w:val="Strong"/>
                <w:color w:val="000000"/>
                <w:sz w:val="22"/>
                <w:szCs w:val="22"/>
              </w:rPr>
              <w:t>(b) Intermediate Outcome Indicator(s)</w:t>
            </w:r>
          </w:p>
        </w:tc>
      </w:tr>
    </w:tbl>
    <w:p w:rsidR="00156F90" w:rsidRDefault="00156F90" w:rsidP="00156F90">
      <w:pPr>
        <w:keepNext/>
        <w:keepLines/>
        <w:spacing w:line="200" w:lineRule="atLeast"/>
        <w:rPr>
          <w:color w:val="000000"/>
          <w:sz w:val="22"/>
          <w:szCs w:val="22"/>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1450"/>
        <w:gridCol w:w="2340"/>
        <w:gridCol w:w="1713"/>
        <w:gridCol w:w="1352"/>
        <w:gridCol w:w="1805"/>
      </w:tblGrid>
      <w:tr w:rsidR="00156F90" w:rsidTr="003D11EF">
        <w:trPr>
          <w:tblHeader/>
        </w:trPr>
        <w:tc>
          <w:tcPr>
            <w:tcW w:w="145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Indicator</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Baseline Value</w:t>
            </w:r>
          </w:p>
        </w:tc>
        <w:tc>
          <w:tcPr>
            <w:tcW w:w="1713"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Original Target Values (from approval documents)</w:t>
            </w:r>
          </w:p>
        </w:tc>
        <w:tc>
          <w:tcPr>
            <w:tcW w:w="1352"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Formally Revised Target Values</w:t>
            </w:r>
          </w:p>
        </w:tc>
        <w:tc>
          <w:tcPr>
            <w:tcW w:w="1805"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Actual Value Achieved at Completion or Target Years</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1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Health Situation Rooms (HSR) Certified.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40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38</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36</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03/31/2013</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3D11EF" w:rsidP="00156F90">
            <w:pPr>
              <w:spacing w:line="200" w:lineRule="atLeast"/>
              <w:rPr>
                <w:color w:val="000000"/>
                <w:sz w:val="22"/>
                <w:szCs w:val="22"/>
              </w:rPr>
            </w:pPr>
            <w:r w:rsidRPr="003D11EF">
              <w:rPr>
                <w:color w:val="000000"/>
                <w:sz w:val="22"/>
                <w:szCs w:val="22"/>
              </w:rPr>
              <w:t>Target partially achieved</w:t>
            </w:r>
            <w:r>
              <w:rPr>
                <w:color w:val="000000"/>
                <w:sz w:val="22"/>
                <w:szCs w:val="22"/>
              </w:rPr>
              <w:t>.</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2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Health Situation Rooms – Level II accredited.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16</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28</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03/19/2012</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12/31/2013</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Target surpassed.  New indicator and target included through 2nd restructuring.</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lastRenderedPageBreak/>
              <w:t xml:space="preserve">Indicator 3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Operational Modules of Social Communication (MOCS) implemented (excluding indigenous people MOCS).</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90%</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Target achieved as reported by MSN. This is one of the five key indicators for purposes of measuring the PDO.</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4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Operational modules of Social Communication (MOCS) for indigenous people implemented.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90%</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Target achieved as reported by MSN.</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5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Dose of A/H1N1 vaccine applied.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107.8%</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11/14/2012</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Target surpassed for 2011 vaccination campaign as reported to the National Health Surveillance System (SNVS) as 4.5 million doses were applied (above the 4.2 million anticipated). Source: EPI </w:t>
            </w:r>
          </w:p>
          <w:p w:rsidR="00156F90" w:rsidRDefault="00156F90" w:rsidP="00156F90">
            <w:pPr>
              <w:spacing w:line="200" w:lineRule="atLeast"/>
              <w:rPr>
                <w:color w:val="000000"/>
                <w:sz w:val="22"/>
                <w:szCs w:val="22"/>
              </w:rPr>
            </w:pPr>
            <w:r>
              <w:rPr>
                <w:color w:val="000000"/>
                <w:sz w:val="22"/>
                <w:szCs w:val="22"/>
              </w:rPr>
              <w:t>This is one of the five key indicators for measuring PDO.</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6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Dose of Pneumococcal vaccine applied.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85%</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99.3%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Target surpassed in 2011 vaccination campaign. Source: EPI</w:t>
            </w:r>
          </w:p>
          <w:p w:rsidR="00156F90" w:rsidRDefault="00156F90" w:rsidP="00156F90">
            <w:pPr>
              <w:spacing w:line="200" w:lineRule="atLeast"/>
              <w:rPr>
                <w:color w:val="000000"/>
                <w:sz w:val="22"/>
                <w:szCs w:val="22"/>
              </w:rPr>
            </w:pPr>
            <w:r>
              <w:rPr>
                <w:color w:val="000000"/>
                <w:sz w:val="22"/>
                <w:szCs w:val="22"/>
              </w:rPr>
              <w:t>This is one of the five key indicators for purposes of measuring the PDO.</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7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Dose of A/H1N1 vaccine included in National Calendar applied.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80%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87.6%</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03/19/2012</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12/31/2013</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3D11EF" w:rsidRDefault="003D11EF" w:rsidP="00156F90">
            <w:pPr>
              <w:spacing w:line="200" w:lineRule="atLeast"/>
              <w:rPr>
                <w:color w:val="000000"/>
                <w:sz w:val="22"/>
                <w:szCs w:val="22"/>
              </w:rPr>
            </w:pPr>
          </w:p>
          <w:p w:rsidR="00156F90" w:rsidRDefault="00156F90" w:rsidP="00156F90">
            <w:pPr>
              <w:spacing w:line="200" w:lineRule="atLeast"/>
              <w:rPr>
                <w:color w:val="000000"/>
                <w:sz w:val="22"/>
                <w:szCs w:val="22"/>
              </w:rPr>
            </w:pPr>
            <w:r>
              <w:rPr>
                <w:color w:val="000000"/>
                <w:sz w:val="22"/>
                <w:szCs w:val="22"/>
              </w:rPr>
              <w:t xml:space="preserve">Target surpassed. Source: PRONACEI. </w:t>
            </w:r>
          </w:p>
          <w:p w:rsidR="00156F90" w:rsidRDefault="00156F90" w:rsidP="00156F90">
            <w:pPr>
              <w:spacing w:line="200" w:lineRule="atLeast"/>
              <w:rPr>
                <w:color w:val="000000"/>
                <w:sz w:val="22"/>
                <w:szCs w:val="22"/>
              </w:rPr>
            </w:pPr>
            <w:r>
              <w:rPr>
                <w:color w:val="000000"/>
                <w:sz w:val="22"/>
                <w:szCs w:val="22"/>
              </w:rPr>
              <w:t>New indicator and target included through 2nd restructuring.</w:t>
            </w:r>
          </w:p>
          <w:p w:rsidR="003D11EF" w:rsidRDefault="003D11EF" w:rsidP="00156F90">
            <w:pPr>
              <w:spacing w:line="200" w:lineRule="atLeast"/>
              <w:rPr>
                <w:color w:val="000000"/>
                <w:sz w:val="22"/>
                <w:szCs w:val="22"/>
              </w:rPr>
            </w:pPr>
          </w:p>
          <w:p w:rsidR="003D11EF" w:rsidRDefault="003D11EF" w:rsidP="00156F90">
            <w:pPr>
              <w:spacing w:line="200" w:lineRule="atLeast"/>
              <w:rPr>
                <w:color w:val="000000"/>
                <w:sz w:val="22"/>
                <w:szCs w:val="22"/>
              </w:rPr>
            </w:pP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lastRenderedPageBreak/>
              <w:t xml:space="preserve">Indicator 8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Dose of Pneumococcal vaccine included in National Calendar applied.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52%</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80%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85%</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03/19/2012</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12/31/2013</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Target surpassed. Source: PRONACEI. </w:t>
            </w:r>
          </w:p>
          <w:p w:rsidR="00156F90" w:rsidRDefault="00156F90" w:rsidP="00156F90">
            <w:pPr>
              <w:spacing w:line="200" w:lineRule="atLeast"/>
              <w:rPr>
                <w:color w:val="000000"/>
                <w:sz w:val="22"/>
                <w:szCs w:val="22"/>
              </w:rPr>
            </w:pPr>
            <w:r>
              <w:rPr>
                <w:color w:val="000000"/>
                <w:sz w:val="22"/>
                <w:szCs w:val="22"/>
              </w:rPr>
              <w:t>New indicator and target included through 2nd restructuring.</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9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Outpatient treatment provided.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99%</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Indicator achieved and target surpassed. Source: EPI</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10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Inpatient treatment provided in hospitalization.</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10,000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Not measured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Indicator not measured due to pandemic control.</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11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Inpatient treatment provided in hospital due to Acute Respiratory Infection.</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27,284</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30,000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40,936</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Target surpassed. Source: EPI</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12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Inpatient treatment provided in ICU.</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1000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 </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Not measured</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11/14/2013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Indicator not measured due to pandemic control.</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13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Influenza diagnostic laboratory test carried out in 2010 and 2011.</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lastRenderedPageBreak/>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lastRenderedPageBreak/>
              <w:t>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24,000</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54,000</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65,341</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lastRenderedPageBreak/>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01/26/2010</w:t>
            </w:r>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03/31/2012</w:t>
            </w:r>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12/31/2013</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Target surpassed. This is one of the five key indicators for purposes of measuring the PDO.</w:t>
            </w:r>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rStyle w:val="Strong"/>
                <w:color w:val="000000"/>
                <w:sz w:val="22"/>
                <w:szCs w:val="22"/>
              </w:rPr>
              <w:t xml:space="preserve">Indicator </w:t>
            </w:r>
            <w:bookmarkStart w:id="101" w:name="IO_INDICATORS_COL_1"/>
            <w:r>
              <w:rPr>
                <w:rStyle w:val="Strong"/>
                <w:color w:val="000000"/>
                <w:sz w:val="22"/>
                <w:szCs w:val="22"/>
              </w:rPr>
              <w:t>14</w:t>
            </w:r>
            <w:bookmarkEnd w:id="101"/>
            <w:r>
              <w:rPr>
                <w:rStyle w:val="Strong"/>
                <w:color w:val="000000"/>
                <w:sz w:val="22"/>
                <w:szCs w:val="22"/>
              </w:rPr>
              <w:t xml:space="preserve">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2" w:name="IO_INDICATORS_COL_2"/>
            <w:r>
              <w:rPr>
                <w:color w:val="000000"/>
                <w:sz w:val="22"/>
                <w:szCs w:val="22"/>
              </w:rPr>
              <w:t>Independent technical audits (ITA) performed.</w:t>
            </w:r>
            <w:bookmarkEnd w:id="102"/>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Value </w:t>
            </w:r>
          </w:p>
          <w:p w:rsidR="00156F90" w:rsidRDefault="00156F90" w:rsidP="00156F90">
            <w:pPr>
              <w:spacing w:line="200" w:lineRule="atLeast"/>
              <w:rPr>
                <w:color w:val="000000"/>
                <w:sz w:val="22"/>
                <w:szCs w:val="22"/>
              </w:rPr>
            </w:pPr>
            <w:r>
              <w:rPr>
                <w:color w:val="000000"/>
                <w:sz w:val="22"/>
                <w:szCs w:val="22"/>
              </w:rPr>
              <w:t xml:space="preserve">(quantitative </w:t>
            </w:r>
          </w:p>
          <w:p w:rsidR="00156F90" w:rsidRDefault="00156F90" w:rsidP="00156F90">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3" w:name="IO_INDICATORS_COL_3"/>
            <w:r>
              <w:rPr>
                <w:color w:val="000000"/>
                <w:sz w:val="22"/>
                <w:szCs w:val="22"/>
              </w:rPr>
              <w:t>0</w:t>
            </w:r>
            <w:bookmarkEnd w:id="103"/>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4" w:name="IO_INDICATORS_COL_4"/>
            <w:r>
              <w:rPr>
                <w:color w:val="000000"/>
                <w:sz w:val="22"/>
                <w:szCs w:val="22"/>
              </w:rPr>
              <w:t>8</w:t>
            </w:r>
            <w:bookmarkEnd w:id="104"/>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5" w:name="IO_INDICATORS_COL_5"/>
            <w:r>
              <w:rPr>
                <w:color w:val="000000"/>
                <w:sz w:val="22"/>
                <w:szCs w:val="22"/>
              </w:rPr>
              <w:t xml:space="preserve"> </w:t>
            </w:r>
            <w:bookmarkEnd w:id="105"/>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6" w:name="IO_INDICATORS_COL_6"/>
            <w:r>
              <w:rPr>
                <w:color w:val="000000"/>
                <w:sz w:val="22"/>
                <w:szCs w:val="22"/>
              </w:rPr>
              <w:t>8</w:t>
            </w:r>
            <w:bookmarkEnd w:id="106"/>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7" w:name="IO_INDICATORS_COL_7"/>
            <w:r>
              <w:rPr>
                <w:color w:val="000000"/>
                <w:sz w:val="22"/>
                <w:szCs w:val="22"/>
              </w:rPr>
              <w:t>01/26/2010</w:t>
            </w:r>
            <w:bookmarkEnd w:id="107"/>
          </w:p>
        </w:tc>
        <w:tc>
          <w:tcPr>
            <w:tcW w:w="1713"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8" w:name="IO_INDICATORS_COL_8"/>
            <w:r>
              <w:rPr>
                <w:color w:val="000000"/>
                <w:sz w:val="22"/>
                <w:szCs w:val="22"/>
              </w:rPr>
              <w:t>03/31/2012</w:t>
            </w:r>
            <w:bookmarkEnd w:id="108"/>
          </w:p>
        </w:tc>
        <w:tc>
          <w:tcPr>
            <w:tcW w:w="135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09" w:name="IO_INDICATORS_COL_9"/>
            <w:bookmarkEnd w:id="109"/>
          </w:p>
        </w:tc>
        <w:tc>
          <w:tcPr>
            <w:tcW w:w="1805"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10" w:name="IO_INDICATORS_COL_10"/>
            <w:r>
              <w:rPr>
                <w:color w:val="000000"/>
                <w:sz w:val="22"/>
                <w:szCs w:val="22"/>
              </w:rPr>
              <w:t>11/14/2013</w:t>
            </w:r>
            <w:bookmarkEnd w:id="110"/>
          </w:p>
        </w:tc>
      </w:tr>
      <w:tr w:rsidR="00156F90" w:rsidTr="00156F90">
        <w:tc>
          <w:tcPr>
            <w:tcW w:w="145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 xml:space="preserve">Comments </w:t>
            </w:r>
          </w:p>
          <w:p w:rsidR="00156F90" w:rsidRDefault="00156F90" w:rsidP="00156F90">
            <w:pPr>
              <w:spacing w:line="200" w:lineRule="atLeast"/>
              <w:rPr>
                <w:color w:val="000000"/>
                <w:sz w:val="22"/>
                <w:szCs w:val="22"/>
              </w:rPr>
            </w:pPr>
            <w:r>
              <w:rPr>
                <w:color w:val="000000"/>
                <w:sz w:val="22"/>
                <w:szCs w:val="22"/>
              </w:rPr>
              <w:t xml:space="preserve">(incl. % </w:t>
            </w:r>
          </w:p>
          <w:p w:rsidR="00156F90" w:rsidRDefault="00156F90" w:rsidP="00156F90">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11" w:name="IO_INDICATORS_COL_11"/>
            <w:r>
              <w:rPr>
                <w:color w:val="000000"/>
                <w:sz w:val="22"/>
                <w:szCs w:val="22"/>
              </w:rPr>
              <w:t>Target achieved.</w:t>
            </w:r>
            <w:bookmarkEnd w:id="111"/>
          </w:p>
        </w:tc>
      </w:tr>
    </w:tbl>
    <w:p w:rsidR="00156F90" w:rsidRDefault="00156F90" w:rsidP="00156F90"/>
    <w:p w:rsidR="00156F90" w:rsidRDefault="00156F90" w:rsidP="00156F90">
      <w:pPr>
        <w:rPr>
          <w:sz w:val="2"/>
          <w:szCs w:val="2"/>
        </w:rPr>
      </w:pPr>
    </w:p>
    <w:tbl>
      <w:tblPr>
        <w:tblW w:w="5000" w:type="pct"/>
        <w:tblCellSpacing w:w="7" w:type="dxa"/>
        <w:tblCellMar>
          <w:left w:w="0" w:type="dxa"/>
          <w:right w:w="0" w:type="dxa"/>
        </w:tblCellMar>
        <w:tblLook w:val="0000" w:firstRow="0" w:lastRow="0" w:firstColumn="0" w:lastColumn="0" w:noHBand="0" w:noVBand="0"/>
      </w:tblPr>
      <w:tblGrid>
        <w:gridCol w:w="8668"/>
      </w:tblGrid>
      <w:tr w:rsidR="00156F90" w:rsidTr="00156F90">
        <w:trPr>
          <w:tblCellSpacing w:w="7" w:type="dxa"/>
        </w:trPr>
        <w:tc>
          <w:tcPr>
            <w:tcW w:w="0" w:type="auto"/>
            <w:vAlign w:val="center"/>
          </w:tcPr>
          <w:p w:rsidR="00156F90" w:rsidRDefault="00156F90" w:rsidP="00156F90">
            <w:pPr>
              <w:pStyle w:val="Heading2"/>
              <w:keepNext/>
              <w:keepLines/>
            </w:pPr>
            <w:r>
              <w:t>G. Ratings of Project Performance in ISRs</w:t>
            </w:r>
          </w:p>
        </w:tc>
      </w:tr>
      <w:tr w:rsidR="00156F90" w:rsidTr="00156F90">
        <w:trPr>
          <w:tblCellSpacing w:w="7" w:type="dxa"/>
        </w:trPr>
        <w:tc>
          <w:tcPr>
            <w:tcW w:w="0" w:type="auto"/>
            <w:vAlign w:val="center"/>
          </w:tcPr>
          <w:p w:rsidR="00156F90" w:rsidRDefault="00156F90" w:rsidP="00156F90">
            <w:pPr>
              <w:keepNext/>
              <w:keepLines/>
            </w:pPr>
          </w:p>
        </w:tc>
      </w:tr>
    </w:tbl>
    <w:p w:rsidR="00156F90" w:rsidRDefault="00156F90" w:rsidP="00156F90">
      <w:pPr>
        <w:keepNext/>
        <w:keepLines/>
        <w:rPr>
          <w:vanish/>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522"/>
        <w:gridCol w:w="1468"/>
        <w:gridCol w:w="2340"/>
        <w:gridCol w:w="2340"/>
        <w:gridCol w:w="1990"/>
      </w:tblGrid>
      <w:tr w:rsidR="00156F90" w:rsidTr="00156F90">
        <w:tc>
          <w:tcPr>
            <w:tcW w:w="522"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No.</w:t>
            </w:r>
          </w:p>
        </w:tc>
        <w:tc>
          <w:tcPr>
            <w:tcW w:w="1468"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 xml:space="preserve">Date ISR </w:t>
            </w:r>
          </w:p>
          <w:p w:rsidR="00156F90" w:rsidRDefault="00156F90" w:rsidP="00156F90">
            <w:pPr>
              <w:keepNext/>
              <w:keepLines/>
              <w:jc w:val="center"/>
              <w:rPr>
                <w:b/>
                <w:bCs/>
                <w:color w:val="606060"/>
                <w:sz w:val="22"/>
                <w:szCs w:val="22"/>
              </w:rPr>
            </w:pPr>
            <w:r>
              <w:rPr>
                <w:b/>
                <w:bCs/>
                <w:color w:val="606060"/>
                <w:sz w:val="22"/>
                <w:szCs w:val="22"/>
              </w:rPr>
              <w:t>Archived</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DO</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IP</w:t>
            </w:r>
          </w:p>
        </w:tc>
        <w:tc>
          <w:tcPr>
            <w:tcW w:w="199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keepLines/>
              <w:jc w:val="center"/>
              <w:rPr>
                <w:b/>
                <w:bCs/>
                <w:color w:val="606060"/>
                <w:sz w:val="22"/>
                <w:szCs w:val="22"/>
              </w:rPr>
            </w:pPr>
            <w:r>
              <w:rPr>
                <w:b/>
                <w:bCs/>
                <w:color w:val="606060"/>
                <w:sz w:val="22"/>
                <w:szCs w:val="22"/>
              </w:rPr>
              <w:t>Actual Disbursements</w:t>
            </w:r>
          </w:p>
          <w:p w:rsidR="00156F90" w:rsidRDefault="00156F90" w:rsidP="00156F90">
            <w:pPr>
              <w:keepNext/>
              <w:keepLines/>
              <w:jc w:val="center"/>
              <w:rPr>
                <w:b/>
                <w:bCs/>
                <w:color w:val="606060"/>
                <w:sz w:val="22"/>
                <w:szCs w:val="22"/>
              </w:rPr>
            </w:pPr>
            <w:r>
              <w:rPr>
                <w:b/>
                <w:bCs/>
                <w:color w:val="606060"/>
                <w:sz w:val="22"/>
                <w:szCs w:val="22"/>
              </w:rPr>
              <w:t>(USD millions)</w:t>
            </w:r>
          </w:p>
        </w:tc>
      </w:tr>
      <w:tr w:rsidR="00156F90" w:rsidTr="00156F90">
        <w:tc>
          <w:tcPr>
            <w:tcW w:w="52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1</w:t>
            </w:r>
          </w:p>
        </w:tc>
        <w:tc>
          <w:tcPr>
            <w:tcW w:w="1468"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06/28/2010</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1430"/>
              </w:tabs>
              <w:spacing w:line="200" w:lineRule="atLeast"/>
              <w:rPr>
                <w:color w:val="000000"/>
                <w:sz w:val="22"/>
                <w:szCs w:val="22"/>
              </w:rPr>
            </w:pPr>
            <w:r>
              <w:rPr>
                <w:color w:val="000000"/>
                <w:sz w:val="22"/>
                <w:szCs w:val="22"/>
              </w:rPr>
              <w:t>90.00</w:t>
            </w:r>
          </w:p>
        </w:tc>
      </w:tr>
      <w:tr w:rsidR="00156F90" w:rsidTr="00156F90">
        <w:tc>
          <w:tcPr>
            <w:tcW w:w="52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2</w:t>
            </w:r>
          </w:p>
        </w:tc>
        <w:tc>
          <w:tcPr>
            <w:tcW w:w="1468"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02/23/2011</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1430"/>
              </w:tabs>
              <w:spacing w:line="200" w:lineRule="atLeast"/>
              <w:rPr>
                <w:color w:val="000000"/>
                <w:sz w:val="22"/>
                <w:szCs w:val="22"/>
              </w:rPr>
            </w:pPr>
            <w:r>
              <w:rPr>
                <w:color w:val="000000"/>
                <w:sz w:val="22"/>
                <w:szCs w:val="22"/>
              </w:rPr>
              <w:t>129.81</w:t>
            </w:r>
          </w:p>
        </w:tc>
      </w:tr>
      <w:tr w:rsidR="00156F90" w:rsidTr="00156F90">
        <w:tc>
          <w:tcPr>
            <w:tcW w:w="52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3</w:t>
            </w:r>
          </w:p>
        </w:tc>
        <w:tc>
          <w:tcPr>
            <w:tcW w:w="1468"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09/07/2011</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1430"/>
              </w:tabs>
              <w:spacing w:line="200" w:lineRule="atLeast"/>
              <w:rPr>
                <w:color w:val="000000"/>
                <w:sz w:val="22"/>
                <w:szCs w:val="22"/>
              </w:rPr>
            </w:pPr>
            <w:r>
              <w:rPr>
                <w:color w:val="000000"/>
                <w:sz w:val="22"/>
                <w:szCs w:val="22"/>
              </w:rPr>
              <w:t>130.57</w:t>
            </w:r>
          </w:p>
        </w:tc>
      </w:tr>
      <w:tr w:rsidR="00156F90" w:rsidTr="00156F90">
        <w:tc>
          <w:tcPr>
            <w:tcW w:w="52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4</w:t>
            </w:r>
          </w:p>
        </w:tc>
        <w:tc>
          <w:tcPr>
            <w:tcW w:w="1468"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03/21/2012</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1430"/>
              </w:tabs>
              <w:spacing w:line="200" w:lineRule="atLeast"/>
              <w:rPr>
                <w:color w:val="000000"/>
                <w:sz w:val="22"/>
                <w:szCs w:val="22"/>
              </w:rPr>
            </w:pPr>
            <w:r>
              <w:rPr>
                <w:color w:val="000000"/>
                <w:sz w:val="22"/>
                <w:szCs w:val="22"/>
              </w:rPr>
              <w:t>132.15</w:t>
            </w:r>
          </w:p>
        </w:tc>
      </w:tr>
      <w:tr w:rsidR="00156F90" w:rsidTr="00156F90">
        <w:tc>
          <w:tcPr>
            <w:tcW w:w="52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5</w:t>
            </w:r>
          </w:p>
        </w:tc>
        <w:tc>
          <w:tcPr>
            <w:tcW w:w="1468"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11/17/2012</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1430"/>
              </w:tabs>
              <w:spacing w:line="200" w:lineRule="atLeast"/>
              <w:rPr>
                <w:color w:val="000000"/>
                <w:sz w:val="22"/>
                <w:szCs w:val="22"/>
              </w:rPr>
            </w:pPr>
            <w:r>
              <w:rPr>
                <w:color w:val="000000"/>
                <w:sz w:val="22"/>
                <w:szCs w:val="22"/>
              </w:rPr>
              <w:t>136.15</w:t>
            </w:r>
          </w:p>
        </w:tc>
      </w:tr>
      <w:tr w:rsidR="00156F90" w:rsidTr="00156F90">
        <w:tc>
          <w:tcPr>
            <w:tcW w:w="52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6</w:t>
            </w:r>
          </w:p>
        </w:tc>
        <w:tc>
          <w:tcPr>
            <w:tcW w:w="1468"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07/09/2013</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1430"/>
              </w:tabs>
              <w:spacing w:line="200" w:lineRule="atLeast"/>
              <w:rPr>
                <w:color w:val="000000"/>
                <w:sz w:val="22"/>
                <w:szCs w:val="22"/>
              </w:rPr>
            </w:pPr>
            <w:r>
              <w:rPr>
                <w:color w:val="000000"/>
                <w:sz w:val="22"/>
                <w:szCs w:val="22"/>
              </w:rPr>
              <w:t>139.70</w:t>
            </w:r>
          </w:p>
        </w:tc>
      </w:tr>
      <w:tr w:rsidR="00156F90" w:rsidTr="00156F90">
        <w:tc>
          <w:tcPr>
            <w:tcW w:w="52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w:t>
            </w:r>
            <w:bookmarkStart w:id="112" w:name="ARCHISR_COL_1"/>
            <w:r>
              <w:rPr>
                <w:color w:val="000000"/>
                <w:sz w:val="22"/>
                <w:szCs w:val="22"/>
              </w:rPr>
              <w:t>7</w:t>
            </w:r>
            <w:bookmarkEnd w:id="112"/>
          </w:p>
        </w:tc>
        <w:tc>
          <w:tcPr>
            <w:tcW w:w="1468"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bookmarkStart w:id="113" w:name="ARCHISR_COL_2"/>
            <w:r>
              <w:rPr>
                <w:color w:val="000000"/>
                <w:sz w:val="22"/>
                <w:szCs w:val="22"/>
              </w:rPr>
              <w:t>12/30/2013</w:t>
            </w:r>
            <w:bookmarkEnd w:id="113"/>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bookmarkStart w:id="114" w:name="ARCHISR_COL_3"/>
            <w:r>
              <w:rPr>
                <w:color w:val="000000"/>
                <w:sz w:val="22"/>
                <w:szCs w:val="22"/>
              </w:rPr>
              <w:t>Satisfactory</w:t>
            </w:r>
            <w:bookmarkEnd w:id="114"/>
          </w:p>
        </w:tc>
        <w:tc>
          <w:tcPr>
            <w:tcW w:w="23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bookmarkStart w:id="115" w:name="ARCHISR_COL_4"/>
            <w:r>
              <w:rPr>
                <w:color w:val="000000"/>
                <w:sz w:val="22"/>
                <w:szCs w:val="22"/>
              </w:rPr>
              <w:t>Satisfactory</w:t>
            </w:r>
            <w:bookmarkEnd w:id="115"/>
          </w:p>
        </w:tc>
        <w:tc>
          <w:tcPr>
            <w:tcW w:w="19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1430"/>
              </w:tabs>
              <w:spacing w:line="200" w:lineRule="atLeast"/>
              <w:rPr>
                <w:color w:val="000000"/>
                <w:sz w:val="22"/>
                <w:szCs w:val="22"/>
              </w:rPr>
            </w:pPr>
            <w:bookmarkStart w:id="116" w:name="ARCHISR_COL_5"/>
            <w:r>
              <w:rPr>
                <w:color w:val="000000"/>
                <w:sz w:val="22"/>
                <w:szCs w:val="22"/>
              </w:rPr>
              <w:t>140.43</w:t>
            </w:r>
            <w:bookmarkEnd w:id="116"/>
          </w:p>
        </w:tc>
      </w:tr>
    </w:tbl>
    <w:p w:rsidR="00156F90" w:rsidRDefault="00156F90" w:rsidP="00156F90"/>
    <w:p w:rsidR="00156F90" w:rsidRDefault="00156F90" w:rsidP="00156F90"/>
    <w:tbl>
      <w:tblPr>
        <w:tblW w:w="5000" w:type="pct"/>
        <w:tblCellSpacing w:w="7" w:type="dxa"/>
        <w:tblCellMar>
          <w:left w:w="0" w:type="dxa"/>
          <w:right w:w="0" w:type="dxa"/>
        </w:tblCellMar>
        <w:tblLook w:val="0000" w:firstRow="0" w:lastRow="0" w:firstColumn="0" w:lastColumn="0" w:noHBand="0" w:noVBand="0"/>
      </w:tblPr>
      <w:tblGrid>
        <w:gridCol w:w="8668"/>
      </w:tblGrid>
      <w:tr w:rsidR="00156F90" w:rsidTr="00156F90">
        <w:trPr>
          <w:tblCellSpacing w:w="7" w:type="dxa"/>
        </w:trPr>
        <w:tc>
          <w:tcPr>
            <w:tcW w:w="0" w:type="auto"/>
            <w:vAlign w:val="center"/>
          </w:tcPr>
          <w:p w:rsidR="00156F90" w:rsidRDefault="00156F90" w:rsidP="00156F90">
            <w:pPr>
              <w:pStyle w:val="Heading2"/>
              <w:keepNext/>
              <w:keepLines/>
            </w:pPr>
            <w:r>
              <w:t xml:space="preserve">H. Restructuring (if any) </w:t>
            </w:r>
          </w:p>
        </w:tc>
      </w:tr>
    </w:tbl>
    <w:p w:rsidR="00156F90" w:rsidRDefault="00156F90" w:rsidP="00156F90"/>
    <w:tbl>
      <w:tblPr>
        <w:tblW w:w="5000" w:type="pct"/>
        <w:tblLayout w:type="fixed"/>
        <w:tblCellMar>
          <w:top w:w="10" w:type="dxa"/>
          <w:left w:w="10" w:type="dxa"/>
          <w:bottom w:w="10" w:type="dxa"/>
          <w:right w:w="10" w:type="dxa"/>
        </w:tblCellMar>
        <w:tblLook w:val="0000" w:firstRow="0" w:lastRow="0" w:firstColumn="0" w:lastColumn="0" w:noHBand="0" w:noVBand="0"/>
      </w:tblPr>
      <w:tblGrid>
        <w:gridCol w:w="1503"/>
        <w:gridCol w:w="10"/>
        <w:gridCol w:w="1389"/>
        <w:gridCol w:w="6"/>
        <w:gridCol w:w="702"/>
        <w:gridCol w:w="720"/>
        <w:gridCol w:w="1440"/>
        <w:gridCol w:w="2890"/>
      </w:tblGrid>
      <w:tr w:rsidR="00156F90" w:rsidTr="00156F90">
        <w:trPr>
          <w:cantSplit/>
          <w:tblHeader/>
        </w:trPr>
        <w:tc>
          <w:tcPr>
            <w:tcW w:w="1503"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jc w:val="center"/>
              <w:rPr>
                <w:b/>
                <w:bCs/>
                <w:color w:val="606060"/>
                <w:sz w:val="22"/>
                <w:szCs w:val="22"/>
              </w:rPr>
            </w:pPr>
            <w:r>
              <w:rPr>
                <w:b/>
                <w:bCs/>
                <w:color w:val="606060"/>
                <w:sz w:val="22"/>
                <w:szCs w:val="22"/>
              </w:rPr>
              <w:t>Restructuring Date(s)</w:t>
            </w:r>
          </w:p>
        </w:tc>
        <w:tc>
          <w:tcPr>
            <w:tcW w:w="1399" w:type="dxa"/>
            <w:gridSpan w:val="2"/>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jc w:val="center"/>
              <w:rPr>
                <w:b/>
                <w:bCs/>
                <w:color w:val="606060"/>
                <w:sz w:val="22"/>
                <w:szCs w:val="22"/>
              </w:rPr>
            </w:pPr>
            <w:r>
              <w:rPr>
                <w:b/>
                <w:bCs/>
                <w:color w:val="606060"/>
                <w:sz w:val="22"/>
                <w:szCs w:val="22"/>
              </w:rPr>
              <w:t>Board Approved PDO Change</w:t>
            </w:r>
          </w:p>
        </w:tc>
        <w:tc>
          <w:tcPr>
            <w:tcW w:w="1428" w:type="dxa"/>
            <w:gridSpan w:val="3"/>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keepNext/>
              <w:jc w:val="center"/>
              <w:rPr>
                <w:b/>
                <w:bCs/>
                <w:color w:val="606060"/>
                <w:sz w:val="22"/>
                <w:szCs w:val="22"/>
              </w:rPr>
            </w:pPr>
            <w:r>
              <w:rPr>
                <w:b/>
                <w:bCs/>
                <w:color w:val="606060"/>
                <w:sz w:val="22"/>
                <w:szCs w:val="22"/>
              </w:rPr>
              <w:t>ISR Ratings at Restructuring</w:t>
            </w:r>
          </w:p>
        </w:tc>
        <w:tc>
          <w:tcPr>
            <w:tcW w:w="1440"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jc w:val="center"/>
              <w:rPr>
                <w:b/>
                <w:bCs/>
                <w:color w:val="606060"/>
                <w:sz w:val="22"/>
                <w:szCs w:val="22"/>
              </w:rPr>
            </w:pPr>
            <w:r>
              <w:rPr>
                <w:b/>
                <w:bCs/>
                <w:color w:val="606060"/>
                <w:sz w:val="22"/>
                <w:szCs w:val="22"/>
              </w:rPr>
              <w:t>Amount Disbursed at Restructuring in USD millions</w:t>
            </w:r>
          </w:p>
        </w:tc>
        <w:tc>
          <w:tcPr>
            <w:tcW w:w="2890"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jc w:val="center"/>
              <w:rPr>
                <w:b/>
                <w:bCs/>
                <w:color w:val="606060"/>
                <w:sz w:val="22"/>
                <w:szCs w:val="22"/>
              </w:rPr>
            </w:pPr>
            <w:r>
              <w:rPr>
                <w:b/>
                <w:bCs/>
                <w:color w:val="606060"/>
                <w:sz w:val="22"/>
                <w:szCs w:val="22"/>
              </w:rPr>
              <w:t>Reason for Restructuring &amp; Key Changes Made</w:t>
            </w:r>
          </w:p>
        </w:tc>
      </w:tr>
      <w:tr w:rsidR="00156F90" w:rsidTr="00156F90">
        <w:trPr>
          <w:cantSplit/>
          <w:tblHeader/>
        </w:trPr>
        <w:tc>
          <w:tcPr>
            <w:tcW w:w="1503" w:type="dxa"/>
            <w:vMerge/>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rPr>
                <w:b/>
                <w:bCs/>
                <w:color w:val="606060"/>
                <w:sz w:val="22"/>
                <w:szCs w:val="22"/>
              </w:rPr>
            </w:pPr>
          </w:p>
        </w:tc>
        <w:tc>
          <w:tcPr>
            <w:tcW w:w="1399" w:type="dxa"/>
            <w:gridSpan w:val="2"/>
            <w:vMerge/>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rPr>
                <w:b/>
                <w:bCs/>
                <w:color w:val="606060"/>
                <w:sz w:val="22"/>
                <w:szCs w:val="22"/>
              </w:rPr>
            </w:pPr>
          </w:p>
        </w:tc>
        <w:tc>
          <w:tcPr>
            <w:tcW w:w="708"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jc w:val="center"/>
              <w:rPr>
                <w:b/>
                <w:bCs/>
                <w:color w:val="606060"/>
                <w:sz w:val="22"/>
                <w:szCs w:val="22"/>
              </w:rPr>
            </w:pPr>
            <w:r>
              <w:rPr>
                <w:b/>
                <w:bCs/>
                <w:color w:val="606060"/>
                <w:sz w:val="22"/>
                <w:szCs w:val="22"/>
              </w:rPr>
              <w:t>DO</w:t>
            </w:r>
          </w:p>
        </w:tc>
        <w:tc>
          <w:tcPr>
            <w:tcW w:w="72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156F90" w:rsidRDefault="00156F90" w:rsidP="00156F90">
            <w:pPr>
              <w:jc w:val="center"/>
              <w:rPr>
                <w:b/>
                <w:bCs/>
                <w:color w:val="606060"/>
                <w:sz w:val="22"/>
                <w:szCs w:val="22"/>
              </w:rPr>
            </w:pPr>
            <w:r>
              <w:rPr>
                <w:b/>
                <w:bCs/>
                <w:color w:val="606060"/>
                <w:sz w:val="22"/>
                <w:szCs w:val="22"/>
              </w:rPr>
              <w:t>IP</w:t>
            </w:r>
          </w:p>
        </w:tc>
        <w:tc>
          <w:tcPr>
            <w:tcW w:w="1440" w:type="dxa"/>
            <w:vMerge/>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rPr>
                <w:b/>
                <w:bCs/>
                <w:color w:val="606060"/>
                <w:sz w:val="22"/>
                <w:szCs w:val="22"/>
              </w:rPr>
            </w:pPr>
          </w:p>
        </w:tc>
        <w:tc>
          <w:tcPr>
            <w:tcW w:w="2890" w:type="dxa"/>
            <w:vMerge/>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rPr>
                <w:b/>
                <w:bCs/>
                <w:color w:val="606060"/>
                <w:sz w:val="22"/>
                <w:szCs w:val="22"/>
              </w:rPr>
            </w:pPr>
          </w:p>
        </w:tc>
      </w:tr>
      <w:tr w:rsidR="00156F90" w:rsidTr="00156F90">
        <w:tc>
          <w:tcPr>
            <w:tcW w:w="1513"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05/12/2011</w:t>
            </w:r>
          </w:p>
        </w:tc>
        <w:tc>
          <w:tcPr>
            <w:tcW w:w="1395"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N</w:t>
            </w:r>
          </w:p>
        </w:tc>
        <w:tc>
          <w:tcPr>
            <w:tcW w:w="70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w:t>
            </w:r>
          </w:p>
        </w:tc>
        <w:tc>
          <w:tcPr>
            <w:tcW w:w="72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w:t>
            </w:r>
          </w:p>
        </w:tc>
        <w:tc>
          <w:tcPr>
            <w:tcW w:w="14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827"/>
              </w:tabs>
              <w:spacing w:line="200" w:lineRule="atLeast"/>
              <w:rPr>
                <w:color w:val="000000"/>
                <w:sz w:val="22"/>
                <w:szCs w:val="22"/>
              </w:rPr>
            </w:pPr>
            <w:r>
              <w:rPr>
                <w:color w:val="000000"/>
                <w:sz w:val="22"/>
                <w:szCs w:val="22"/>
              </w:rPr>
              <w:t>129.81</w:t>
            </w:r>
          </w:p>
        </w:tc>
        <w:tc>
          <w:tcPr>
            <w:tcW w:w="28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Cancelation of US$88 million of the Loan amount and reallocation of Loan proceeds.</w:t>
            </w:r>
          </w:p>
        </w:tc>
      </w:tr>
      <w:tr w:rsidR="00156F90" w:rsidTr="00156F90">
        <w:tc>
          <w:tcPr>
            <w:tcW w:w="1513"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 xml:space="preserve"> 03/19/2012</w:t>
            </w:r>
          </w:p>
        </w:tc>
        <w:tc>
          <w:tcPr>
            <w:tcW w:w="1395"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p>
        </w:tc>
        <w:tc>
          <w:tcPr>
            <w:tcW w:w="70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w:t>
            </w:r>
          </w:p>
        </w:tc>
        <w:tc>
          <w:tcPr>
            <w:tcW w:w="72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t>S</w:t>
            </w:r>
          </w:p>
        </w:tc>
        <w:tc>
          <w:tcPr>
            <w:tcW w:w="14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827"/>
              </w:tabs>
              <w:spacing w:line="200" w:lineRule="atLeast"/>
              <w:rPr>
                <w:color w:val="000000"/>
                <w:sz w:val="22"/>
                <w:szCs w:val="22"/>
              </w:rPr>
            </w:pPr>
            <w:r>
              <w:rPr>
                <w:color w:val="000000"/>
                <w:sz w:val="22"/>
                <w:szCs w:val="22"/>
              </w:rPr>
              <w:t>132.15</w:t>
            </w:r>
          </w:p>
        </w:tc>
        <w:tc>
          <w:tcPr>
            <w:tcW w:w="28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r>
              <w:rPr>
                <w:color w:val="000000"/>
                <w:sz w:val="22"/>
                <w:szCs w:val="22"/>
              </w:rPr>
              <w:t>First extension of the Project’s closing date by 12 months, modification of Project indicators and reallocation of loan proceeds.</w:t>
            </w:r>
          </w:p>
        </w:tc>
      </w:tr>
      <w:tr w:rsidR="00156F90" w:rsidTr="00156F90">
        <w:tc>
          <w:tcPr>
            <w:tcW w:w="1513"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r>
              <w:rPr>
                <w:color w:val="000000"/>
                <w:sz w:val="22"/>
                <w:szCs w:val="22"/>
              </w:rPr>
              <w:lastRenderedPageBreak/>
              <w:t xml:space="preserve"> </w:t>
            </w:r>
            <w:bookmarkStart w:id="117" w:name="RESTRUCTURING_DATE_COL_1"/>
            <w:r>
              <w:rPr>
                <w:color w:val="000000"/>
                <w:sz w:val="22"/>
                <w:szCs w:val="22"/>
              </w:rPr>
              <w:t>03/01/2013</w:t>
            </w:r>
            <w:bookmarkEnd w:id="117"/>
          </w:p>
        </w:tc>
        <w:tc>
          <w:tcPr>
            <w:tcW w:w="1395" w:type="dxa"/>
            <w:gridSpan w:val="2"/>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bookmarkStart w:id="118" w:name="RESTRUCTURING_DATE_COL_2"/>
            <w:bookmarkEnd w:id="118"/>
          </w:p>
        </w:tc>
        <w:tc>
          <w:tcPr>
            <w:tcW w:w="702"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bookmarkStart w:id="119" w:name="RESTRUCTURING_DATE_COL_3"/>
            <w:r>
              <w:rPr>
                <w:color w:val="000000"/>
                <w:sz w:val="22"/>
                <w:szCs w:val="22"/>
              </w:rPr>
              <w:t>S</w:t>
            </w:r>
            <w:bookmarkEnd w:id="119"/>
          </w:p>
        </w:tc>
        <w:tc>
          <w:tcPr>
            <w:tcW w:w="72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jc w:val="center"/>
              <w:rPr>
                <w:color w:val="000000"/>
                <w:sz w:val="22"/>
                <w:szCs w:val="22"/>
              </w:rPr>
            </w:pPr>
            <w:bookmarkStart w:id="120" w:name="RESTRUCTURING_DATE_COL_4"/>
            <w:r>
              <w:rPr>
                <w:color w:val="000000"/>
                <w:sz w:val="22"/>
                <w:szCs w:val="22"/>
              </w:rPr>
              <w:t>S</w:t>
            </w:r>
            <w:bookmarkEnd w:id="120"/>
          </w:p>
        </w:tc>
        <w:tc>
          <w:tcPr>
            <w:tcW w:w="144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tabs>
                <w:tab w:val="decimal" w:pos="827"/>
              </w:tabs>
              <w:spacing w:line="200" w:lineRule="atLeast"/>
              <w:rPr>
                <w:color w:val="000000"/>
                <w:sz w:val="22"/>
                <w:szCs w:val="22"/>
              </w:rPr>
            </w:pPr>
            <w:bookmarkStart w:id="121" w:name="RESTRUCTURING_DATE_COL_5"/>
            <w:r>
              <w:rPr>
                <w:color w:val="000000"/>
                <w:sz w:val="22"/>
                <w:szCs w:val="22"/>
              </w:rPr>
              <w:t>138.98</w:t>
            </w:r>
            <w:bookmarkEnd w:id="121"/>
          </w:p>
        </w:tc>
        <w:tc>
          <w:tcPr>
            <w:tcW w:w="2890" w:type="dxa"/>
            <w:tcBorders>
              <w:top w:val="single" w:sz="4" w:space="0" w:color="B1B1B1"/>
              <w:left w:val="single" w:sz="4" w:space="0" w:color="B1B1B1"/>
              <w:bottom w:val="single" w:sz="4" w:space="0" w:color="B1B1B1"/>
              <w:right w:val="single" w:sz="4" w:space="0" w:color="B1B1B1"/>
            </w:tcBorders>
            <w:vAlign w:val="center"/>
          </w:tcPr>
          <w:p w:rsidR="00156F90" w:rsidRDefault="00156F90" w:rsidP="00156F90">
            <w:pPr>
              <w:spacing w:line="200" w:lineRule="atLeast"/>
              <w:rPr>
                <w:color w:val="000000"/>
                <w:sz w:val="22"/>
                <w:szCs w:val="22"/>
              </w:rPr>
            </w:pPr>
            <w:bookmarkStart w:id="122" w:name="RESTRUCTURING_DATE_COL_6"/>
            <w:r>
              <w:rPr>
                <w:color w:val="000000"/>
                <w:sz w:val="22"/>
                <w:szCs w:val="22"/>
              </w:rPr>
              <w:t>Second extension of the closing date.</w:t>
            </w:r>
            <w:bookmarkEnd w:id="122"/>
          </w:p>
        </w:tc>
      </w:tr>
    </w:tbl>
    <w:p w:rsidR="00156F90" w:rsidRDefault="00156F90" w:rsidP="00156F90"/>
    <w:p w:rsidR="00156F90" w:rsidRDefault="00156F90" w:rsidP="00156F90"/>
    <w:p w:rsidR="00156F90" w:rsidRDefault="00156F90" w:rsidP="00156F90"/>
    <w:p w:rsidR="00156F90" w:rsidRDefault="00156F90" w:rsidP="00156F90">
      <w:pPr>
        <w:rPr>
          <w:vanish/>
          <w:sz w:val="2"/>
          <w:szCs w:val="2"/>
        </w:rPr>
      </w:pPr>
    </w:p>
    <w:p w:rsidR="00156F90" w:rsidRDefault="00156F90" w:rsidP="00156F90">
      <w:pPr>
        <w:pStyle w:val="Heading2"/>
        <w:keepNext/>
        <w:keepLines/>
      </w:pPr>
      <w:r>
        <w:t>I.  Disbursement Profile</w:t>
      </w:r>
    </w:p>
    <w:p w:rsidR="00156F90" w:rsidRDefault="00156F90" w:rsidP="00156F90">
      <w:r>
        <w:rPr>
          <w:noProof/>
          <w:lang w:eastAsia="en-US"/>
        </w:rPr>
        <w:drawing>
          <wp:inline distT="0" distB="0" distL="0" distR="0" wp14:anchorId="79AB9FB9" wp14:editId="481B6901">
            <wp:extent cx="5716905" cy="2854325"/>
            <wp:effectExtent l="0" t="0" r="0" b="3175"/>
            <wp:docPr id="2" name="Picture 2" descr="http://projportal.worldbank.org/shared/SiteResources/ICR/DISB_CHART/P117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jportal.worldbank.org/shared/SiteResources/ICR/DISB_CHART/P117377.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6905" cy="2854325"/>
                    </a:xfrm>
                    <a:prstGeom prst="rect">
                      <a:avLst/>
                    </a:prstGeom>
                    <a:noFill/>
                    <a:ln>
                      <a:noFill/>
                    </a:ln>
                  </pic:spPr>
                </pic:pic>
              </a:graphicData>
            </a:graphic>
          </wp:inline>
        </w:drawing>
      </w:r>
    </w:p>
    <w:p w:rsidR="00156F90" w:rsidRDefault="00156F90" w:rsidP="00156F90"/>
    <w:p w:rsidR="00156F90" w:rsidRPr="00816C1F" w:rsidRDefault="00156F90" w:rsidP="00532407">
      <w:pPr>
        <w:sectPr w:rsidR="00156F90" w:rsidRPr="00816C1F" w:rsidSect="00532407">
          <w:headerReference w:type="even" r:id="rId11"/>
          <w:headerReference w:type="default" r:id="rId12"/>
          <w:footerReference w:type="default" r:id="rId13"/>
          <w:headerReference w:type="first" r:id="rId14"/>
          <w:pgSz w:w="12240" w:h="15840"/>
          <w:pgMar w:top="1440" w:right="1800" w:bottom="1440" w:left="1800" w:header="720" w:footer="720" w:gutter="0"/>
          <w:pgNumType w:fmt="lowerRoman" w:start="2"/>
          <w:cols w:space="720"/>
          <w:docGrid w:linePitch="360"/>
        </w:sectPr>
      </w:pPr>
    </w:p>
    <w:p w:rsidR="00C67D43" w:rsidRPr="00816C1F" w:rsidRDefault="00C67D43" w:rsidP="00341BF8">
      <w:pPr>
        <w:pStyle w:val="Heading2"/>
        <w:keepNext/>
        <w:spacing w:before="0" w:beforeAutospacing="0"/>
        <w:jc w:val="both"/>
        <w:rPr>
          <w:sz w:val="24"/>
          <w:szCs w:val="24"/>
        </w:rPr>
      </w:pPr>
      <w:bookmarkStart w:id="123" w:name="_Toc384896510"/>
      <w:r w:rsidRPr="00816C1F">
        <w:rPr>
          <w:sz w:val="24"/>
          <w:szCs w:val="24"/>
        </w:rPr>
        <w:lastRenderedPageBreak/>
        <w:t xml:space="preserve">1. </w:t>
      </w:r>
      <w:r w:rsidR="00F85DAD" w:rsidRPr="00816C1F">
        <w:rPr>
          <w:sz w:val="24"/>
          <w:szCs w:val="24"/>
        </w:rPr>
        <w:t>Project</w:t>
      </w:r>
      <w:r w:rsidRPr="00816C1F">
        <w:rPr>
          <w:sz w:val="24"/>
          <w:szCs w:val="24"/>
        </w:rPr>
        <w:t xml:space="preserve"> Context, Development Objectives and Design</w:t>
      </w:r>
      <w:bookmarkEnd w:id="35"/>
      <w:bookmarkEnd w:id="123"/>
      <w:r w:rsidRPr="00816C1F">
        <w:rPr>
          <w:sz w:val="24"/>
          <w:szCs w:val="24"/>
        </w:rPr>
        <w:t xml:space="preserve"> </w:t>
      </w:r>
    </w:p>
    <w:p w:rsidR="00C67D43" w:rsidRPr="00816C1F" w:rsidRDefault="00C67D43" w:rsidP="003262E3">
      <w:pPr>
        <w:pStyle w:val="Heading3"/>
        <w:keepNext/>
        <w:jc w:val="both"/>
        <w:rPr>
          <w:sz w:val="24"/>
          <w:szCs w:val="24"/>
        </w:rPr>
      </w:pPr>
      <w:r w:rsidRPr="00816C1F">
        <w:rPr>
          <w:sz w:val="24"/>
          <w:szCs w:val="24"/>
        </w:rPr>
        <w:t>1.1 Context at Appraisal</w:t>
      </w:r>
    </w:p>
    <w:p w:rsidR="00DA03CC" w:rsidRPr="00816C1F" w:rsidRDefault="00DA03CC" w:rsidP="003262E3">
      <w:pPr>
        <w:pStyle w:val="HTMLPreformatted"/>
        <w:jc w:val="both"/>
        <w:rPr>
          <w:rFonts w:cs="Times New Roman"/>
          <w:iCs/>
          <w:szCs w:val="24"/>
        </w:rPr>
      </w:pPr>
    </w:p>
    <w:p w:rsidR="00F90909" w:rsidRPr="00816C1F" w:rsidRDefault="0003740F" w:rsidP="00305FBA">
      <w:pPr>
        <w:pStyle w:val="HTMLPreformatted"/>
        <w:numPr>
          <w:ilvl w:val="0"/>
          <w:numId w:val="1"/>
        </w:numPr>
        <w:autoSpaceDE w:val="0"/>
        <w:autoSpaceDN w:val="0"/>
        <w:adjustRightInd w:val="0"/>
        <w:ind w:left="0" w:firstLine="0"/>
        <w:jc w:val="both"/>
        <w:rPr>
          <w:rFonts w:cs="Times New Roman"/>
          <w:szCs w:val="24"/>
        </w:rPr>
      </w:pPr>
      <w:r w:rsidRPr="00816C1F">
        <w:rPr>
          <w:rFonts w:cs="Times New Roman"/>
          <w:b/>
          <w:szCs w:val="24"/>
        </w:rPr>
        <w:t xml:space="preserve">Following </w:t>
      </w:r>
      <w:r w:rsidR="005F346A">
        <w:rPr>
          <w:rFonts w:cs="Times New Roman"/>
          <w:b/>
          <w:szCs w:val="24"/>
        </w:rPr>
        <w:t xml:space="preserve">the </w:t>
      </w:r>
      <w:r w:rsidR="00253BA9">
        <w:rPr>
          <w:rFonts w:cs="Times New Roman"/>
          <w:b/>
          <w:szCs w:val="24"/>
        </w:rPr>
        <w:t xml:space="preserve">detection of </w:t>
      </w:r>
      <w:r w:rsidR="00253BA9" w:rsidRPr="00816C1F">
        <w:rPr>
          <w:rFonts w:cs="Times New Roman"/>
          <w:b/>
          <w:szCs w:val="24"/>
        </w:rPr>
        <w:t xml:space="preserve">A/H1N1 Influenza </w:t>
      </w:r>
      <w:r w:rsidR="00253BA9">
        <w:rPr>
          <w:rFonts w:cs="Times New Roman"/>
          <w:b/>
          <w:szCs w:val="24"/>
        </w:rPr>
        <w:t xml:space="preserve">virus in Mexico in April </w:t>
      </w:r>
      <w:r w:rsidR="008B02B0">
        <w:rPr>
          <w:rFonts w:cs="Times New Roman"/>
          <w:b/>
          <w:szCs w:val="24"/>
        </w:rPr>
        <w:t>2009</w:t>
      </w:r>
      <w:r w:rsidR="00816C1F" w:rsidRPr="00816C1F">
        <w:rPr>
          <w:rFonts w:cs="Times New Roman"/>
          <w:b/>
          <w:szCs w:val="24"/>
        </w:rPr>
        <w:t xml:space="preserve">, the </w:t>
      </w:r>
      <w:r w:rsidR="005F346A">
        <w:rPr>
          <w:rFonts w:cs="Times New Roman"/>
          <w:b/>
          <w:szCs w:val="24"/>
        </w:rPr>
        <w:t>disease</w:t>
      </w:r>
      <w:r w:rsidR="005F346A" w:rsidRPr="00816C1F">
        <w:rPr>
          <w:rFonts w:cs="Times New Roman"/>
          <w:b/>
          <w:szCs w:val="24"/>
        </w:rPr>
        <w:t xml:space="preserve"> </w:t>
      </w:r>
      <w:r w:rsidRPr="00816C1F">
        <w:rPr>
          <w:rFonts w:cs="Times New Roman"/>
          <w:b/>
          <w:szCs w:val="24"/>
        </w:rPr>
        <w:t>quick</w:t>
      </w:r>
      <w:r w:rsidR="00816C1F" w:rsidRPr="00816C1F">
        <w:rPr>
          <w:rFonts w:cs="Times New Roman"/>
          <w:b/>
          <w:szCs w:val="24"/>
        </w:rPr>
        <w:t xml:space="preserve">ly spread </w:t>
      </w:r>
      <w:r w:rsidR="00B31529">
        <w:rPr>
          <w:rFonts w:cs="Times New Roman"/>
          <w:b/>
          <w:szCs w:val="24"/>
        </w:rPr>
        <w:t>and was declared a worldwide</w:t>
      </w:r>
      <w:r w:rsidR="00D32336">
        <w:rPr>
          <w:rFonts w:cs="Times New Roman"/>
          <w:b/>
          <w:szCs w:val="24"/>
        </w:rPr>
        <w:t xml:space="preserve"> </w:t>
      </w:r>
      <w:r w:rsidRPr="00816C1F">
        <w:rPr>
          <w:rFonts w:cs="Times New Roman"/>
          <w:b/>
          <w:szCs w:val="24"/>
        </w:rPr>
        <w:t>pandemic</w:t>
      </w:r>
      <w:r w:rsidR="00272231" w:rsidRPr="00816C1F">
        <w:rPr>
          <w:rFonts w:cs="Times New Roman"/>
          <w:b/>
          <w:szCs w:val="24"/>
        </w:rPr>
        <w:t>.</w:t>
      </w:r>
      <w:r w:rsidR="00272231" w:rsidRPr="00816C1F">
        <w:rPr>
          <w:rFonts w:cs="Times New Roman"/>
          <w:szCs w:val="24"/>
        </w:rPr>
        <w:t xml:space="preserve"> </w:t>
      </w:r>
      <w:r w:rsidR="00253BA9">
        <w:rPr>
          <w:rFonts w:cs="Times New Roman"/>
          <w:szCs w:val="24"/>
        </w:rPr>
        <w:t>By May, widespread infection had occurred in North America and by June 73 countries had reported over 25,000 laborator</w:t>
      </w:r>
      <w:r w:rsidR="001B66A7">
        <w:rPr>
          <w:rFonts w:cs="Times New Roman"/>
          <w:szCs w:val="24"/>
        </w:rPr>
        <w:t>y confirmed case</w:t>
      </w:r>
      <w:r w:rsidR="00346EAF">
        <w:rPr>
          <w:rFonts w:cs="Times New Roman"/>
          <w:szCs w:val="24"/>
        </w:rPr>
        <w:t>s</w:t>
      </w:r>
      <w:r w:rsidR="00253BA9">
        <w:rPr>
          <w:rFonts w:cs="Times New Roman"/>
          <w:szCs w:val="24"/>
        </w:rPr>
        <w:t>.</w:t>
      </w:r>
      <w:r w:rsidR="001B66A7">
        <w:rPr>
          <w:rStyle w:val="FootnoteReference"/>
          <w:rFonts w:cs="Times New Roman"/>
          <w:szCs w:val="24"/>
        </w:rPr>
        <w:footnoteReference w:id="1"/>
      </w:r>
      <w:r w:rsidR="00253BA9">
        <w:rPr>
          <w:rFonts w:cs="Times New Roman"/>
          <w:szCs w:val="24"/>
        </w:rPr>
        <w:t xml:space="preserve"> </w:t>
      </w:r>
      <w:r w:rsidR="00D32336">
        <w:rPr>
          <w:rFonts w:cs="Times New Roman"/>
          <w:szCs w:val="24"/>
        </w:rPr>
        <w:t xml:space="preserve">On June 11, 2009 the World Health Organization </w:t>
      </w:r>
      <w:r w:rsidR="00346EAF">
        <w:rPr>
          <w:rFonts w:cs="Times New Roman"/>
          <w:szCs w:val="24"/>
        </w:rPr>
        <w:t xml:space="preserve">(WHO) </w:t>
      </w:r>
      <w:r w:rsidR="00D32336">
        <w:rPr>
          <w:rFonts w:cs="Times New Roman"/>
          <w:szCs w:val="24"/>
        </w:rPr>
        <w:t xml:space="preserve">declared the </w:t>
      </w:r>
      <w:r w:rsidR="00253BA9">
        <w:rPr>
          <w:rFonts w:cs="Times New Roman"/>
          <w:szCs w:val="24"/>
        </w:rPr>
        <w:t xml:space="preserve">Influenza Outbreak </w:t>
      </w:r>
      <w:r w:rsidR="00D32336">
        <w:rPr>
          <w:rFonts w:cs="Times New Roman"/>
          <w:szCs w:val="24"/>
        </w:rPr>
        <w:t xml:space="preserve">a </w:t>
      </w:r>
      <w:r w:rsidR="005429F0">
        <w:rPr>
          <w:rFonts w:cs="Times New Roman"/>
          <w:szCs w:val="24"/>
        </w:rPr>
        <w:t>ph</w:t>
      </w:r>
      <w:r w:rsidR="00D32336">
        <w:rPr>
          <w:rFonts w:cs="Times New Roman"/>
          <w:szCs w:val="24"/>
        </w:rPr>
        <w:t xml:space="preserve">ase </w:t>
      </w:r>
      <w:r w:rsidR="00346EAF">
        <w:rPr>
          <w:rFonts w:cs="Times New Roman"/>
          <w:szCs w:val="24"/>
        </w:rPr>
        <w:t>six pandemic</w:t>
      </w:r>
      <w:r w:rsidR="00D32336">
        <w:rPr>
          <w:rFonts w:cs="Times New Roman"/>
          <w:szCs w:val="24"/>
        </w:rPr>
        <w:t xml:space="preserve">, </w:t>
      </w:r>
      <w:r w:rsidR="00495BC5">
        <w:rPr>
          <w:rFonts w:cs="Times New Roman"/>
          <w:szCs w:val="24"/>
        </w:rPr>
        <w:t xml:space="preserve">signaling that </w:t>
      </w:r>
      <w:r w:rsidR="001B66A7">
        <w:rPr>
          <w:rFonts w:cs="Times New Roman"/>
          <w:szCs w:val="24"/>
        </w:rPr>
        <w:t xml:space="preserve">the virus </w:t>
      </w:r>
      <w:r w:rsidR="00253BA9">
        <w:rPr>
          <w:rFonts w:cs="Times New Roman"/>
          <w:szCs w:val="24"/>
        </w:rPr>
        <w:t xml:space="preserve">had sustained community level outbreaks in at least </w:t>
      </w:r>
      <w:r w:rsidR="00D53364">
        <w:rPr>
          <w:rFonts w:cs="Times New Roman"/>
          <w:szCs w:val="24"/>
        </w:rPr>
        <w:t>on</w:t>
      </w:r>
      <w:r w:rsidR="00253BA9">
        <w:t>e other co</w:t>
      </w:r>
      <w:r w:rsidR="00D53364">
        <w:t>untry in a different WHO region</w:t>
      </w:r>
      <w:r w:rsidR="001B66A7">
        <w:t xml:space="preserve"> and that a </w:t>
      </w:r>
      <w:r w:rsidR="001B66A7">
        <w:rPr>
          <w:rFonts w:cs="Times New Roman"/>
          <w:szCs w:val="24"/>
        </w:rPr>
        <w:t>pandemic was underway</w:t>
      </w:r>
      <w:r w:rsidR="00D53364">
        <w:t>.</w:t>
      </w:r>
      <w:r w:rsidR="00D53364">
        <w:rPr>
          <w:b/>
          <w:bCs/>
        </w:rPr>
        <w:t xml:space="preserve"> </w:t>
      </w:r>
    </w:p>
    <w:p w:rsidR="00816C1F" w:rsidRPr="00A51646" w:rsidRDefault="00816C1F" w:rsidP="00F90909">
      <w:pPr>
        <w:pStyle w:val="HTMLPreformatted"/>
        <w:jc w:val="both"/>
        <w:rPr>
          <w:rFonts w:cs="Times New Roman"/>
          <w:szCs w:val="24"/>
        </w:rPr>
      </w:pPr>
    </w:p>
    <w:p w:rsidR="00DC1DD9" w:rsidRDefault="00816C1F" w:rsidP="00305FBA">
      <w:pPr>
        <w:pStyle w:val="HTMLPreformatted"/>
        <w:numPr>
          <w:ilvl w:val="0"/>
          <w:numId w:val="1"/>
        </w:numPr>
        <w:autoSpaceDE w:val="0"/>
        <w:autoSpaceDN w:val="0"/>
        <w:adjustRightInd w:val="0"/>
        <w:ind w:left="0" w:firstLine="0"/>
        <w:jc w:val="both"/>
        <w:rPr>
          <w:rFonts w:cs="Times New Roman"/>
          <w:szCs w:val="24"/>
        </w:rPr>
      </w:pPr>
      <w:r w:rsidRPr="00816C1F">
        <w:rPr>
          <w:rFonts w:cs="Times New Roman"/>
          <w:b/>
          <w:szCs w:val="24"/>
        </w:rPr>
        <w:t xml:space="preserve">Argentina was </w:t>
      </w:r>
      <w:r w:rsidR="005429F0">
        <w:rPr>
          <w:rFonts w:cs="Times New Roman"/>
          <w:b/>
          <w:szCs w:val="24"/>
        </w:rPr>
        <w:t>strongly</w:t>
      </w:r>
      <w:r w:rsidRPr="00816C1F">
        <w:rPr>
          <w:rFonts w:cs="Times New Roman"/>
          <w:b/>
          <w:szCs w:val="24"/>
        </w:rPr>
        <w:t xml:space="preserve"> impacted, </w:t>
      </w:r>
      <w:r w:rsidR="005429F0">
        <w:rPr>
          <w:rFonts w:cs="Times New Roman"/>
          <w:b/>
          <w:szCs w:val="24"/>
        </w:rPr>
        <w:t xml:space="preserve">resulting in </w:t>
      </w:r>
      <w:r w:rsidRPr="00816C1F">
        <w:rPr>
          <w:rFonts w:cs="Times New Roman"/>
          <w:b/>
          <w:szCs w:val="24"/>
        </w:rPr>
        <w:t>high mortality and morbidy rates.</w:t>
      </w:r>
      <w:r w:rsidR="008204EF" w:rsidRPr="008204EF">
        <w:rPr>
          <w:rStyle w:val="FootnoteReference"/>
          <w:rFonts w:cs="Times New Roman"/>
          <w:szCs w:val="24"/>
        </w:rPr>
        <w:t xml:space="preserve"> </w:t>
      </w:r>
      <w:r w:rsidR="008204EF">
        <w:rPr>
          <w:rStyle w:val="FootnoteReference"/>
          <w:rFonts w:cs="Times New Roman"/>
          <w:szCs w:val="24"/>
        </w:rPr>
        <w:footnoteReference w:id="2"/>
      </w:r>
      <w:r w:rsidR="008204EF" w:rsidRPr="00F90909">
        <w:rPr>
          <w:rFonts w:cs="Times New Roman"/>
          <w:szCs w:val="24"/>
        </w:rPr>
        <w:t xml:space="preserve"> </w:t>
      </w:r>
      <w:r w:rsidR="003E3F98" w:rsidRPr="00A51646">
        <w:rPr>
          <w:rFonts w:cs="Times New Roman"/>
          <w:szCs w:val="24"/>
        </w:rPr>
        <w:t>On May 10, 2009 Argentina’s epidemiological surveillance system detected the first clinical case of A/H1N1 among passengers returning from Mexico.</w:t>
      </w:r>
      <w:r w:rsidR="00AE01A7">
        <w:rPr>
          <w:rFonts w:cs="Times New Roman"/>
          <w:szCs w:val="24"/>
        </w:rPr>
        <w:t xml:space="preserve"> </w:t>
      </w:r>
      <w:r w:rsidR="005429F0">
        <w:rPr>
          <w:rFonts w:cs="Times New Roman"/>
          <w:szCs w:val="24"/>
        </w:rPr>
        <w:t>F</w:t>
      </w:r>
      <w:r w:rsidR="00C81E72">
        <w:rPr>
          <w:rFonts w:cs="Times New Roman"/>
          <w:szCs w:val="24"/>
        </w:rPr>
        <w:t>ollowing the initial case, th</w:t>
      </w:r>
      <w:r w:rsidR="005429F0">
        <w:rPr>
          <w:rFonts w:cs="Times New Roman"/>
          <w:szCs w:val="24"/>
        </w:rPr>
        <w:t xml:space="preserve">e virus spread quickly </w:t>
      </w:r>
      <w:r w:rsidR="00C81E72">
        <w:rPr>
          <w:rFonts w:cs="Times New Roman"/>
          <w:szCs w:val="24"/>
        </w:rPr>
        <w:t xml:space="preserve">throughout the country, </w:t>
      </w:r>
      <w:r w:rsidR="005429F0">
        <w:rPr>
          <w:rFonts w:cs="Times New Roman"/>
          <w:szCs w:val="24"/>
        </w:rPr>
        <w:t xml:space="preserve">with </w:t>
      </w:r>
      <w:r w:rsidR="00A51646" w:rsidRPr="00A51646">
        <w:rPr>
          <w:rFonts w:cs="Times New Roman"/>
          <w:szCs w:val="24"/>
        </w:rPr>
        <w:t>peak transmission occurr</w:t>
      </w:r>
      <w:r w:rsidR="00C81E72">
        <w:rPr>
          <w:rFonts w:cs="Times New Roman"/>
          <w:szCs w:val="24"/>
        </w:rPr>
        <w:t>ing</w:t>
      </w:r>
      <w:r w:rsidR="00A51646" w:rsidRPr="00A51646">
        <w:rPr>
          <w:rFonts w:cs="Times New Roman"/>
          <w:szCs w:val="24"/>
        </w:rPr>
        <w:t xml:space="preserve"> </w:t>
      </w:r>
      <w:r w:rsidR="00A33968">
        <w:rPr>
          <w:rFonts w:cs="Times New Roman"/>
          <w:szCs w:val="24"/>
        </w:rPr>
        <w:t>during the winter months</w:t>
      </w:r>
      <w:r w:rsidR="00AE01A7">
        <w:rPr>
          <w:rFonts w:cs="Times New Roman"/>
          <w:szCs w:val="24"/>
        </w:rPr>
        <w:t>.</w:t>
      </w:r>
      <w:r w:rsidR="00C81E72">
        <w:rPr>
          <w:rFonts w:cs="Times New Roman"/>
          <w:szCs w:val="24"/>
        </w:rPr>
        <w:t xml:space="preserve"> </w:t>
      </w:r>
      <w:r w:rsidR="00DC1DD9" w:rsidRPr="00816C1F">
        <w:rPr>
          <w:rFonts w:cs="Times New Roman"/>
          <w:szCs w:val="24"/>
        </w:rPr>
        <w:t xml:space="preserve">By </w:t>
      </w:r>
      <w:r w:rsidR="00557C36">
        <w:rPr>
          <w:rFonts w:cs="Times New Roman"/>
          <w:szCs w:val="24"/>
        </w:rPr>
        <w:t>January 2010</w:t>
      </w:r>
      <w:r w:rsidR="00272231" w:rsidRPr="00816C1F">
        <w:rPr>
          <w:rFonts w:cs="Times New Roman"/>
          <w:szCs w:val="24"/>
        </w:rPr>
        <w:t>, the death toll in Arge</w:t>
      </w:r>
      <w:r w:rsidR="00DC1DD9" w:rsidRPr="00816C1F">
        <w:rPr>
          <w:rFonts w:cs="Times New Roman"/>
          <w:szCs w:val="24"/>
        </w:rPr>
        <w:t>n</w:t>
      </w:r>
      <w:r w:rsidR="00272231" w:rsidRPr="00816C1F">
        <w:rPr>
          <w:rFonts w:cs="Times New Roman"/>
          <w:szCs w:val="24"/>
        </w:rPr>
        <w:t>t</w:t>
      </w:r>
      <w:r w:rsidR="00DC1DD9" w:rsidRPr="00816C1F">
        <w:rPr>
          <w:rFonts w:cs="Times New Roman"/>
          <w:szCs w:val="24"/>
        </w:rPr>
        <w:t xml:space="preserve">ina had </w:t>
      </w:r>
      <w:r w:rsidR="00361C6E">
        <w:rPr>
          <w:rFonts w:cs="Times New Roman"/>
          <w:szCs w:val="24"/>
        </w:rPr>
        <w:t>exceeded</w:t>
      </w:r>
      <w:r w:rsidR="00DC1DD9" w:rsidRPr="00816C1F">
        <w:rPr>
          <w:rFonts w:cs="Times New Roman"/>
          <w:szCs w:val="24"/>
        </w:rPr>
        <w:t xml:space="preserve"> 6</w:t>
      </w:r>
      <w:r w:rsidR="00361C6E">
        <w:rPr>
          <w:rFonts w:cs="Times New Roman"/>
          <w:szCs w:val="24"/>
        </w:rPr>
        <w:t>00</w:t>
      </w:r>
      <w:r w:rsidR="00805810" w:rsidRPr="00805810">
        <w:rPr>
          <w:rFonts w:cs="Times New Roman"/>
          <w:szCs w:val="24"/>
        </w:rPr>
        <w:t xml:space="preserve"> </w:t>
      </w:r>
      <w:r w:rsidR="00805810">
        <w:rPr>
          <w:rFonts w:cs="Times New Roman"/>
          <w:szCs w:val="24"/>
        </w:rPr>
        <w:t>people in 21 provinces</w:t>
      </w:r>
      <w:r w:rsidR="00DC1DD9" w:rsidRPr="00816C1F">
        <w:rPr>
          <w:rFonts w:cs="Times New Roman"/>
          <w:szCs w:val="24"/>
        </w:rPr>
        <w:t>, higher than in Mexico</w:t>
      </w:r>
      <w:r w:rsidR="00317508">
        <w:rPr>
          <w:rFonts w:cs="Times New Roman"/>
          <w:szCs w:val="24"/>
        </w:rPr>
        <w:t>, while c</w:t>
      </w:r>
      <w:r w:rsidR="00D144A3">
        <w:rPr>
          <w:rFonts w:cs="Times New Roman"/>
          <w:szCs w:val="24"/>
        </w:rPr>
        <w:t>a</w:t>
      </w:r>
      <w:r w:rsidR="00272231" w:rsidRPr="00816C1F">
        <w:rPr>
          <w:rFonts w:cs="Times New Roman"/>
          <w:szCs w:val="24"/>
        </w:rPr>
        <w:t>ses of influenza</w:t>
      </w:r>
      <w:r w:rsidR="00B358C5">
        <w:rPr>
          <w:rFonts w:cs="Times New Roman"/>
          <w:szCs w:val="24"/>
        </w:rPr>
        <w:t>-</w:t>
      </w:r>
      <w:r w:rsidR="006465C3" w:rsidRPr="00816C1F">
        <w:rPr>
          <w:rFonts w:cs="Times New Roman"/>
          <w:szCs w:val="24"/>
        </w:rPr>
        <w:t xml:space="preserve">like illness and hospitalizations </w:t>
      </w:r>
      <w:r w:rsidR="00D144A3">
        <w:rPr>
          <w:rFonts w:cs="Times New Roman"/>
          <w:szCs w:val="24"/>
        </w:rPr>
        <w:t xml:space="preserve">numbered </w:t>
      </w:r>
      <w:r w:rsidR="00A33968">
        <w:rPr>
          <w:rFonts w:cs="Times New Roman"/>
          <w:szCs w:val="24"/>
        </w:rPr>
        <w:t>over</w:t>
      </w:r>
      <w:r w:rsidR="006465C3" w:rsidRPr="00816C1F">
        <w:rPr>
          <w:rFonts w:cs="Times New Roman"/>
          <w:szCs w:val="24"/>
        </w:rPr>
        <w:t xml:space="preserve"> 1.2 million and </w:t>
      </w:r>
      <w:r w:rsidR="00DC1DD9" w:rsidRPr="00816C1F">
        <w:rPr>
          <w:rFonts w:cs="Times New Roman"/>
          <w:szCs w:val="24"/>
        </w:rPr>
        <w:t>1</w:t>
      </w:r>
      <w:r w:rsidR="00D32336">
        <w:rPr>
          <w:rFonts w:cs="Times New Roman"/>
          <w:szCs w:val="24"/>
        </w:rPr>
        <w:t>2</w:t>
      </w:r>
      <w:r w:rsidR="00DC1DD9" w:rsidRPr="00816C1F">
        <w:rPr>
          <w:rFonts w:cs="Times New Roman"/>
          <w:szCs w:val="24"/>
        </w:rPr>
        <w:t>,000</w:t>
      </w:r>
      <w:r w:rsidR="00C81E72">
        <w:rPr>
          <w:rFonts w:cs="Times New Roman"/>
          <w:szCs w:val="24"/>
        </w:rPr>
        <w:t>,</w:t>
      </w:r>
      <w:r w:rsidR="006465C3" w:rsidRPr="00816C1F">
        <w:rPr>
          <w:rFonts w:cs="Times New Roman"/>
          <w:szCs w:val="24"/>
        </w:rPr>
        <w:t xml:space="preserve"> respectively.</w:t>
      </w:r>
      <w:r w:rsidR="00445849">
        <w:rPr>
          <w:rStyle w:val="FootnoteReference"/>
          <w:rFonts w:cs="Times New Roman"/>
          <w:szCs w:val="24"/>
        </w:rPr>
        <w:footnoteReference w:id="3"/>
      </w:r>
      <w:r w:rsidR="006465C3" w:rsidRPr="00816C1F">
        <w:rPr>
          <w:rFonts w:cs="Times New Roman"/>
          <w:szCs w:val="24"/>
        </w:rPr>
        <w:t xml:space="preserve"> </w:t>
      </w:r>
      <w:r w:rsidR="00557C36">
        <w:rPr>
          <w:rStyle w:val="FootnoteReference"/>
          <w:rFonts w:cs="Times New Roman"/>
          <w:szCs w:val="24"/>
        </w:rPr>
        <w:footnoteReference w:id="4"/>
      </w:r>
    </w:p>
    <w:p w:rsidR="00FA7079" w:rsidRDefault="00FA7079" w:rsidP="00816C1F">
      <w:pPr>
        <w:pStyle w:val="HTMLPreformatted"/>
        <w:jc w:val="both"/>
        <w:rPr>
          <w:rFonts w:cs="Times New Roman"/>
          <w:szCs w:val="24"/>
        </w:rPr>
      </w:pPr>
    </w:p>
    <w:p w:rsidR="006049D7" w:rsidRPr="00816C1F" w:rsidRDefault="007975CE" w:rsidP="00305FBA">
      <w:pPr>
        <w:pStyle w:val="HTMLPreformatted"/>
        <w:numPr>
          <w:ilvl w:val="0"/>
          <w:numId w:val="1"/>
        </w:numPr>
        <w:autoSpaceDE w:val="0"/>
        <w:autoSpaceDN w:val="0"/>
        <w:adjustRightInd w:val="0"/>
        <w:ind w:left="0" w:firstLine="0"/>
        <w:jc w:val="both"/>
      </w:pPr>
      <w:r>
        <w:rPr>
          <w:b/>
        </w:rPr>
        <w:t>Starting in 20</w:t>
      </w:r>
      <w:r w:rsidR="00A02628">
        <w:rPr>
          <w:b/>
        </w:rPr>
        <w:t>09</w:t>
      </w:r>
      <w:r>
        <w:rPr>
          <w:b/>
        </w:rPr>
        <w:t xml:space="preserve">, </w:t>
      </w:r>
      <w:r w:rsidR="004A571A" w:rsidRPr="00816C1F">
        <w:rPr>
          <w:b/>
        </w:rPr>
        <w:t xml:space="preserve">Argentina followed an integrated Response Plan for Influenza Pandemic </w:t>
      </w:r>
      <w:r w:rsidR="004A571A" w:rsidRPr="00196760">
        <w:rPr>
          <w:b/>
        </w:rPr>
        <w:t>and Severe Acute Respiratory Syndrome</w:t>
      </w:r>
      <w:r w:rsidR="004A571A" w:rsidRPr="00816C1F">
        <w:rPr>
          <w:b/>
        </w:rPr>
        <w:t xml:space="preserve"> </w:t>
      </w:r>
      <w:r w:rsidR="004A571A">
        <w:rPr>
          <w:b/>
        </w:rPr>
        <w:t>(</w:t>
      </w:r>
      <w:r w:rsidR="004A571A" w:rsidRPr="00816C1F">
        <w:rPr>
          <w:b/>
        </w:rPr>
        <w:t>SARS</w:t>
      </w:r>
      <w:r w:rsidR="004A571A">
        <w:rPr>
          <w:b/>
        </w:rPr>
        <w:t>)</w:t>
      </w:r>
      <w:r w:rsidR="004A571A" w:rsidRPr="00816C1F">
        <w:rPr>
          <w:b/>
        </w:rPr>
        <w:t>.</w:t>
      </w:r>
      <w:r w:rsidR="004A571A" w:rsidRPr="00816C1F">
        <w:t xml:space="preserve"> </w:t>
      </w:r>
      <w:r w:rsidR="004A571A" w:rsidRPr="004A571A">
        <w:t xml:space="preserve">A quick and harmonized response between national and provincial </w:t>
      </w:r>
      <w:r w:rsidR="00AD72F0" w:rsidRPr="004A571A">
        <w:t>governments</w:t>
      </w:r>
      <w:r w:rsidR="004A571A" w:rsidRPr="004A571A">
        <w:t xml:space="preserve"> and </w:t>
      </w:r>
      <w:r w:rsidR="002043DA">
        <w:t xml:space="preserve">an existing Response </w:t>
      </w:r>
      <w:r w:rsidR="004A571A" w:rsidRPr="004A571A">
        <w:t xml:space="preserve">Plan </w:t>
      </w:r>
      <w:r w:rsidR="008204EF">
        <w:t>regarding</w:t>
      </w:r>
      <w:r w:rsidR="004A571A">
        <w:rPr>
          <w:b/>
        </w:rPr>
        <w:t xml:space="preserve"> </w:t>
      </w:r>
      <w:r w:rsidR="004A571A" w:rsidRPr="00816C1F">
        <w:t>coordination, surveillance, vaccines and antiviral treatment, health services planning and communication</w:t>
      </w:r>
      <w:r w:rsidR="004A571A">
        <w:t xml:space="preserve"> contributed to the detection and containment of the outbreak</w:t>
      </w:r>
      <w:r w:rsidR="004A571A" w:rsidRPr="00816C1F">
        <w:t xml:space="preserve">. </w:t>
      </w:r>
      <w:r w:rsidR="006049D7" w:rsidRPr="00816C1F">
        <w:t xml:space="preserve">The Government </w:t>
      </w:r>
      <w:r w:rsidR="00010644">
        <w:t xml:space="preserve">of Argentina (GOA) </w:t>
      </w:r>
      <w:r w:rsidR="006049D7" w:rsidRPr="00816C1F">
        <w:t>earmarked 1,000 million Argentine Pesos (</w:t>
      </w:r>
      <w:r w:rsidR="00C723DF">
        <w:t xml:space="preserve">about </w:t>
      </w:r>
      <w:r w:rsidR="006049D7" w:rsidRPr="00816C1F">
        <w:t>US$26</w:t>
      </w:r>
      <w:r w:rsidR="00C723DF">
        <w:t>0</w:t>
      </w:r>
      <w:r w:rsidR="006049D7" w:rsidRPr="00816C1F">
        <w:t xml:space="preserve"> million) to fight the pandemic through the purchase of antiviral medication, equipment (respirators, oxygen equipment, and laboratory supplies) and to hire health staff to respond to increased </w:t>
      </w:r>
      <w:r w:rsidR="00D144A3">
        <w:t>health service demand</w:t>
      </w:r>
      <w:r w:rsidR="006049D7" w:rsidRPr="00816C1F">
        <w:t>.</w:t>
      </w:r>
      <w:r w:rsidR="006049D7">
        <w:rPr>
          <w:rStyle w:val="FootnoteReference"/>
        </w:rPr>
        <w:footnoteReference w:id="5"/>
      </w:r>
      <w:r w:rsidR="006049D7">
        <w:t xml:space="preserve"> </w:t>
      </w:r>
      <w:r w:rsidR="006049D7" w:rsidRPr="00816C1F">
        <w:t xml:space="preserve">The National Ministry of Health </w:t>
      </w:r>
      <w:r w:rsidR="006049D7" w:rsidRPr="0063364B">
        <w:t>(</w:t>
      </w:r>
      <w:r w:rsidR="00C723DF" w:rsidRPr="0063364B">
        <w:rPr>
          <w:i/>
        </w:rPr>
        <w:t>Ministerio</w:t>
      </w:r>
      <w:r w:rsidR="00C723DF" w:rsidRPr="00263634">
        <w:rPr>
          <w:i/>
        </w:rPr>
        <w:t xml:space="preserve"> de Salud de la</w:t>
      </w:r>
      <w:r w:rsidR="00C723DF" w:rsidRPr="0063364B">
        <w:rPr>
          <w:i/>
        </w:rPr>
        <w:t xml:space="preserve"> Nación</w:t>
      </w:r>
      <w:r w:rsidR="00C723DF" w:rsidRPr="00816C1F">
        <w:t xml:space="preserve"> </w:t>
      </w:r>
      <w:r w:rsidR="00C723DF">
        <w:t xml:space="preserve">-- </w:t>
      </w:r>
      <w:r w:rsidR="006049D7" w:rsidRPr="00816C1F">
        <w:t xml:space="preserve">MSN) unified the country’s treatment and diagnostic criteria for epidemic control and distributed </w:t>
      </w:r>
      <w:r w:rsidR="00703C6B">
        <w:t>health</w:t>
      </w:r>
      <w:r w:rsidR="006049D7" w:rsidRPr="00816C1F">
        <w:t xml:space="preserve"> resources to both public and private health facilities, allowing the population to receive free treatment for A/H1N1 in all hospitals. </w:t>
      </w:r>
      <w:r w:rsidR="00317508">
        <w:t xml:space="preserve">Through the </w:t>
      </w:r>
      <w:r w:rsidR="006049D7" w:rsidRPr="00816C1F">
        <w:t>Federal Health Council (</w:t>
      </w:r>
      <w:r w:rsidR="006049D7" w:rsidRPr="00AE6D01">
        <w:rPr>
          <w:i/>
        </w:rPr>
        <w:t>Consejo</w:t>
      </w:r>
      <w:r w:rsidR="006049D7" w:rsidRPr="00317508">
        <w:rPr>
          <w:i/>
        </w:rPr>
        <w:t xml:space="preserve"> Federal de</w:t>
      </w:r>
      <w:r w:rsidR="006049D7" w:rsidRPr="00AE6D01">
        <w:rPr>
          <w:i/>
        </w:rPr>
        <w:t xml:space="preserve"> Salud</w:t>
      </w:r>
      <w:r w:rsidR="00C723DF">
        <w:rPr>
          <w:i/>
        </w:rPr>
        <w:t xml:space="preserve"> </w:t>
      </w:r>
      <w:r w:rsidR="00C723DF">
        <w:t>--</w:t>
      </w:r>
      <w:r w:rsidR="00C723DF" w:rsidRPr="00196760">
        <w:t xml:space="preserve"> COFESA</w:t>
      </w:r>
      <w:r w:rsidR="006049D7" w:rsidRPr="00816C1F">
        <w:t>)</w:t>
      </w:r>
      <w:r>
        <w:t>,</w:t>
      </w:r>
      <w:r w:rsidR="006049D7" w:rsidRPr="00816C1F">
        <w:t xml:space="preserve"> the Ministers of Health of each province harmonized </w:t>
      </w:r>
      <w:r w:rsidR="004114D9">
        <w:t>measures</w:t>
      </w:r>
      <w:r w:rsidR="006049D7" w:rsidRPr="00816C1F">
        <w:t xml:space="preserve"> for </w:t>
      </w:r>
      <w:r w:rsidR="006049D7" w:rsidRPr="00816C1F">
        <w:lastRenderedPageBreak/>
        <w:t xml:space="preserve">confronting the pandemic and agreed that funds would be utilized according to strict </w:t>
      </w:r>
      <w:r w:rsidR="00703C6B">
        <w:t>health</w:t>
      </w:r>
      <w:r w:rsidR="006049D7" w:rsidRPr="00816C1F">
        <w:t xml:space="preserve"> criteria and the </w:t>
      </w:r>
      <w:r w:rsidR="008204EF" w:rsidRPr="005700AC">
        <w:rPr>
          <w:szCs w:val="24"/>
        </w:rPr>
        <w:t xml:space="preserve">jurisdictional </w:t>
      </w:r>
      <w:r w:rsidR="006049D7" w:rsidRPr="005700AC">
        <w:rPr>
          <w:szCs w:val="24"/>
        </w:rPr>
        <w:t>needs.</w:t>
      </w:r>
      <w:r w:rsidR="005700AC" w:rsidRPr="005700AC">
        <w:rPr>
          <w:szCs w:val="24"/>
        </w:rPr>
        <w:t xml:space="preserve"> Five measures proved especially effective in the country’s initial response: (i) advancing school recess by four weeks to allow children to stay home during flu season; (ii) special leave at work for identified risk groups; (iii) ensuring availability of antiviral treatment to anyone who presented symptoms; (iv) intensifying a public awareness campaign; and (v) strengthening health care services for ambulatory and hospitalized patients. In addition, local governments implemented social distancing measures, temporarily closing mass public activities, such as entertainment </w:t>
      </w:r>
      <w:r w:rsidR="00703C6B" w:rsidRPr="005700AC">
        <w:rPr>
          <w:szCs w:val="24"/>
        </w:rPr>
        <w:t>events to</w:t>
      </w:r>
      <w:r w:rsidR="005700AC" w:rsidRPr="005700AC">
        <w:rPr>
          <w:szCs w:val="24"/>
        </w:rPr>
        <w:t xml:space="preserve"> reduce viral circulation of the epidemic.</w:t>
      </w:r>
    </w:p>
    <w:p w:rsidR="00C81E72" w:rsidRDefault="00C81E72" w:rsidP="002F7A6B">
      <w:pPr>
        <w:pStyle w:val="HTMLPreformatted"/>
        <w:jc w:val="both"/>
        <w:rPr>
          <w:rFonts w:cs="Times New Roman"/>
          <w:b/>
          <w:szCs w:val="24"/>
        </w:rPr>
      </w:pPr>
    </w:p>
    <w:p w:rsidR="00AB6F55" w:rsidRPr="00C557A2" w:rsidRDefault="00AB6F55" w:rsidP="00390D2E">
      <w:pPr>
        <w:pStyle w:val="HTMLPreformatted"/>
        <w:numPr>
          <w:ilvl w:val="0"/>
          <w:numId w:val="1"/>
        </w:numPr>
        <w:autoSpaceDE w:val="0"/>
        <w:autoSpaceDN w:val="0"/>
        <w:adjustRightInd w:val="0"/>
        <w:ind w:left="0" w:firstLine="0"/>
        <w:jc w:val="both"/>
        <w:rPr>
          <w:rFonts w:cs="Times New Roman"/>
          <w:szCs w:val="24"/>
        </w:rPr>
      </w:pPr>
      <w:r w:rsidRPr="00390D2E">
        <w:rPr>
          <w:rFonts w:cs="Times New Roman"/>
          <w:b/>
          <w:szCs w:val="24"/>
        </w:rPr>
        <w:t xml:space="preserve">Despite </w:t>
      </w:r>
      <w:r w:rsidR="00AE6D01" w:rsidRPr="00390D2E">
        <w:rPr>
          <w:rFonts w:cs="Times New Roman"/>
          <w:b/>
          <w:szCs w:val="24"/>
        </w:rPr>
        <w:t>the</w:t>
      </w:r>
      <w:r w:rsidR="00616838">
        <w:rPr>
          <w:rFonts w:cs="Times New Roman"/>
          <w:b/>
          <w:szCs w:val="24"/>
        </w:rPr>
        <w:t xml:space="preserve"> strengthening of A</w:t>
      </w:r>
      <w:r w:rsidR="00D57ECD" w:rsidRPr="00390D2E">
        <w:rPr>
          <w:rFonts w:cs="Times New Roman"/>
          <w:b/>
          <w:szCs w:val="24"/>
        </w:rPr>
        <w:t>rgentin</w:t>
      </w:r>
      <w:r w:rsidR="00616838">
        <w:rPr>
          <w:rFonts w:cs="Times New Roman"/>
          <w:b/>
          <w:szCs w:val="24"/>
        </w:rPr>
        <w:t>a’s</w:t>
      </w:r>
      <w:r w:rsidR="00D57ECD" w:rsidRPr="00390D2E">
        <w:rPr>
          <w:rFonts w:cs="Times New Roman"/>
          <w:b/>
          <w:szCs w:val="24"/>
        </w:rPr>
        <w:t xml:space="preserve"> </w:t>
      </w:r>
      <w:r w:rsidR="00390D2E" w:rsidRPr="00390D2E">
        <w:rPr>
          <w:rFonts w:cs="Times New Roman"/>
          <w:b/>
          <w:szCs w:val="24"/>
        </w:rPr>
        <w:t xml:space="preserve">primary </w:t>
      </w:r>
      <w:r w:rsidRPr="00390D2E">
        <w:rPr>
          <w:rFonts w:cs="Times New Roman"/>
          <w:b/>
          <w:szCs w:val="24"/>
        </w:rPr>
        <w:t xml:space="preserve">health </w:t>
      </w:r>
      <w:r w:rsidR="00390D2E" w:rsidRPr="00390D2E">
        <w:rPr>
          <w:rFonts w:cs="Times New Roman"/>
          <w:b/>
          <w:szCs w:val="24"/>
        </w:rPr>
        <w:t xml:space="preserve">care </w:t>
      </w:r>
      <w:r w:rsidR="004A571A" w:rsidRPr="0063364B">
        <w:rPr>
          <w:rFonts w:cs="Times New Roman"/>
          <w:b/>
          <w:szCs w:val="24"/>
        </w:rPr>
        <w:t>(</w:t>
      </w:r>
      <w:r w:rsidR="00E179B3" w:rsidRPr="0063364B">
        <w:rPr>
          <w:rFonts w:cs="Times New Roman"/>
          <w:b/>
          <w:i/>
          <w:szCs w:val="24"/>
        </w:rPr>
        <w:t>Atención</w:t>
      </w:r>
      <w:r w:rsidR="004A571A" w:rsidRPr="0063364B">
        <w:rPr>
          <w:rFonts w:cs="Times New Roman"/>
          <w:b/>
          <w:i/>
          <w:szCs w:val="24"/>
        </w:rPr>
        <w:t xml:space="preserve"> Primaria</w:t>
      </w:r>
      <w:r w:rsidR="004A571A" w:rsidRPr="00733D69">
        <w:rPr>
          <w:rFonts w:cs="Times New Roman"/>
          <w:b/>
          <w:i/>
          <w:szCs w:val="24"/>
        </w:rPr>
        <w:t xml:space="preserve"> de Salud</w:t>
      </w:r>
      <w:r w:rsidR="004A571A">
        <w:rPr>
          <w:rFonts w:cs="Times New Roman"/>
          <w:b/>
          <w:szCs w:val="24"/>
        </w:rPr>
        <w:t xml:space="preserve">) </w:t>
      </w:r>
      <w:r w:rsidRPr="00A501A9">
        <w:rPr>
          <w:rFonts w:cs="Times New Roman"/>
          <w:b/>
          <w:szCs w:val="24"/>
        </w:rPr>
        <w:t xml:space="preserve">during the previous decade, the epidemic revealed </w:t>
      </w:r>
      <w:r w:rsidR="004114D9" w:rsidRPr="00C557A2">
        <w:rPr>
          <w:rFonts w:cs="Times New Roman"/>
          <w:b/>
          <w:szCs w:val="24"/>
        </w:rPr>
        <w:t>weakness</w:t>
      </w:r>
      <w:r w:rsidR="00C723DF" w:rsidRPr="00C557A2">
        <w:rPr>
          <w:rFonts w:cs="Times New Roman"/>
          <w:b/>
          <w:szCs w:val="24"/>
        </w:rPr>
        <w:t>es</w:t>
      </w:r>
      <w:r w:rsidRPr="00C557A2">
        <w:rPr>
          <w:rFonts w:cs="Times New Roman"/>
          <w:b/>
          <w:szCs w:val="24"/>
        </w:rPr>
        <w:t xml:space="preserve"> in the system. </w:t>
      </w:r>
      <w:r w:rsidR="002043DA">
        <w:rPr>
          <w:rFonts w:cs="Times New Roman"/>
          <w:szCs w:val="24"/>
        </w:rPr>
        <w:t>A</w:t>
      </w:r>
      <w:r w:rsidRPr="004A571A">
        <w:rPr>
          <w:rFonts w:cs="Times New Roman"/>
          <w:szCs w:val="24"/>
        </w:rPr>
        <w:t xml:space="preserve">n evaluation of the country’s influenza pandemic </w:t>
      </w:r>
      <w:r w:rsidR="004114D9" w:rsidRPr="004A571A">
        <w:rPr>
          <w:rFonts w:cs="Times New Roman"/>
          <w:szCs w:val="24"/>
        </w:rPr>
        <w:t>preparedness</w:t>
      </w:r>
      <w:r w:rsidRPr="004A571A">
        <w:rPr>
          <w:rFonts w:cs="Times New Roman"/>
          <w:szCs w:val="24"/>
        </w:rPr>
        <w:t xml:space="preserve"> revealed strains on the surveillance and laboratory systems</w:t>
      </w:r>
      <w:r w:rsidR="008204EF">
        <w:rPr>
          <w:rFonts w:cs="Times New Roman"/>
          <w:szCs w:val="24"/>
        </w:rPr>
        <w:t xml:space="preserve"> during peak tran</w:t>
      </w:r>
      <w:r w:rsidR="00680ED6">
        <w:rPr>
          <w:rFonts w:cs="Times New Roman"/>
          <w:szCs w:val="24"/>
        </w:rPr>
        <w:t>s</w:t>
      </w:r>
      <w:r w:rsidR="008204EF">
        <w:rPr>
          <w:rFonts w:cs="Times New Roman"/>
          <w:szCs w:val="24"/>
        </w:rPr>
        <w:t>mission</w:t>
      </w:r>
      <w:r w:rsidRPr="004A571A">
        <w:rPr>
          <w:rFonts w:cs="Times New Roman"/>
          <w:szCs w:val="24"/>
        </w:rPr>
        <w:t xml:space="preserve">. </w:t>
      </w:r>
      <w:r w:rsidRPr="00A501A9">
        <w:rPr>
          <w:rFonts w:cs="Times New Roman"/>
          <w:szCs w:val="24"/>
        </w:rPr>
        <w:t xml:space="preserve">The </w:t>
      </w:r>
      <w:r w:rsidR="008F3FC8">
        <w:rPr>
          <w:rFonts w:cs="Times New Roman"/>
          <w:szCs w:val="24"/>
        </w:rPr>
        <w:t xml:space="preserve">epidemiological </w:t>
      </w:r>
      <w:r w:rsidRPr="00A501A9">
        <w:rPr>
          <w:rFonts w:cs="Times New Roman"/>
          <w:szCs w:val="24"/>
        </w:rPr>
        <w:t xml:space="preserve">surveillance </w:t>
      </w:r>
      <w:r w:rsidR="008F3FC8">
        <w:rPr>
          <w:rFonts w:cs="Times New Roman"/>
          <w:szCs w:val="24"/>
        </w:rPr>
        <w:t xml:space="preserve">and laboratory </w:t>
      </w:r>
      <w:r w:rsidRPr="00A501A9">
        <w:rPr>
          <w:rFonts w:cs="Times New Roman"/>
          <w:szCs w:val="24"/>
        </w:rPr>
        <w:t>system</w:t>
      </w:r>
      <w:r w:rsidR="008F3FC8">
        <w:rPr>
          <w:rFonts w:cs="Times New Roman"/>
          <w:szCs w:val="24"/>
        </w:rPr>
        <w:t>s</w:t>
      </w:r>
      <w:r w:rsidRPr="00A501A9">
        <w:rPr>
          <w:rFonts w:cs="Times New Roman"/>
          <w:szCs w:val="24"/>
        </w:rPr>
        <w:t xml:space="preserve"> needed capacity </w:t>
      </w:r>
      <w:r w:rsidR="00BF7F9D" w:rsidRPr="00A501A9">
        <w:rPr>
          <w:rFonts w:cs="Times New Roman"/>
          <w:szCs w:val="24"/>
        </w:rPr>
        <w:t>strengthening to</w:t>
      </w:r>
      <w:r w:rsidRPr="00A501A9">
        <w:rPr>
          <w:rFonts w:cs="Times New Roman"/>
          <w:szCs w:val="24"/>
        </w:rPr>
        <w:t xml:space="preserve"> quickly gather data</w:t>
      </w:r>
      <w:r w:rsidR="008F3FC8">
        <w:rPr>
          <w:rFonts w:cs="Times New Roman"/>
          <w:szCs w:val="24"/>
        </w:rPr>
        <w:t>,</w:t>
      </w:r>
      <w:r w:rsidRPr="00A501A9">
        <w:rPr>
          <w:rFonts w:cs="Times New Roman"/>
          <w:szCs w:val="24"/>
        </w:rPr>
        <w:t xml:space="preserve"> </w:t>
      </w:r>
      <w:r w:rsidR="008F3FC8">
        <w:rPr>
          <w:rFonts w:cs="Times New Roman"/>
          <w:szCs w:val="24"/>
        </w:rPr>
        <w:t>generate</w:t>
      </w:r>
      <w:r w:rsidRPr="00A501A9">
        <w:rPr>
          <w:rFonts w:cs="Times New Roman"/>
          <w:szCs w:val="24"/>
        </w:rPr>
        <w:t xml:space="preserve"> an accurate diagnosis </w:t>
      </w:r>
      <w:r w:rsidR="008F3FC8">
        <w:rPr>
          <w:rFonts w:cs="Times New Roman"/>
          <w:szCs w:val="24"/>
        </w:rPr>
        <w:t>and respond</w:t>
      </w:r>
      <w:r w:rsidRPr="00A501A9">
        <w:rPr>
          <w:rFonts w:cs="Times New Roman"/>
          <w:szCs w:val="24"/>
        </w:rPr>
        <w:t xml:space="preserve"> effectively during a</w:t>
      </w:r>
      <w:r w:rsidR="008F3FC8">
        <w:rPr>
          <w:rFonts w:cs="Times New Roman"/>
          <w:szCs w:val="24"/>
        </w:rPr>
        <w:t xml:space="preserve"> pandemic</w:t>
      </w:r>
      <w:r w:rsidRPr="00C557A2">
        <w:rPr>
          <w:rFonts w:cs="Times New Roman"/>
          <w:szCs w:val="24"/>
        </w:rPr>
        <w:t xml:space="preserve">.   </w:t>
      </w:r>
    </w:p>
    <w:p w:rsidR="00C81E72" w:rsidRDefault="00C81E72" w:rsidP="00D62AA1">
      <w:pPr>
        <w:widowControl w:val="0"/>
        <w:autoSpaceDE w:val="0"/>
        <w:autoSpaceDN w:val="0"/>
        <w:adjustRightInd w:val="0"/>
        <w:rPr>
          <w:b/>
          <w:lang w:eastAsia="en-US"/>
        </w:rPr>
      </w:pPr>
    </w:p>
    <w:p w:rsidR="00987812" w:rsidRDefault="00987812" w:rsidP="00305FBA">
      <w:pPr>
        <w:pStyle w:val="HTMLPreformatted"/>
        <w:numPr>
          <w:ilvl w:val="0"/>
          <w:numId w:val="1"/>
        </w:numPr>
        <w:autoSpaceDE w:val="0"/>
        <w:autoSpaceDN w:val="0"/>
        <w:adjustRightInd w:val="0"/>
        <w:ind w:left="0" w:firstLine="0"/>
        <w:jc w:val="both"/>
      </w:pPr>
      <w:r>
        <w:rPr>
          <w:b/>
        </w:rPr>
        <w:t xml:space="preserve"> </w:t>
      </w:r>
      <w:r w:rsidR="00AE01A7" w:rsidRPr="00BF7F9D">
        <w:rPr>
          <w:b/>
        </w:rPr>
        <w:t xml:space="preserve">The </w:t>
      </w:r>
      <w:r w:rsidR="00E62DEF" w:rsidRPr="00BF7F9D">
        <w:rPr>
          <w:b/>
        </w:rPr>
        <w:t xml:space="preserve">World </w:t>
      </w:r>
      <w:r w:rsidR="00AE01A7" w:rsidRPr="00BF7F9D">
        <w:rPr>
          <w:b/>
        </w:rPr>
        <w:t xml:space="preserve">Bank collaborated with Argentina during the </w:t>
      </w:r>
      <w:r w:rsidR="00545CA5" w:rsidRPr="00BF7F9D">
        <w:rPr>
          <w:b/>
        </w:rPr>
        <w:t>2009</w:t>
      </w:r>
      <w:r w:rsidR="00AE01A7" w:rsidRPr="00BF7F9D">
        <w:rPr>
          <w:b/>
        </w:rPr>
        <w:t xml:space="preserve"> A/H1N1 outbreak through the rapid processing of approximately US$7.5 million from the emergency component of the Essential Public Health Functions </w:t>
      </w:r>
      <w:r w:rsidR="00244442" w:rsidRPr="00BF7F9D">
        <w:rPr>
          <w:b/>
        </w:rPr>
        <w:t xml:space="preserve">I </w:t>
      </w:r>
      <w:r w:rsidR="00AE01A7" w:rsidRPr="00BF7F9D">
        <w:rPr>
          <w:b/>
        </w:rPr>
        <w:t>Project</w:t>
      </w:r>
      <w:r w:rsidR="00AE01A7" w:rsidRPr="00816C1F">
        <w:t xml:space="preserve"> </w:t>
      </w:r>
      <w:r w:rsidR="00AE01A7" w:rsidRPr="001B07AA">
        <w:rPr>
          <w:b/>
        </w:rPr>
        <w:t>(</w:t>
      </w:r>
      <w:r w:rsidR="00244442" w:rsidRPr="001B07AA">
        <w:rPr>
          <w:b/>
        </w:rPr>
        <w:t>FESP</w:t>
      </w:r>
      <w:r w:rsidR="00A73574" w:rsidRPr="001B07AA">
        <w:rPr>
          <w:b/>
        </w:rPr>
        <w:t>-</w:t>
      </w:r>
      <w:r w:rsidR="00AE01A7" w:rsidRPr="001B07AA">
        <w:rPr>
          <w:b/>
        </w:rPr>
        <w:t xml:space="preserve"> </w:t>
      </w:r>
      <w:r w:rsidR="00696033" w:rsidRPr="001B07AA">
        <w:rPr>
          <w:rFonts w:cs="Times New Roman"/>
          <w:b/>
          <w:szCs w:val="24"/>
        </w:rPr>
        <w:t>P090993</w:t>
      </w:r>
      <w:r w:rsidR="00B50539" w:rsidRPr="001B07AA">
        <w:rPr>
          <w:rFonts w:cs="Times New Roman"/>
          <w:b/>
          <w:szCs w:val="24"/>
        </w:rPr>
        <w:t xml:space="preserve">, </w:t>
      </w:r>
      <w:r w:rsidR="006A6E08" w:rsidRPr="001B07AA">
        <w:rPr>
          <w:b/>
        </w:rPr>
        <w:t>Loan 7412</w:t>
      </w:r>
      <w:r w:rsidR="00AE01A7" w:rsidRPr="001B07AA">
        <w:rPr>
          <w:b/>
        </w:rPr>
        <w:t>), which was specifically designed to address emergencies and epidemic outbreaks</w:t>
      </w:r>
      <w:r w:rsidR="00AE01A7" w:rsidRPr="001B07AA">
        <w:rPr>
          <w:b/>
          <w:szCs w:val="24"/>
        </w:rPr>
        <w:t>.</w:t>
      </w:r>
      <w:r w:rsidR="005700AC" w:rsidRPr="005700AC">
        <w:rPr>
          <w:szCs w:val="24"/>
        </w:rPr>
        <w:t xml:space="preserve"> Initial technical evaluation of </w:t>
      </w:r>
      <w:r w:rsidR="00BF7F9D">
        <w:rPr>
          <w:szCs w:val="24"/>
        </w:rPr>
        <w:t>loan</w:t>
      </w:r>
      <w:r w:rsidR="005700AC" w:rsidRPr="005700AC">
        <w:rPr>
          <w:szCs w:val="24"/>
        </w:rPr>
        <w:t xml:space="preserve"> proceeds used for A/H1N1 showed the impact that timely funds </w:t>
      </w:r>
      <w:r w:rsidR="00835CC1">
        <w:rPr>
          <w:szCs w:val="24"/>
        </w:rPr>
        <w:t>had</w:t>
      </w:r>
      <w:r w:rsidR="005700AC" w:rsidRPr="005700AC">
        <w:rPr>
          <w:szCs w:val="24"/>
        </w:rPr>
        <w:t xml:space="preserve"> mitigating risks</w:t>
      </w:r>
      <w:r w:rsidR="005700AC">
        <w:rPr>
          <w:szCs w:val="24"/>
        </w:rPr>
        <w:t>, with</w:t>
      </w:r>
      <w:r w:rsidR="005700AC" w:rsidRPr="005700AC">
        <w:rPr>
          <w:szCs w:val="24"/>
        </w:rPr>
        <w:t xml:space="preserve"> Argentina allocat</w:t>
      </w:r>
      <w:r w:rsidR="005700AC">
        <w:rPr>
          <w:szCs w:val="24"/>
        </w:rPr>
        <w:t>ing th</w:t>
      </w:r>
      <w:r w:rsidR="005700AC" w:rsidRPr="005700AC">
        <w:rPr>
          <w:szCs w:val="24"/>
        </w:rPr>
        <w:t xml:space="preserve">e resources based on a pre-approved plan for Avian Flu. </w:t>
      </w:r>
      <w:r w:rsidR="008F3FC8" w:rsidRPr="005700AC">
        <w:rPr>
          <w:szCs w:val="24"/>
        </w:rPr>
        <w:t>T</w:t>
      </w:r>
      <w:r w:rsidR="008F3FC8">
        <w:t>he World Bank had extensive experience in supporting governments worldwide in preparing for and responding to influenza epidemics, controlling infectious diseases, and in strengthening national epidemiological surveillance systems. This experience included that acquired through the Global Program on Avian Influenza, response to the SARS epidemic, HIV/AIDS pandemic</w:t>
      </w:r>
      <w:r w:rsidR="008F3FC8" w:rsidRPr="00AB231D">
        <w:t xml:space="preserve"> </w:t>
      </w:r>
      <w:r w:rsidR="008F3FC8">
        <w:t>and dengue epidemic.</w:t>
      </w:r>
      <w:r w:rsidR="008F3FC8">
        <w:rPr>
          <w:rStyle w:val="FootnoteReference"/>
        </w:rPr>
        <w:footnoteReference w:id="6"/>
      </w:r>
      <w:r>
        <w:t xml:space="preserve">  </w:t>
      </w:r>
    </w:p>
    <w:p w:rsidR="00D62AA1" w:rsidRDefault="00D62AA1" w:rsidP="00D62AA1">
      <w:pPr>
        <w:widowControl w:val="0"/>
        <w:autoSpaceDE w:val="0"/>
        <w:autoSpaceDN w:val="0"/>
        <w:adjustRightInd w:val="0"/>
        <w:rPr>
          <w:b/>
          <w:lang w:eastAsia="en-US"/>
        </w:rPr>
      </w:pPr>
    </w:p>
    <w:p w:rsidR="00AA5C33" w:rsidRPr="00AA5C33" w:rsidRDefault="00FA4385" w:rsidP="006C351A">
      <w:pPr>
        <w:pStyle w:val="HTMLPreformatted"/>
        <w:numPr>
          <w:ilvl w:val="0"/>
          <w:numId w:val="1"/>
        </w:numPr>
        <w:autoSpaceDE w:val="0"/>
        <w:autoSpaceDN w:val="0"/>
        <w:adjustRightInd w:val="0"/>
        <w:ind w:left="0" w:firstLine="0"/>
        <w:jc w:val="both"/>
      </w:pPr>
      <w:r w:rsidRPr="00CE2E58">
        <w:rPr>
          <w:b/>
        </w:rPr>
        <w:t xml:space="preserve">Following up on the emergency component under the </w:t>
      </w:r>
      <w:r w:rsidR="00244442">
        <w:rPr>
          <w:b/>
        </w:rPr>
        <w:t xml:space="preserve">FESP I </w:t>
      </w:r>
      <w:r w:rsidRPr="00CE2E58">
        <w:rPr>
          <w:b/>
        </w:rPr>
        <w:t>operation</w:t>
      </w:r>
      <w:r w:rsidR="004A571A" w:rsidRPr="00CE2E58">
        <w:rPr>
          <w:b/>
        </w:rPr>
        <w:t>,</w:t>
      </w:r>
      <w:r w:rsidRPr="00CE2E58">
        <w:rPr>
          <w:b/>
        </w:rPr>
        <w:t xml:space="preserve"> the GOA asked </w:t>
      </w:r>
      <w:r w:rsidR="006C351A" w:rsidRPr="00CE2E58">
        <w:rPr>
          <w:b/>
        </w:rPr>
        <w:t>t</w:t>
      </w:r>
      <w:r w:rsidR="00C81294" w:rsidRPr="00CE2E58">
        <w:rPr>
          <w:b/>
        </w:rPr>
        <w:t>h</w:t>
      </w:r>
      <w:r w:rsidR="006C351A" w:rsidRPr="00CE2E58">
        <w:rPr>
          <w:b/>
        </w:rPr>
        <w:t xml:space="preserve">e World Bank </w:t>
      </w:r>
      <w:r w:rsidRPr="00CE2E58">
        <w:rPr>
          <w:b/>
        </w:rPr>
        <w:t xml:space="preserve">for a new </w:t>
      </w:r>
      <w:r w:rsidR="00145BC4">
        <w:rPr>
          <w:b/>
        </w:rPr>
        <w:t>p</w:t>
      </w:r>
      <w:r w:rsidR="00145BC4" w:rsidRPr="00CE2E58">
        <w:rPr>
          <w:b/>
        </w:rPr>
        <w:t xml:space="preserve">roject </w:t>
      </w:r>
      <w:r w:rsidR="004A571A" w:rsidRPr="00CE2E58">
        <w:rPr>
          <w:b/>
        </w:rPr>
        <w:t xml:space="preserve">to </w:t>
      </w:r>
      <w:r w:rsidR="006C351A" w:rsidRPr="00CE2E58">
        <w:rPr>
          <w:b/>
        </w:rPr>
        <w:t>prepare for a possible second A/H1N1 wave.</w:t>
      </w:r>
      <w:r w:rsidR="00AD1150">
        <w:rPr>
          <w:rStyle w:val="FootnoteReference"/>
          <w:b/>
        </w:rPr>
        <w:footnoteReference w:id="7"/>
      </w:r>
      <w:r w:rsidR="006C351A" w:rsidRPr="00816C1F">
        <w:t xml:space="preserve"> </w:t>
      </w:r>
      <w:r w:rsidR="00680ED6">
        <w:t xml:space="preserve">Scientific studies and </w:t>
      </w:r>
      <w:r w:rsidR="00E179B3">
        <w:t>epidemiologists</w:t>
      </w:r>
      <w:r w:rsidR="00680ED6">
        <w:t xml:space="preserve"> had predicted a second A/H1N1 wave in 2010 and </w:t>
      </w:r>
      <w:r w:rsidR="00680ED6" w:rsidRPr="00170205">
        <w:t xml:space="preserve">Argentina’s National Immunization Commission </w:t>
      </w:r>
      <w:r w:rsidR="00680ED6" w:rsidRPr="00AD5D84">
        <w:rPr>
          <w:szCs w:val="24"/>
        </w:rPr>
        <w:t>(</w:t>
      </w:r>
      <w:r w:rsidR="00680ED6" w:rsidRPr="00FF751C">
        <w:rPr>
          <w:rFonts w:cs="Arial"/>
          <w:i/>
          <w:szCs w:val="24"/>
        </w:rPr>
        <w:t>Comisión Nacional de Inmunizaciones</w:t>
      </w:r>
      <w:r w:rsidR="00680ED6" w:rsidRPr="007975CE">
        <w:rPr>
          <w:szCs w:val="24"/>
        </w:rPr>
        <w:t xml:space="preserve"> </w:t>
      </w:r>
      <w:r w:rsidR="00680ED6" w:rsidRPr="00AD5D84">
        <w:rPr>
          <w:szCs w:val="24"/>
        </w:rPr>
        <w:t>-- CONAIN)</w:t>
      </w:r>
      <w:r w:rsidR="00680ED6" w:rsidRPr="00170205">
        <w:t xml:space="preserve"> recommended </w:t>
      </w:r>
      <w:r w:rsidR="00680ED6">
        <w:t>the strategic stockpiling</w:t>
      </w:r>
      <w:r w:rsidR="00680ED6" w:rsidRPr="00170205">
        <w:t xml:space="preserve"> of </w:t>
      </w:r>
      <w:r w:rsidR="00680ED6">
        <w:t>the</w:t>
      </w:r>
      <w:r w:rsidR="00680ED6" w:rsidRPr="00170205">
        <w:t xml:space="preserve"> vaccine </w:t>
      </w:r>
      <w:r w:rsidR="00680ED6">
        <w:t>as an element</w:t>
      </w:r>
      <w:r w:rsidR="00680ED6" w:rsidRPr="00816C1F">
        <w:t xml:space="preserve"> of the seasonal flu vaccine strategy (improving coverage). </w:t>
      </w:r>
      <w:r w:rsidR="00EE6459" w:rsidRPr="00816C1F">
        <w:t>The Project was aligned with the</w:t>
      </w:r>
      <w:r w:rsidR="00EE6459">
        <w:t xml:space="preserve"> World </w:t>
      </w:r>
      <w:r w:rsidR="00EE6459" w:rsidRPr="00816C1F">
        <w:t>B</w:t>
      </w:r>
      <w:r w:rsidR="00EE6459">
        <w:t>ank Group</w:t>
      </w:r>
      <w:r w:rsidR="00EE6459" w:rsidRPr="00816C1F">
        <w:t xml:space="preserve">’s Country Partnership Strategy </w:t>
      </w:r>
      <w:r w:rsidR="00EE6459">
        <w:t xml:space="preserve">(CPS) </w:t>
      </w:r>
      <w:r w:rsidR="00EE6459" w:rsidRPr="00816C1F">
        <w:t xml:space="preserve">2010-2012 (Report </w:t>
      </w:r>
      <w:r w:rsidR="00EE6459">
        <w:t>#</w:t>
      </w:r>
      <w:r w:rsidR="00EE6459" w:rsidRPr="00816C1F">
        <w:t xml:space="preserve"> 48476</w:t>
      </w:r>
      <w:r w:rsidR="008204EF">
        <w:t>)</w:t>
      </w:r>
      <w:r w:rsidR="00EE6459">
        <w:t xml:space="preserve"> discussed by the Executive Directors on May 6, 2009,</w:t>
      </w:r>
      <w:r w:rsidR="00EE6459" w:rsidRPr="00816C1F">
        <w:t xml:space="preserve"> in which one of the principal objectives was to consolidate improvements made to </w:t>
      </w:r>
      <w:r w:rsidR="00EE6459">
        <w:t xml:space="preserve">the </w:t>
      </w:r>
      <w:r w:rsidR="00EE6459" w:rsidRPr="00816C1F">
        <w:t xml:space="preserve">health </w:t>
      </w:r>
      <w:r w:rsidR="00EE6459">
        <w:t>sector and</w:t>
      </w:r>
      <w:r w:rsidR="00065F09" w:rsidRPr="006C351A">
        <w:t xml:space="preserve"> </w:t>
      </w:r>
      <w:r w:rsidR="005B30FE" w:rsidRPr="006C351A">
        <w:t>c</w:t>
      </w:r>
      <w:r w:rsidR="001745B4" w:rsidRPr="006C351A">
        <w:t>omplement</w:t>
      </w:r>
      <w:r w:rsidR="005B30FE" w:rsidRPr="006C351A">
        <w:t xml:space="preserve"> </w:t>
      </w:r>
      <w:r w:rsidR="001745B4" w:rsidRPr="006C351A">
        <w:t>ongoing</w:t>
      </w:r>
      <w:r w:rsidR="005B30FE" w:rsidRPr="006C351A">
        <w:t xml:space="preserve"> </w:t>
      </w:r>
      <w:r w:rsidR="001745B4" w:rsidRPr="006C351A">
        <w:t>activities</w:t>
      </w:r>
      <w:r w:rsidR="005B30FE" w:rsidRPr="006C351A">
        <w:t xml:space="preserve"> </w:t>
      </w:r>
      <w:r w:rsidR="001745B4" w:rsidRPr="006C351A">
        <w:t>of</w:t>
      </w:r>
      <w:r w:rsidR="005B30FE" w:rsidRPr="006C351A">
        <w:t xml:space="preserve"> </w:t>
      </w:r>
      <w:r w:rsidR="001745B4" w:rsidRPr="006C351A">
        <w:t>the</w:t>
      </w:r>
      <w:r w:rsidR="005B30FE" w:rsidRPr="006C351A">
        <w:t xml:space="preserve"> </w:t>
      </w:r>
      <w:r w:rsidR="00244442">
        <w:t>FESP I</w:t>
      </w:r>
      <w:r w:rsidR="00AE01A7" w:rsidRPr="006C351A">
        <w:t xml:space="preserve"> Project</w:t>
      </w:r>
      <w:r w:rsidR="00111D25">
        <w:t xml:space="preserve">, the </w:t>
      </w:r>
      <w:r w:rsidR="00C81294" w:rsidRPr="00491250">
        <w:rPr>
          <w:rFonts w:cs="Times New Roman"/>
          <w:szCs w:val="24"/>
        </w:rPr>
        <w:t xml:space="preserve">Provincial Maternal-Child </w:t>
      </w:r>
      <w:r w:rsidR="00C81294" w:rsidRPr="00491250">
        <w:rPr>
          <w:rFonts w:cs="Times New Roman"/>
          <w:szCs w:val="24"/>
        </w:rPr>
        <w:lastRenderedPageBreak/>
        <w:t>Health Investment Project</w:t>
      </w:r>
      <w:r w:rsidR="006A6E08">
        <w:rPr>
          <w:rFonts w:cs="Times New Roman"/>
          <w:szCs w:val="24"/>
        </w:rPr>
        <w:t xml:space="preserve"> (P071025</w:t>
      </w:r>
      <w:r w:rsidR="00111D25">
        <w:rPr>
          <w:rFonts w:cs="Times New Roman"/>
          <w:szCs w:val="24"/>
        </w:rPr>
        <w:t>,</w:t>
      </w:r>
      <w:r w:rsidR="006A2F16">
        <w:rPr>
          <w:rFonts w:cs="Times New Roman"/>
          <w:szCs w:val="24"/>
        </w:rPr>
        <w:t xml:space="preserve"> </w:t>
      </w:r>
      <w:r w:rsidR="006A6E08">
        <w:rPr>
          <w:rFonts w:cs="Times New Roman"/>
          <w:szCs w:val="24"/>
        </w:rPr>
        <w:t>Loan 7225)</w:t>
      </w:r>
      <w:r w:rsidR="00C81294" w:rsidRPr="00491250">
        <w:rPr>
          <w:rFonts w:cs="Times New Roman"/>
          <w:szCs w:val="24"/>
        </w:rPr>
        <w:t xml:space="preserve"> </w:t>
      </w:r>
      <w:r w:rsidR="008033D2" w:rsidRPr="00491250">
        <w:rPr>
          <w:rFonts w:cs="Times New Roman"/>
          <w:szCs w:val="24"/>
        </w:rPr>
        <w:t xml:space="preserve">and </w:t>
      </w:r>
      <w:r w:rsidR="00111D25">
        <w:rPr>
          <w:rFonts w:cs="Times New Roman"/>
          <w:szCs w:val="24"/>
        </w:rPr>
        <w:t xml:space="preserve">the </w:t>
      </w:r>
      <w:r w:rsidR="008033D2" w:rsidRPr="00491250">
        <w:rPr>
          <w:rFonts w:cs="Times New Roman"/>
          <w:szCs w:val="24"/>
        </w:rPr>
        <w:t xml:space="preserve">Provincial Maternal-Child Health Investment Project </w:t>
      </w:r>
      <w:r w:rsidR="003F3B56" w:rsidRPr="00491250">
        <w:rPr>
          <w:rFonts w:cs="Times New Roman"/>
          <w:szCs w:val="24"/>
        </w:rPr>
        <w:t>Second Phase</w:t>
      </w:r>
      <w:r w:rsidR="006A6E08">
        <w:rPr>
          <w:rFonts w:cs="Times New Roman"/>
          <w:szCs w:val="24"/>
        </w:rPr>
        <w:t xml:space="preserve"> (P095515</w:t>
      </w:r>
      <w:r w:rsidR="00111D25">
        <w:rPr>
          <w:rFonts w:cs="Times New Roman"/>
          <w:szCs w:val="24"/>
        </w:rPr>
        <w:t>,</w:t>
      </w:r>
      <w:r w:rsidR="006A6E08">
        <w:rPr>
          <w:rFonts w:cs="Times New Roman"/>
          <w:szCs w:val="24"/>
        </w:rPr>
        <w:t xml:space="preserve"> Loan 7409)</w:t>
      </w:r>
      <w:r w:rsidR="003F3B56" w:rsidRPr="00491250">
        <w:rPr>
          <w:rFonts w:cs="Times New Roman"/>
          <w:szCs w:val="24"/>
        </w:rPr>
        <w:t xml:space="preserve"> </w:t>
      </w:r>
      <w:r w:rsidR="008228B4" w:rsidRPr="00491250">
        <w:t>or</w:t>
      </w:r>
      <w:r w:rsidR="008228B4" w:rsidRPr="00491250">
        <w:rPr>
          <w:i/>
        </w:rPr>
        <w:t xml:space="preserve"> Plan</w:t>
      </w:r>
      <w:r w:rsidR="008228B4" w:rsidRPr="0063364B">
        <w:rPr>
          <w:i/>
        </w:rPr>
        <w:t xml:space="preserve"> Nacer</w:t>
      </w:r>
      <w:r w:rsidR="00AE01A7" w:rsidRPr="00491250">
        <w:t>.</w:t>
      </w:r>
      <w:r w:rsidR="00D139DB">
        <w:rPr>
          <w:rStyle w:val="FootnoteReference"/>
        </w:rPr>
        <w:footnoteReference w:id="8"/>
      </w:r>
      <w:r w:rsidR="00AE01A7" w:rsidRPr="00816C1F">
        <w:t xml:space="preserve"> </w:t>
      </w:r>
      <w:r w:rsidR="005F1CA3" w:rsidRPr="00816C1F">
        <w:rPr>
          <w:rFonts w:cs="Times New Roman"/>
        </w:rPr>
        <w:t xml:space="preserve">The Project was </w:t>
      </w:r>
      <w:r w:rsidR="005F1CA3">
        <w:rPr>
          <w:rFonts w:cs="Times New Roman"/>
        </w:rPr>
        <w:t xml:space="preserve">closely </w:t>
      </w:r>
      <w:r w:rsidR="005F1CA3" w:rsidRPr="00816C1F">
        <w:rPr>
          <w:rFonts w:cs="Times New Roman"/>
        </w:rPr>
        <w:t>aligned with th</w:t>
      </w:r>
      <w:r w:rsidR="005F1CA3">
        <w:rPr>
          <w:rFonts w:cs="Times New Roman"/>
        </w:rPr>
        <w:t xml:space="preserve">ree pillars of the </w:t>
      </w:r>
      <w:r w:rsidR="007B582A">
        <w:rPr>
          <w:rFonts w:cs="Times New Roman"/>
        </w:rPr>
        <w:t>CPS</w:t>
      </w:r>
      <w:r w:rsidR="005F1CA3">
        <w:rPr>
          <w:rFonts w:cs="Times New Roman"/>
        </w:rPr>
        <w:t>:</w:t>
      </w:r>
      <w:r w:rsidR="005F1CA3" w:rsidRPr="00816C1F">
        <w:rPr>
          <w:rFonts w:cs="Times New Roman"/>
        </w:rPr>
        <w:t xml:space="preserve"> sustainable growth with equity, social inclusion and improved governance</w:t>
      </w:r>
      <w:r w:rsidR="00111D25">
        <w:rPr>
          <w:rFonts w:cs="Times New Roman"/>
        </w:rPr>
        <w:t>,</w:t>
      </w:r>
      <w:r w:rsidR="005F1CA3" w:rsidRPr="00816C1F">
        <w:rPr>
          <w:rFonts w:cs="Times New Roman"/>
        </w:rPr>
        <w:t xml:space="preserve"> in which one of the principal objectives was to consolidate </w:t>
      </w:r>
      <w:r w:rsidR="005F1CA3">
        <w:rPr>
          <w:rFonts w:cs="Times New Roman"/>
        </w:rPr>
        <w:t xml:space="preserve">health </w:t>
      </w:r>
      <w:r w:rsidR="005F1CA3" w:rsidRPr="00816C1F">
        <w:rPr>
          <w:rFonts w:cs="Times New Roman"/>
        </w:rPr>
        <w:t>improvements.</w:t>
      </w:r>
    </w:p>
    <w:p w:rsidR="00AA5C33" w:rsidRDefault="00AA5C33" w:rsidP="006C7195">
      <w:pPr>
        <w:pStyle w:val="HTMLPreformatted"/>
        <w:autoSpaceDE w:val="0"/>
        <w:autoSpaceDN w:val="0"/>
        <w:adjustRightInd w:val="0"/>
        <w:jc w:val="both"/>
        <w:rPr>
          <w:rFonts w:eastAsia="MS Mincho" w:cs="Times New Roman"/>
          <w:szCs w:val="24"/>
          <w:lang w:eastAsia="ja-JP"/>
        </w:rPr>
      </w:pPr>
    </w:p>
    <w:p w:rsidR="00D62AA1" w:rsidRPr="00213C92" w:rsidRDefault="00AA5C33" w:rsidP="005022A4">
      <w:pPr>
        <w:pStyle w:val="HTMLPreformatted"/>
        <w:numPr>
          <w:ilvl w:val="0"/>
          <w:numId w:val="1"/>
        </w:numPr>
        <w:autoSpaceDE w:val="0"/>
        <w:autoSpaceDN w:val="0"/>
        <w:adjustRightInd w:val="0"/>
        <w:ind w:left="0" w:firstLine="0"/>
        <w:jc w:val="both"/>
        <w:rPr>
          <w:b/>
        </w:rPr>
      </w:pPr>
      <w:r w:rsidRPr="00336EC9">
        <w:rPr>
          <w:b/>
        </w:rPr>
        <w:t>The Project ado</w:t>
      </w:r>
      <w:r w:rsidR="006A2F16">
        <w:rPr>
          <w:b/>
        </w:rPr>
        <w:t>p</w:t>
      </w:r>
      <w:r w:rsidRPr="00213C92">
        <w:rPr>
          <w:b/>
        </w:rPr>
        <w:t xml:space="preserve">ted a Results-Based Financing </w:t>
      </w:r>
      <w:r w:rsidR="006A2F16">
        <w:rPr>
          <w:b/>
        </w:rPr>
        <w:t xml:space="preserve">(RBF) </w:t>
      </w:r>
      <w:r w:rsidRPr="00213C92">
        <w:rPr>
          <w:b/>
        </w:rPr>
        <w:t xml:space="preserve">mechanism, </w:t>
      </w:r>
      <w:r w:rsidRPr="00572AFD">
        <w:rPr>
          <w:b/>
        </w:rPr>
        <w:t xml:space="preserve">considering the successful </w:t>
      </w:r>
      <w:r w:rsidR="005022A4" w:rsidRPr="00572AFD">
        <w:rPr>
          <w:b/>
        </w:rPr>
        <w:t xml:space="preserve">experience </w:t>
      </w:r>
      <w:r w:rsidRPr="00572AFD">
        <w:rPr>
          <w:b/>
        </w:rPr>
        <w:t>of this scheme in previous</w:t>
      </w:r>
      <w:r w:rsidR="005022A4" w:rsidRPr="00572AFD">
        <w:rPr>
          <w:b/>
        </w:rPr>
        <w:t xml:space="preserve"> </w:t>
      </w:r>
      <w:r w:rsidR="006A2F16" w:rsidRPr="00572AFD">
        <w:rPr>
          <w:b/>
        </w:rPr>
        <w:t xml:space="preserve">World </w:t>
      </w:r>
      <w:r w:rsidRPr="00572AFD">
        <w:rPr>
          <w:b/>
        </w:rPr>
        <w:t xml:space="preserve">Bank financed </w:t>
      </w:r>
      <w:r w:rsidR="00B358C5" w:rsidRPr="00572AFD">
        <w:rPr>
          <w:b/>
        </w:rPr>
        <w:t xml:space="preserve">health </w:t>
      </w:r>
      <w:r w:rsidRPr="00572AFD">
        <w:rPr>
          <w:b/>
        </w:rPr>
        <w:t>operations</w:t>
      </w:r>
      <w:r w:rsidR="005022A4" w:rsidRPr="00572AFD">
        <w:rPr>
          <w:b/>
        </w:rPr>
        <w:t xml:space="preserve"> and </w:t>
      </w:r>
      <w:r w:rsidR="00B358C5" w:rsidRPr="00572AFD">
        <w:rPr>
          <w:b/>
        </w:rPr>
        <w:t>existing</w:t>
      </w:r>
      <w:r w:rsidR="005022A4" w:rsidRPr="00572AFD">
        <w:rPr>
          <w:b/>
        </w:rPr>
        <w:t xml:space="preserve"> local </w:t>
      </w:r>
      <w:r w:rsidR="00B358C5" w:rsidRPr="00572AFD">
        <w:rPr>
          <w:b/>
        </w:rPr>
        <w:t xml:space="preserve">RBF </w:t>
      </w:r>
      <w:r w:rsidR="005022A4" w:rsidRPr="00572AFD">
        <w:rPr>
          <w:b/>
        </w:rPr>
        <w:t>capacity</w:t>
      </w:r>
      <w:r w:rsidR="005022A4">
        <w:t xml:space="preserve">. </w:t>
      </w:r>
      <w:r w:rsidR="005F1CA3" w:rsidRPr="00213C92">
        <w:rPr>
          <w:b/>
        </w:rPr>
        <w:t xml:space="preserve">    </w:t>
      </w:r>
    </w:p>
    <w:p w:rsidR="006C351A" w:rsidRPr="00680ED6" w:rsidRDefault="006C351A" w:rsidP="00213C92">
      <w:pPr>
        <w:pStyle w:val="HTMLPreformatted"/>
        <w:autoSpaceDE w:val="0"/>
        <w:autoSpaceDN w:val="0"/>
        <w:adjustRightInd w:val="0"/>
        <w:jc w:val="both"/>
      </w:pPr>
    </w:p>
    <w:p w:rsidR="00C67D43" w:rsidRPr="00816C1F" w:rsidRDefault="00C67D43" w:rsidP="00787CA8">
      <w:pPr>
        <w:pStyle w:val="Heading3"/>
        <w:spacing w:before="0" w:beforeAutospacing="0"/>
        <w:jc w:val="both"/>
        <w:rPr>
          <w:sz w:val="24"/>
          <w:szCs w:val="24"/>
        </w:rPr>
      </w:pPr>
      <w:r w:rsidRPr="00816C1F">
        <w:rPr>
          <w:sz w:val="24"/>
          <w:szCs w:val="24"/>
        </w:rPr>
        <w:t xml:space="preserve">1.2 Original </w:t>
      </w:r>
      <w:r w:rsidR="00F85DAD" w:rsidRPr="00816C1F">
        <w:rPr>
          <w:sz w:val="24"/>
          <w:szCs w:val="24"/>
        </w:rPr>
        <w:t>Project</w:t>
      </w:r>
      <w:r w:rsidRPr="00816C1F">
        <w:rPr>
          <w:sz w:val="24"/>
          <w:szCs w:val="24"/>
        </w:rPr>
        <w:t xml:space="preserve"> Development Objectives (PDO) and Key Indicators </w:t>
      </w:r>
    </w:p>
    <w:p w:rsidR="00787CA8" w:rsidRPr="00816C1F" w:rsidRDefault="00787CA8" w:rsidP="00787CA8">
      <w:pPr>
        <w:pStyle w:val="Heading3"/>
        <w:spacing w:before="0" w:beforeAutospacing="0"/>
        <w:jc w:val="both"/>
        <w:rPr>
          <w:sz w:val="24"/>
          <w:szCs w:val="24"/>
        </w:rPr>
      </w:pPr>
    </w:p>
    <w:p w:rsidR="006A2F16" w:rsidRPr="00213C92" w:rsidRDefault="00787CA8" w:rsidP="00213C92">
      <w:pPr>
        <w:pStyle w:val="HTMLPreformatted"/>
        <w:numPr>
          <w:ilvl w:val="0"/>
          <w:numId w:val="1"/>
        </w:numPr>
        <w:autoSpaceDE w:val="0"/>
        <w:autoSpaceDN w:val="0"/>
        <w:adjustRightInd w:val="0"/>
        <w:ind w:left="0" w:firstLine="0"/>
        <w:jc w:val="both"/>
        <w:rPr>
          <w:color w:val="000000"/>
        </w:rPr>
      </w:pPr>
      <w:bookmarkStart w:id="124" w:name="SEC62"/>
      <w:bookmarkStart w:id="125" w:name="PDO"/>
      <w:bookmarkEnd w:id="124"/>
      <w:r w:rsidRPr="00816C1F">
        <w:rPr>
          <w:b/>
        </w:rPr>
        <w:t>Th</w:t>
      </w:r>
      <w:r w:rsidR="006A2F16">
        <w:rPr>
          <w:b/>
        </w:rPr>
        <w:t xml:space="preserve">e </w:t>
      </w:r>
      <w:r w:rsidR="004033E1">
        <w:rPr>
          <w:b/>
        </w:rPr>
        <w:t xml:space="preserve">PDO </w:t>
      </w:r>
      <w:r w:rsidR="006240A2">
        <w:rPr>
          <w:b/>
        </w:rPr>
        <w:t>wa</w:t>
      </w:r>
      <w:r w:rsidR="00EC6C58">
        <w:rPr>
          <w:b/>
        </w:rPr>
        <w:t xml:space="preserve">s to </w:t>
      </w:r>
      <w:r w:rsidR="00D47268">
        <w:rPr>
          <w:b/>
        </w:rPr>
        <w:t>strengthen</w:t>
      </w:r>
      <w:r w:rsidR="00EC6C58">
        <w:rPr>
          <w:b/>
        </w:rPr>
        <w:t xml:space="preserve"> </w:t>
      </w:r>
      <w:r w:rsidR="00D47268">
        <w:rPr>
          <w:b/>
        </w:rPr>
        <w:t xml:space="preserve">the capacity of </w:t>
      </w:r>
      <w:r w:rsidR="00EC6C58">
        <w:rPr>
          <w:b/>
        </w:rPr>
        <w:t xml:space="preserve">Argentina’s </w:t>
      </w:r>
      <w:r w:rsidR="00D47268" w:rsidRPr="006C351A">
        <w:rPr>
          <w:b/>
        </w:rPr>
        <w:t>epidemiological health surveillance system</w:t>
      </w:r>
      <w:r w:rsidR="00D47268" w:rsidRPr="001B07AA">
        <w:rPr>
          <w:b/>
        </w:rPr>
        <w:t>: (a) to prevent, monitor and evaluate influenza activity; and (b) to control epidemic waves of the A/H1N1 influenza.</w:t>
      </w:r>
      <w:r w:rsidR="00D47268">
        <w:t xml:space="preserve"> </w:t>
      </w:r>
      <w:r w:rsidR="00835CC1">
        <w:t>The Project</w:t>
      </w:r>
      <w:r w:rsidR="006A2F16">
        <w:t>’s results</w:t>
      </w:r>
      <w:r w:rsidR="00C3086A">
        <w:t>, as presented in the P</w:t>
      </w:r>
      <w:r w:rsidR="001171B5">
        <w:t>roject Appraisal Document (P</w:t>
      </w:r>
      <w:r w:rsidR="00C3086A">
        <w:t>AD</w:t>
      </w:r>
      <w:r w:rsidR="001171B5">
        <w:t>)</w:t>
      </w:r>
      <w:r w:rsidR="00C3086A">
        <w:t xml:space="preserve">, </w:t>
      </w:r>
      <w:r w:rsidR="00835CC1">
        <w:t>w</w:t>
      </w:r>
      <w:r w:rsidR="006A2F16">
        <w:t>ere</w:t>
      </w:r>
      <w:r w:rsidR="00835CC1">
        <w:t xml:space="preserve"> </w:t>
      </w:r>
      <w:r w:rsidR="00A73574">
        <w:t xml:space="preserve">to be </w:t>
      </w:r>
      <w:r w:rsidR="00835CC1">
        <w:t xml:space="preserve">measured </w:t>
      </w:r>
      <w:r w:rsidR="00F227C1">
        <w:t xml:space="preserve">through </w:t>
      </w:r>
      <w:r w:rsidR="00B27009">
        <w:t>14 intermediate outcome indicators.</w:t>
      </w:r>
      <w:r w:rsidR="00BF7F9D">
        <w:t xml:space="preserve"> </w:t>
      </w:r>
      <w:r w:rsidR="0074408A">
        <w:rPr>
          <w:szCs w:val="24"/>
        </w:rPr>
        <w:t>T</w:t>
      </w:r>
      <w:r w:rsidR="00B27009">
        <w:t xml:space="preserve">he PAD indicates </w:t>
      </w:r>
      <w:r w:rsidR="0074408A">
        <w:t xml:space="preserve">five out </w:t>
      </w:r>
      <w:r w:rsidR="00B27009">
        <w:t xml:space="preserve">of the 14 </w:t>
      </w:r>
      <w:r w:rsidR="0020531A">
        <w:t xml:space="preserve">intermediate outcome </w:t>
      </w:r>
      <w:r w:rsidR="00B27009">
        <w:t xml:space="preserve">indicators </w:t>
      </w:r>
      <w:r w:rsidR="0074408A">
        <w:t xml:space="preserve">to </w:t>
      </w:r>
      <w:r w:rsidR="00B27009">
        <w:t xml:space="preserve">serve as </w:t>
      </w:r>
      <w:r w:rsidR="00380771">
        <w:t>k</w:t>
      </w:r>
      <w:r w:rsidR="00B27009">
        <w:t xml:space="preserve">ey indicators for </w:t>
      </w:r>
      <w:r w:rsidR="00AD72F0">
        <w:t>purposes</w:t>
      </w:r>
      <w:r w:rsidR="00B27009">
        <w:t xml:space="preserve"> of measuring the </w:t>
      </w:r>
      <w:r w:rsidR="0074408A">
        <w:t xml:space="preserve">PDO, </w:t>
      </w:r>
      <w:r w:rsidR="0035709D">
        <w:rPr>
          <w:szCs w:val="24"/>
        </w:rPr>
        <w:t>a</w:t>
      </w:r>
      <w:r w:rsidR="00213C92" w:rsidRPr="001171B5">
        <w:rPr>
          <w:szCs w:val="24"/>
        </w:rPr>
        <w:t xml:space="preserve">lthough not labeled </w:t>
      </w:r>
      <w:r w:rsidR="005B0174">
        <w:rPr>
          <w:szCs w:val="24"/>
        </w:rPr>
        <w:t xml:space="preserve">as </w:t>
      </w:r>
      <w:r w:rsidR="00F1397B">
        <w:rPr>
          <w:szCs w:val="24"/>
        </w:rPr>
        <w:t>PDO</w:t>
      </w:r>
      <w:r w:rsidR="005B0174">
        <w:rPr>
          <w:szCs w:val="24"/>
        </w:rPr>
        <w:t>-level</w:t>
      </w:r>
      <w:r w:rsidR="00F1397B">
        <w:rPr>
          <w:szCs w:val="24"/>
        </w:rPr>
        <w:t xml:space="preserve"> indicators in the PAD results </w:t>
      </w:r>
      <w:r w:rsidR="006C4CE0">
        <w:rPr>
          <w:szCs w:val="24"/>
        </w:rPr>
        <w:t>framework</w:t>
      </w:r>
      <w:r w:rsidR="00213C92" w:rsidRPr="001171B5">
        <w:rPr>
          <w:szCs w:val="24"/>
        </w:rPr>
        <w:t>.</w:t>
      </w:r>
      <w:r w:rsidR="00213C92">
        <w:rPr>
          <w:rStyle w:val="FootnoteReference"/>
          <w:szCs w:val="24"/>
        </w:rPr>
        <w:footnoteReference w:id="9"/>
      </w:r>
      <w:r w:rsidR="00213C92" w:rsidRPr="001171B5">
        <w:rPr>
          <w:szCs w:val="24"/>
        </w:rPr>
        <w:t xml:space="preserve"> </w:t>
      </w:r>
      <w:r w:rsidR="004000F5">
        <w:rPr>
          <w:szCs w:val="24"/>
        </w:rPr>
        <w:t>Nine</w:t>
      </w:r>
      <w:r w:rsidR="004000F5">
        <w:t xml:space="preserve"> </w:t>
      </w:r>
      <w:r w:rsidR="00E405DC">
        <w:t xml:space="preserve">of the </w:t>
      </w:r>
      <w:r w:rsidR="0020531A">
        <w:t xml:space="preserve">intermediate outcome </w:t>
      </w:r>
      <w:r w:rsidR="00213C92">
        <w:t xml:space="preserve">indicators were also output indicators </w:t>
      </w:r>
      <w:r w:rsidR="0020531A">
        <w:t>for purposes of disbursement under the RBF scheme</w:t>
      </w:r>
      <w:r w:rsidR="00213C92">
        <w:t>.</w:t>
      </w:r>
      <w:r w:rsidR="001B07AA">
        <w:rPr>
          <w:rStyle w:val="FootnoteReference"/>
        </w:rPr>
        <w:footnoteReference w:id="10"/>
      </w:r>
      <w:r w:rsidR="00213C92">
        <w:t xml:space="preserve"> </w:t>
      </w:r>
      <w:r w:rsidR="006A2F16">
        <w:t xml:space="preserve">The Project’s </w:t>
      </w:r>
      <w:r w:rsidR="00E405DC">
        <w:t xml:space="preserve">key </w:t>
      </w:r>
      <w:r w:rsidR="006A2F16">
        <w:t xml:space="preserve">indicators were: </w:t>
      </w:r>
    </w:p>
    <w:p w:rsidR="006A2F16" w:rsidRDefault="00E405DC" w:rsidP="006C7195">
      <w:pPr>
        <w:pStyle w:val="HTMLPreformatted"/>
        <w:numPr>
          <w:ilvl w:val="0"/>
          <w:numId w:val="13"/>
        </w:numPr>
        <w:autoSpaceDE w:val="0"/>
        <w:autoSpaceDN w:val="0"/>
        <w:adjustRightInd w:val="0"/>
        <w:jc w:val="both"/>
      </w:pPr>
      <w:r>
        <w:t xml:space="preserve">Key </w:t>
      </w:r>
      <w:r w:rsidR="006A2F16">
        <w:t>Indicator 1:</w:t>
      </w:r>
      <w:r w:rsidR="00835CC1">
        <w:t xml:space="preserve"> </w:t>
      </w:r>
      <w:r w:rsidR="001171B5">
        <w:t>Health Situation Rooms (HSR) Certified</w:t>
      </w:r>
      <w:r w:rsidR="00835CC1">
        <w:t xml:space="preserve"> </w:t>
      </w:r>
    </w:p>
    <w:p w:rsidR="001171B5" w:rsidRDefault="00E405DC" w:rsidP="006C7195">
      <w:pPr>
        <w:pStyle w:val="HTMLPreformatted"/>
        <w:numPr>
          <w:ilvl w:val="0"/>
          <w:numId w:val="13"/>
        </w:numPr>
        <w:autoSpaceDE w:val="0"/>
        <w:autoSpaceDN w:val="0"/>
        <w:adjustRightInd w:val="0"/>
        <w:jc w:val="both"/>
      </w:pPr>
      <w:r>
        <w:t>Key</w:t>
      </w:r>
      <w:r w:rsidR="006A2F16">
        <w:t xml:space="preserve"> Indicator </w:t>
      </w:r>
      <w:r w:rsidR="001171B5">
        <w:t>3</w:t>
      </w:r>
      <w:r w:rsidR="006A2F16">
        <w:t xml:space="preserve">: </w:t>
      </w:r>
      <w:r w:rsidR="001171B5">
        <w:t xml:space="preserve">Operational Modules of Social Communication (MOCS) </w:t>
      </w:r>
      <w:r w:rsidR="008B3A07">
        <w:t xml:space="preserve"> </w:t>
      </w:r>
      <w:r w:rsidR="001171B5">
        <w:t>implemented</w:t>
      </w:r>
    </w:p>
    <w:p w:rsidR="001171B5" w:rsidRDefault="00E405DC" w:rsidP="006C7195">
      <w:pPr>
        <w:pStyle w:val="HTMLPreformatted"/>
        <w:numPr>
          <w:ilvl w:val="0"/>
          <w:numId w:val="13"/>
        </w:numPr>
        <w:autoSpaceDE w:val="0"/>
        <w:autoSpaceDN w:val="0"/>
        <w:adjustRightInd w:val="0"/>
        <w:jc w:val="both"/>
      </w:pPr>
      <w:r>
        <w:t>Key</w:t>
      </w:r>
      <w:r w:rsidR="001171B5">
        <w:t xml:space="preserve"> Indicator 5:</w:t>
      </w:r>
      <w:r w:rsidR="00F227C1">
        <w:t xml:space="preserve"> </w:t>
      </w:r>
      <w:r w:rsidR="001171B5">
        <w:t xml:space="preserve">Dose of </w:t>
      </w:r>
      <w:r w:rsidR="00F227C1">
        <w:t>A/H1N1 vaccine</w:t>
      </w:r>
      <w:r w:rsidR="001171B5">
        <w:t xml:space="preserve"> applied</w:t>
      </w:r>
    </w:p>
    <w:p w:rsidR="001171B5" w:rsidRDefault="00E405DC" w:rsidP="006C7195">
      <w:pPr>
        <w:pStyle w:val="HTMLPreformatted"/>
        <w:numPr>
          <w:ilvl w:val="0"/>
          <w:numId w:val="13"/>
        </w:numPr>
        <w:autoSpaceDE w:val="0"/>
        <w:autoSpaceDN w:val="0"/>
        <w:adjustRightInd w:val="0"/>
        <w:jc w:val="both"/>
      </w:pPr>
      <w:r>
        <w:t>Key</w:t>
      </w:r>
      <w:r w:rsidR="001171B5">
        <w:t xml:space="preserve"> Indicator 6: Dose of </w:t>
      </w:r>
      <w:r w:rsidR="00E179B3">
        <w:t>Pneumococcal</w:t>
      </w:r>
      <w:r w:rsidR="00F227C1">
        <w:t xml:space="preserve"> vaccine</w:t>
      </w:r>
      <w:r w:rsidR="001171B5">
        <w:t xml:space="preserve"> applied</w:t>
      </w:r>
    </w:p>
    <w:p w:rsidR="00835CC1" w:rsidRDefault="00E405DC" w:rsidP="006C7195">
      <w:pPr>
        <w:pStyle w:val="HTMLPreformatted"/>
        <w:numPr>
          <w:ilvl w:val="0"/>
          <w:numId w:val="13"/>
        </w:numPr>
        <w:autoSpaceDE w:val="0"/>
        <w:autoSpaceDN w:val="0"/>
        <w:adjustRightInd w:val="0"/>
        <w:jc w:val="both"/>
      </w:pPr>
      <w:r>
        <w:t>Key</w:t>
      </w:r>
      <w:r w:rsidR="001171B5">
        <w:t xml:space="preserve"> Indicator 13: Influenza diagnostic laboratory test carried out in 2010 </w:t>
      </w:r>
      <w:r w:rsidR="00E179B3">
        <w:t>and</w:t>
      </w:r>
      <w:r w:rsidR="001171B5">
        <w:t xml:space="preserve"> 2011</w:t>
      </w:r>
    </w:p>
    <w:p w:rsidR="00B358C5" w:rsidRDefault="00B358C5" w:rsidP="008B3A07">
      <w:pPr>
        <w:pStyle w:val="HTMLPreformatted"/>
        <w:autoSpaceDE w:val="0"/>
        <w:autoSpaceDN w:val="0"/>
        <w:adjustRightInd w:val="0"/>
        <w:jc w:val="both"/>
      </w:pPr>
    </w:p>
    <w:bookmarkEnd w:id="125"/>
    <w:p w:rsidR="00123CFA" w:rsidRPr="00816C1F" w:rsidRDefault="00C67D43" w:rsidP="00A67FE2">
      <w:pPr>
        <w:pStyle w:val="Heading3"/>
        <w:spacing w:before="0" w:beforeAutospacing="0"/>
        <w:jc w:val="both"/>
        <w:rPr>
          <w:color w:val="1049BC"/>
          <w:sz w:val="24"/>
          <w:szCs w:val="24"/>
          <w:lang w:eastAsia="en-US"/>
        </w:rPr>
      </w:pPr>
      <w:r w:rsidRPr="00816C1F">
        <w:rPr>
          <w:sz w:val="24"/>
          <w:szCs w:val="24"/>
        </w:rPr>
        <w:t xml:space="preserve">1.3 Revised </w:t>
      </w:r>
      <w:r w:rsidR="00404E4D" w:rsidRPr="00816C1F">
        <w:rPr>
          <w:sz w:val="24"/>
          <w:szCs w:val="24"/>
        </w:rPr>
        <w:t>PDO</w:t>
      </w:r>
      <w:r w:rsidR="006D6ED3" w:rsidRPr="00816C1F">
        <w:rPr>
          <w:sz w:val="24"/>
          <w:szCs w:val="24"/>
        </w:rPr>
        <w:t xml:space="preserve"> </w:t>
      </w:r>
      <w:r w:rsidR="00E07BAC" w:rsidRPr="00816C1F">
        <w:rPr>
          <w:sz w:val="24"/>
          <w:szCs w:val="24"/>
        </w:rPr>
        <w:t>(as approved by original approving authority) and Key Indicators</w:t>
      </w:r>
      <w:r w:rsidRPr="00816C1F">
        <w:rPr>
          <w:sz w:val="24"/>
          <w:szCs w:val="24"/>
        </w:rPr>
        <w:t>, and reasons/justification</w:t>
      </w:r>
      <w:r w:rsidR="00BB51A1" w:rsidRPr="00816C1F">
        <w:rPr>
          <w:color w:val="1049BC"/>
          <w:sz w:val="24"/>
          <w:szCs w:val="24"/>
          <w:lang w:eastAsia="en-US"/>
        </w:rPr>
        <w:t> </w:t>
      </w:r>
    </w:p>
    <w:p w:rsidR="00A67FE2" w:rsidRPr="00816C1F" w:rsidRDefault="00A67FE2" w:rsidP="00A67FE2">
      <w:pPr>
        <w:pStyle w:val="Heading3"/>
        <w:spacing w:before="0" w:beforeAutospacing="0"/>
        <w:jc w:val="both"/>
        <w:rPr>
          <w:color w:val="1049BC"/>
          <w:sz w:val="24"/>
          <w:szCs w:val="24"/>
          <w:lang w:eastAsia="en-US"/>
        </w:rPr>
      </w:pPr>
    </w:p>
    <w:p w:rsidR="009177EF" w:rsidRPr="00816C1F" w:rsidRDefault="009177EF" w:rsidP="008C17BA">
      <w:pPr>
        <w:pStyle w:val="HTMLPreformatted"/>
        <w:numPr>
          <w:ilvl w:val="0"/>
          <w:numId w:val="1"/>
        </w:numPr>
        <w:tabs>
          <w:tab w:val="left" w:pos="3969"/>
        </w:tabs>
        <w:autoSpaceDE w:val="0"/>
        <w:autoSpaceDN w:val="0"/>
        <w:adjustRightInd w:val="0"/>
        <w:ind w:left="0" w:firstLine="0"/>
        <w:jc w:val="both"/>
        <w:rPr>
          <w:b/>
          <w:bCs/>
          <w:iCs/>
        </w:rPr>
      </w:pPr>
      <w:bookmarkStart w:id="126" w:name="SEC63"/>
      <w:bookmarkEnd w:id="126"/>
      <w:r w:rsidRPr="00816C1F">
        <w:rPr>
          <w:b/>
          <w:bCs/>
          <w:iCs/>
        </w:rPr>
        <w:t>The original PDO remain</w:t>
      </w:r>
      <w:r w:rsidR="00D32C9E">
        <w:rPr>
          <w:b/>
          <w:bCs/>
          <w:iCs/>
        </w:rPr>
        <w:t>ed</w:t>
      </w:r>
      <w:r w:rsidRPr="00816C1F">
        <w:rPr>
          <w:b/>
          <w:bCs/>
          <w:iCs/>
        </w:rPr>
        <w:t xml:space="preserve"> valid and unchanged throughout </w:t>
      </w:r>
      <w:r w:rsidR="00A00530" w:rsidRPr="00816C1F">
        <w:rPr>
          <w:b/>
          <w:bCs/>
          <w:iCs/>
        </w:rPr>
        <w:t>Project</w:t>
      </w:r>
      <w:r w:rsidRPr="00816C1F">
        <w:rPr>
          <w:b/>
          <w:bCs/>
          <w:iCs/>
        </w:rPr>
        <w:t xml:space="preserve"> implementation. </w:t>
      </w:r>
      <w:r w:rsidR="00F227C1" w:rsidRPr="001171B5">
        <w:rPr>
          <w:bCs/>
          <w:iCs/>
        </w:rPr>
        <w:t xml:space="preserve">Two of the </w:t>
      </w:r>
      <w:r w:rsidR="00E405DC">
        <w:rPr>
          <w:bCs/>
          <w:iCs/>
        </w:rPr>
        <w:t>key</w:t>
      </w:r>
      <w:r w:rsidR="00E405DC" w:rsidRPr="001171B5">
        <w:rPr>
          <w:bCs/>
          <w:iCs/>
        </w:rPr>
        <w:t xml:space="preserve"> </w:t>
      </w:r>
      <w:r w:rsidR="00F227C1" w:rsidRPr="001171B5">
        <w:rPr>
          <w:bCs/>
          <w:iCs/>
        </w:rPr>
        <w:t>indicators were revised</w:t>
      </w:r>
      <w:r w:rsidR="00F227C1">
        <w:rPr>
          <w:b/>
          <w:bCs/>
          <w:iCs/>
        </w:rPr>
        <w:t xml:space="preserve"> </w:t>
      </w:r>
      <w:r w:rsidR="00AE6D01">
        <w:rPr>
          <w:bCs/>
          <w:iCs/>
        </w:rPr>
        <w:t>to</w:t>
      </w:r>
      <w:r w:rsidR="00A00530" w:rsidRPr="00816C1F">
        <w:rPr>
          <w:bCs/>
          <w:iCs/>
        </w:rPr>
        <w:t xml:space="preserve"> improve Project performance monitoring:</w:t>
      </w:r>
      <w:r w:rsidRPr="00816C1F">
        <w:rPr>
          <w:b/>
          <w:bCs/>
          <w:iCs/>
        </w:rPr>
        <w:t xml:space="preserve"> </w:t>
      </w:r>
    </w:p>
    <w:p w:rsidR="004437E0" w:rsidRPr="00816C1F" w:rsidRDefault="00E405DC" w:rsidP="00F072CB">
      <w:pPr>
        <w:pStyle w:val="ListParagraph"/>
        <w:numPr>
          <w:ilvl w:val="0"/>
          <w:numId w:val="4"/>
        </w:numPr>
        <w:autoSpaceDE w:val="0"/>
        <w:autoSpaceDN w:val="0"/>
        <w:adjustRightInd w:val="0"/>
        <w:ind w:left="360"/>
        <w:jc w:val="both"/>
        <w:rPr>
          <w:lang w:eastAsia="en-US"/>
        </w:rPr>
      </w:pPr>
      <w:r>
        <w:rPr>
          <w:b/>
          <w:bCs/>
          <w:iCs/>
          <w:lang w:eastAsia="en-US"/>
        </w:rPr>
        <w:t xml:space="preserve">Key </w:t>
      </w:r>
      <w:r w:rsidR="001171B5">
        <w:rPr>
          <w:b/>
          <w:bCs/>
          <w:iCs/>
          <w:lang w:eastAsia="en-US"/>
        </w:rPr>
        <w:t xml:space="preserve">Indicator 1: </w:t>
      </w:r>
      <w:r w:rsidR="00A00530" w:rsidRPr="00D62AA1">
        <w:rPr>
          <w:b/>
          <w:bCs/>
          <w:iCs/>
          <w:lang w:eastAsia="en-US"/>
        </w:rPr>
        <w:t xml:space="preserve">The target for </w:t>
      </w:r>
      <w:r w:rsidR="00505F42">
        <w:rPr>
          <w:b/>
          <w:bCs/>
          <w:iCs/>
          <w:lang w:eastAsia="en-US"/>
        </w:rPr>
        <w:t>“</w:t>
      </w:r>
      <w:r w:rsidR="006240A2">
        <w:rPr>
          <w:b/>
          <w:bCs/>
          <w:iCs/>
          <w:lang w:eastAsia="en-US"/>
        </w:rPr>
        <w:t>HSRs</w:t>
      </w:r>
      <w:r w:rsidR="001B07AA">
        <w:rPr>
          <w:b/>
          <w:bCs/>
          <w:iCs/>
          <w:lang w:eastAsia="en-US"/>
        </w:rPr>
        <w:t xml:space="preserve"> </w:t>
      </w:r>
      <w:r w:rsidR="005A2584">
        <w:rPr>
          <w:b/>
          <w:bCs/>
          <w:iCs/>
          <w:lang w:eastAsia="en-US"/>
        </w:rPr>
        <w:t>Certified</w:t>
      </w:r>
      <w:r w:rsidR="00505F42">
        <w:rPr>
          <w:b/>
          <w:bCs/>
          <w:iCs/>
          <w:lang w:eastAsia="en-US"/>
        </w:rPr>
        <w:t>”</w:t>
      </w:r>
      <w:r w:rsidR="001B07AA">
        <w:rPr>
          <w:rStyle w:val="FootnoteReference"/>
          <w:b/>
          <w:bCs/>
          <w:iCs/>
          <w:lang w:eastAsia="en-US"/>
        </w:rPr>
        <w:footnoteReference w:id="11"/>
      </w:r>
      <w:r w:rsidR="006240A2">
        <w:rPr>
          <w:b/>
          <w:bCs/>
          <w:iCs/>
          <w:lang w:eastAsia="en-US"/>
        </w:rPr>
        <w:t xml:space="preserve"> </w:t>
      </w:r>
      <w:r w:rsidR="00A00530" w:rsidRPr="00D62AA1">
        <w:rPr>
          <w:b/>
          <w:bCs/>
          <w:iCs/>
          <w:lang w:eastAsia="en-US"/>
        </w:rPr>
        <w:t xml:space="preserve">was revised from </w:t>
      </w:r>
      <w:r w:rsidR="009177EF" w:rsidRPr="00D62AA1">
        <w:rPr>
          <w:b/>
          <w:bCs/>
          <w:iCs/>
          <w:lang w:eastAsia="en-US"/>
        </w:rPr>
        <w:t>40 to 38.</w:t>
      </w:r>
      <w:r w:rsidR="00A00530" w:rsidRPr="00D62AA1">
        <w:rPr>
          <w:b/>
          <w:bCs/>
          <w:iCs/>
          <w:lang w:eastAsia="en-US"/>
        </w:rPr>
        <w:t xml:space="preserve"> </w:t>
      </w:r>
      <w:r w:rsidR="009177EF" w:rsidRPr="00816C1F">
        <w:rPr>
          <w:lang w:eastAsia="en-US"/>
        </w:rPr>
        <w:t>The target for</w:t>
      </w:r>
      <w:r w:rsidR="00A00530" w:rsidRPr="00816C1F">
        <w:rPr>
          <w:lang w:eastAsia="en-US"/>
        </w:rPr>
        <w:t xml:space="preserve"> </w:t>
      </w:r>
      <w:r w:rsidR="009177EF" w:rsidRPr="00816C1F">
        <w:rPr>
          <w:lang w:eastAsia="en-US"/>
        </w:rPr>
        <w:t>this indicator was mistakenly stated at appraisal.</w:t>
      </w:r>
      <w:r w:rsidR="00A00530" w:rsidRPr="00816C1F">
        <w:rPr>
          <w:lang w:eastAsia="en-US"/>
        </w:rPr>
        <w:t xml:space="preserve"> </w:t>
      </w:r>
      <w:r w:rsidR="009177EF" w:rsidRPr="00816C1F">
        <w:rPr>
          <w:lang w:eastAsia="en-US"/>
        </w:rPr>
        <w:t>Instead of 40 situation rooms, the target should have</w:t>
      </w:r>
      <w:r w:rsidR="00A00530" w:rsidRPr="00816C1F">
        <w:rPr>
          <w:lang w:eastAsia="en-US"/>
        </w:rPr>
        <w:t xml:space="preserve"> </w:t>
      </w:r>
      <w:r w:rsidR="009177EF" w:rsidRPr="00816C1F">
        <w:rPr>
          <w:lang w:eastAsia="en-US"/>
        </w:rPr>
        <w:t>been 38.</w:t>
      </w:r>
    </w:p>
    <w:p w:rsidR="004437E0" w:rsidRPr="00D62AA1" w:rsidRDefault="00E405DC" w:rsidP="00E8527A">
      <w:pPr>
        <w:pStyle w:val="ListParagraph"/>
        <w:numPr>
          <w:ilvl w:val="0"/>
          <w:numId w:val="4"/>
        </w:numPr>
        <w:autoSpaceDE w:val="0"/>
        <w:autoSpaceDN w:val="0"/>
        <w:adjustRightInd w:val="0"/>
        <w:ind w:left="360"/>
        <w:jc w:val="both"/>
        <w:rPr>
          <w:b/>
          <w:bCs/>
          <w:lang w:eastAsia="en-US"/>
        </w:rPr>
      </w:pPr>
      <w:r>
        <w:rPr>
          <w:b/>
          <w:bCs/>
          <w:iCs/>
          <w:lang w:eastAsia="en-US"/>
        </w:rPr>
        <w:lastRenderedPageBreak/>
        <w:t>Key</w:t>
      </w:r>
      <w:r w:rsidR="001171B5">
        <w:rPr>
          <w:b/>
          <w:bCs/>
          <w:iCs/>
          <w:lang w:eastAsia="en-US"/>
        </w:rPr>
        <w:t xml:space="preserve"> Indicator 6: </w:t>
      </w:r>
      <w:r w:rsidR="00A00530" w:rsidRPr="00D62AA1">
        <w:rPr>
          <w:b/>
          <w:bCs/>
          <w:lang w:eastAsia="en-US"/>
        </w:rPr>
        <w:t>The target for the “Dose</w:t>
      </w:r>
      <w:r w:rsidR="009177EF" w:rsidRPr="00D62AA1">
        <w:rPr>
          <w:b/>
          <w:bCs/>
          <w:iCs/>
          <w:lang w:eastAsia="en-US"/>
        </w:rPr>
        <w:t xml:space="preserve"> of Pneumococcal vaccine applied” </w:t>
      </w:r>
      <w:r w:rsidR="00A00530" w:rsidRPr="00D62AA1">
        <w:rPr>
          <w:b/>
          <w:bCs/>
          <w:iCs/>
          <w:lang w:eastAsia="en-US"/>
        </w:rPr>
        <w:t>i</w:t>
      </w:r>
      <w:r w:rsidR="009177EF" w:rsidRPr="00D62AA1">
        <w:rPr>
          <w:b/>
          <w:bCs/>
          <w:iCs/>
          <w:lang w:eastAsia="en-US"/>
        </w:rPr>
        <w:t xml:space="preserve">ndicator </w:t>
      </w:r>
      <w:r w:rsidR="00A00530" w:rsidRPr="00D62AA1">
        <w:rPr>
          <w:b/>
          <w:bCs/>
          <w:iCs/>
          <w:lang w:eastAsia="en-US"/>
        </w:rPr>
        <w:t>was revised downward from 90 percent to 85 percent</w:t>
      </w:r>
      <w:r w:rsidR="001171B5">
        <w:rPr>
          <w:b/>
          <w:bCs/>
          <w:iCs/>
          <w:lang w:eastAsia="en-US"/>
        </w:rPr>
        <w:t>.</w:t>
      </w:r>
      <w:r w:rsidR="00A00530" w:rsidRPr="00D62AA1">
        <w:rPr>
          <w:b/>
          <w:bCs/>
          <w:lang w:eastAsia="en-US"/>
        </w:rPr>
        <w:t xml:space="preserve"> </w:t>
      </w:r>
      <w:r w:rsidR="009177EF" w:rsidRPr="00816C1F">
        <w:rPr>
          <w:lang w:eastAsia="en-US"/>
        </w:rPr>
        <w:t>According to the</w:t>
      </w:r>
      <w:r w:rsidR="00A00530" w:rsidRPr="00D62AA1">
        <w:rPr>
          <w:b/>
          <w:bCs/>
          <w:lang w:eastAsia="en-US"/>
        </w:rPr>
        <w:t xml:space="preserve"> </w:t>
      </w:r>
      <w:r w:rsidR="009177EF" w:rsidRPr="00816C1F">
        <w:rPr>
          <w:lang w:eastAsia="en-US"/>
        </w:rPr>
        <w:t xml:space="preserve">Government, </w:t>
      </w:r>
      <w:r w:rsidR="00A00530" w:rsidRPr="00816C1F">
        <w:rPr>
          <w:lang w:eastAsia="en-US"/>
        </w:rPr>
        <w:t xml:space="preserve">an </w:t>
      </w:r>
      <w:r w:rsidR="009177EF" w:rsidRPr="00816C1F">
        <w:rPr>
          <w:lang w:eastAsia="en-US"/>
        </w:rPr>
        <w:t xml:space="preserve">under-reporting of doses applied in the health facilities was the main reason the </w:t>
      </w:r>
      <w:r w:rsidR="004437E0" w:rsidRPr="00816C1F">
        <w:rPr>
          <w:lang w:eastAsia="en-US"/>
        </w:rPr>
        <w:t xml:space="preserve">indicator remained </w:t>
      </w:r>
      <w:r w:rsidR="00D62AA1">
        <w:rPr>
          <w:lang w:eastAsia="en-US"/>
        </w:rPr>
        <w:t xml:space="preserve">below </w:t>
      </w:r>
      <w:r w:rsidR="004437E0" w:rsidRPr="00816C1F">
        <w:rPr>
          <w:lang w:eastAsia="en-US"/>
        </w:rPr>
        <w:t xml:space="preserve">its </w:t>
      </w:r>
      <w:r w:rsidR="009177EF" w:rsidRPr="00816C1F">
        <w:rPr>
          <w:lang w:eastAsia="en-US"/>
        </w:rPr>
        <w:t>target</w:t>
      </w:r>
      <w:r w:rsidR="004437E0" w:rsidRPr="00816C1F">
        <w:rPr>
          <w:lang w:eastAsia="en-US"/>
        </w:rPr>
        <w:t xml:space="preserve"> following the 2010 vaccination campaign.</w:t>
      </w:r>
      <w:r w:rsidR="004437E0" w:rsidRPr="00D62AA1">
        <w:rPr>
          <w:b/>
          <w:bCs/>
          <w:lang w:eastAsia="en-US"/>
        </w:rPr>
        <w:t xml:space="preserve"> </w:t>
      </w:r>
      <w:r w:rsidR="009177EF" w:rsidRPr="00816C1F">
        <w:rPr>
          <w:lang w:eastAsia="en-US"/>
        </w:rPr>
        <w:t xml:space="preserve">The Government </w:t>
      </w:r>
      <w:r w:rsidR="00A767FF">
        <w:rPr>
          <w:lang w:eastAsia="en-US"/>
        </w:rPr>
        <w:t>anticipated an improvement of results</w:t>
      </w:r>
      <w:r w:rsidR="009177EF" w:rsidRPr="00816C1F">
        <w:rPr>
          <w:lang w:eastAsia="en-US"/>
        </w:rPr>
        <w:t xml:space="preserve"> in </w:t>
      </w:r>
      <w:r w:rsidR="008204EF">
        <w:rPr>
          <w:lang w:eastAsia="en-US"/>
        </w:rPr>
        <w:t>2011</w:t>
      </w:r>
      <w:r w:rsidR="009177EF" w:rsidRPr="00816C1F">
        <w:rPr>
          <w:lang w:eastAsia="en-US"/>
        </w:rPr>
        <w:t xml:space="preserve"> by adding </w:t>
      </w:r>
      <w:r w:rsidR="00A767FF">
        <w:rPr>
          <w:lang w:eastAsia="en-US"/>
        </w:rPr>
        <w:t xml:space="preserve">the </w:t>
      </w:r>
      <w:r w:rsidR="009177EF" w:rsidRPr="00816C1F">
        <w:rPr>
          <w:lang w:eastAsia="en-US"/>
        </w:rPr>
        <w:t>vaccin</w:t>
      </w:r>
      <w:r w:rsidR="00A767FF">
        <w:rPr>
          <w:lang w:eastAsia="en-US"/>
        </w:rPr>
        <w:t>e</w:t>
      </w:r>
      <w:r w:rsidR="009177EF" w:rsidRPr="00816C1F">
        <w:rPr>
          <w:lang w:eastAsia="en-US"/>
        </w:rPr>
        <w:t xml:space="preserve"> to the</w:t>
      </w:r>
      <w:r w:rsidR="004437E0" w:rsidRPr="00D62AA1">
        <w:rPr>
          <w:b/>
          <w:bCs/>
          <w:lang w:eastAsia="en-US"/>
        </w:rPr>
        <w:t xml:space="preserve"> </w:t>
      </w:r>
      <w:r w:rsidR="009177EF" w:rsidRPr="00816C1F">
        <w:rPr>
          <w:lang w:eastAsia="en-US"/>
        </w:rPr>
        <w:t>Annual Calendar but nonetheless reque</w:t>
      </w:r>
      <w:r w:rsidR="00A767FF">
        <w:rPr>
          <w:lang w:eastAsia="en-US"/>
        </w:rPr>
        <w:t xml:space="preserve">sted a target reduction </w:t>
      </w:r>
      <w:r w:rsidR="009177EF" w:rsidRPr="00816C1F">
        <w:rPr>
          <w:lang w:eastAsia="en-US"/>
        </w:rPr>
        <w:t>given the recent introduction of the vaccine in the</w:t>
      </w:r>
      <w:r w:rsidR="00D32C9E">
        <w:rPr>
          <w:lang w:eastAsia="en-US"/>
        </w:rPr>
        <w:t xml:space="preserve"> </w:t>
      </w:r>
      <w:r w:rsidR="009177EF" w:rsidRPr="00816C1F">
        <w:rPr>
          <w:lang w:eastAsia="en-US"/>
        </w:rPr>
        <w:t xml:space="preserve">country. </w:t>
      </w:r>
    </w:p>
    <w:p w:rsidR="00A37D33" w:rsidRPr="00816C1F" w:rsidRDefault="00A37D33" w:rsidP="00AE21C0">
      <w:pPr>
        <w:pStyle w:val="ListParagraph"/>
        <w:ind w:left="0"/>
        <w:jc w:val="both"/>
      </w:pPr>
    </w:p>
    <w:p w:rsidR="00C67D43" w:rsidRPr="00816C1F" w:rsidRDefault="00CD67E3" w:rsidP="00AE21C0">
      <w:pPr>
        <w:pStyle w:val="Heading3"/>
        <w:spacing w:before="0" w:beforeAutospacing="0"/>
        <w:jc w:val="both"/>
        <w:rPr>
          <w:sz w:val="24"/>
          <w:szCs w:val="24"/>
        </w:rPr>
      </w:pPr>
      <w:r w:rsidRPr="00816C1F">
        <w:rPr>
          <w:sz w:val="24"/>
          <w:szCs w:val="24"/>
        </w:rPr>
        <w:t xml:space="preserve">1.4 </w:t>
      </w:r>
      <w:r>
        <w:rPr>
          <w:sz w:val="24"/>
          <w:szCs w:val="24"/>
        </w:rPr>
        <w:t>Main</w:t>
      </w:r>
      <w:r w:rsidR="00C67D43" w:rsidRPr="00816C1F">
        <w:rPr>
          <w:sz w:val="24"/>
          <w:szCs w:val="24"/>
        </w:rPr>
        <w:t xml:space="preserve"> Beneficiaries </w:t>
      </w:r>
    </w:p>
    <w:p w:rsidR="00552D2A" w:rsidRPr="00816C1F" w:rsidRDefault="00552D2A" w:rsidP="003262E3">
      <w:pPr>
        <w:jc w:val="both"/>
      </w:pPr>
      <w:bookmarkStart w:id="127" w:name="SEC64"/>
      <w:bookmarkEnd w:id="127"/>
    </w:p>
    <w:p w:rsidR="001745B4" w:rsidRDefault="001745B4" w:rsidP="00305FBA">
      <w:pPr>
        <w:pStyle w:val="HTMLPreformatted"/>
        <w:numPr>
          <w:ilvl w:val="0"/>
          <w:numId w:val="1"/>
        </w:numPr>
        <w:autoSpaceDE w:val="0"/>
        <w:autoSpaceDN w:val="0"/>
        <w:adjustRightInd w:val="0"/>
        <w:ind w:left="0" w:firstLine="0"/>
        <w:jc w:val="both"/>
      </w:pPr>
      <w:r w:rsidRPr="00816C1F">
        <w:rPr>
          <w:b/>
        </w:rPr>
        <w:t xml:space="preserve">The </w:t>
      </w:r>
      <w:r w:rsidR="00483338" w:rsidRPr="00816C1F">
        <w:rPr>
          <w:b/>
        </w:rPr>
        <w:t>Project’s direct</w:t>
      </w:r>
      <w:r w:rsidRPr="00816C1F">
        <w:rPr>
          <w:b/>
        </w:rPr>
        <w:t xml:space="preserve"> beneficiar</w:t>
      </w:r>
      <w:r w:rsidR="00483338" w:rsidRPr="00816C1F">
        <w:rPr>
          <w:b/>
        </w:rPr>
        <w:t>ies include</w:t>
      </w:r>
      <w:r w:rsidR="007A0FE5">
        <w:rPr>
          <w:b/>
        </w:rPr>
        <w:t>d</w:t>
      </w:r>
      <w:r w:rsidR="00483338" w:rsidRPr="00816C1F">
        <w:rPr>
          <w:b/>
        </w:rPr>
        <w:t xml:space="preserve"> the </w:t>
      </w:r>
      <w:r w:rsidR="00E61E1E">
        <w:rPr>
          <w:b/>
        </w:rPr>
        <w:t xml:space="preserve">over 13 million people that received vaccines, laboratory tests, and ambulatory and intensive care treatment. </w:t>
      </w:r>
      <w:r w:rsidR="000E0CEA">
        <w:t xml:space="preserve">A/H1N1 </w:t>
      </w:r>
      <w:r w:rsidR="000E0CEA" w:rsidRPr="00D32C9E">
        <w:t>v</w:t>
      </w:r>
      <w:r w:rsidR="00E61E1E" w:rsidRPr="00D32C9E">
        <w:t xml:space="preserve">accines </w:t>
      </w:r>
      <w:r w:rsidR="00E61E1E" w:rsidRPr="00E61E1E">
        <w:t xml:space="preserve">targeted those most </w:t>
      </w:r>
      <w:r w:rsidR="00E61E1E">
        <w:t>vulnerable to the virus (7.5 million in 2010 and 4.6 million in 2011)</w:t>
      </w:r>
      <w:r w:rsidR="00286B0A">
        <w:t>,</w:t>
      </w:r>
      <w:r w:rsidR="00E61E1E">
        <w:rPr>
          <w:rStyle w:val="FootnoteReference"/>
        </w:rPr>
        <w:footnoteReference w:id="12"/>
      </w:r>
      <w:r w:rsidR="00E61E1E">
        <w:t xml:space="preserve"> and</w:t>
      </w:r>
      <w:r w:rsidR="000E0CEA" w:rsidRPr="00816C1F">
        <w:t xml:space="preserve"> pneumococcal vaccine</w:t>
      </w:r>
      <w:r w:rsidR="000E0CEA">
        <w:t xml:space="preserve">s </w:t>
      </w:r>
      <w:r w:rsidR="002E18C0">
        <w:t>830,801 high-</w:t>
      </w:r>
      <w:r w:rsidR="00A767FF">
        <w:t>risk individuals (</w:t>
      </w:r>
      <w:r w:rsidR="000E0CEA">
        <w:t>135,308 in 2010 and 695,493 in 2011</w:t>
      </w:r>
      <w:r w:rsidR="00A767FF">
        <w:t>)</w:t>
      </w:r>
      <w:r w:rsidR="000E0CEA">
        <w:t xml:space="preserve">. </w:t>
      </w:r>
      <w:r w:rsidR="009273AE" w:rsidRPr="00816C1F">
        <w:t xml:space="preserve">Further, </w:t>
      </w:r>
      <w:r w:rsidR="00F1397B">
        <w:t>65,341</w:t>
      </w:r>
      <w:r w:rsidR="00A767FF">
        <w:t xml:space="preserve"> (</w:t>
      </w:r>
      <w:r w:rsidR="000E0CEA">
        <w:t>12,432 in 2010 and 52,909 in 2011</w:t>
      </w:r>
      <w:r w:rsidR="00A767FF">
        <w:t>)</w:t>
      </w:r>
      <w:r w:rsidR="000E0CEA">
        <w:t xml:space="preserve"> i</w:t>
      </w:r>
      <w:r w:rsidR="00D7196E" w:rsidRPr="00816C1F">
        <w:t>ndividuals exposed to influenza</w:t>
      </w:r>
      <w:r w:rsidR="00EC6C58">
        <w:t>-</w:t>
      </w:r>
      <w:r w:rsidR="005D4ED1">
        <w:t>like symptom</w:t>
      </w:r>
      <w:r w:rsidR="00D7196E" w:rsidRPr="00816C1F">
        <w:t xml:space="preserve">s benefitted from early treatment through </w:t>
      </w:r>
      <w:r w:rsidR="00BF7F9D">
        <w:t>loan-</w:t>
      </w:r>
      <w:r w:rsidR="00D7196E" w:rsidRPr="00816C1F">
        <w:t>finance</w:t>
      </w:r>
      <w:r w:rsidR="00D32C9E">
        <w:t>d</w:t>
      </w:r>
      <w:r w:rsidR="00D7196E" w:rsidRPr="00816C1F">
        <w:t xml:space="preserve"> lab tests, </w:t>
      </w:r>
      <w:r w:rsidR="000E0CEA">
        <w:t xml:space="preserve">over </w:t>
      </w:r>
      <w:r w:rsidR="00F4750B">
        <w:t xml:space="preserve">two </w:t>
      </w:r>
      <w:r w:rsidR="000E0CEA">
        <w:t>million r</w:t>
      </w:r>
      <w:r w:rsidR="00D7196E" w:rsidRPr="00816C1F">
        <w:t>ec</w:t>
      </w:r>
      <w:r w:rsidR="006A7CA9">
        <w:t xml:space="preserve">eived ambulatory treatment </w:t>
      </w:r>
      <w:r w:rsidR="000E0CEA">
        <w:t xml:space="preserve">(2010 and 2011) </w:t>
      </w:r>
      <w:r w:rsidR="006A7CA9">
        <w:t xml:space="preserve">and </w:t>
      </w:r>
      <w:r w:rsidR="000E0CEA">
        <w:t xml:space="preserve">over 100,000 (2010-2012) </w:t>
      </w:r>
      <w:r w:rsidR="00D7196E" w:rsidRPr="00816C1F">
        <w:t xml:space="preserve">were </w:t>
      </w:r>
      <w:r w:rsidRPr="00816C1F">
        <w:t>treated in hospitals, including those in intensive health care units.</w:t>
      </w:r>
      <w:r w:rsidR="009273AE" w:rsidRPr="00816C1F">
        <w:t xml:space="preserve"> </w:t>
      </w:r>
      <w:r w:rsidR="004114D9" w:rsidRPr="00816C1F">
        <w:t>Approximately</w:t>
      </w:r>
      <w:r w:rsidR="009273AE" w:rsidRPr="00816C1F">
        <w:t xml:space="preserve"> </w:t>
      </w:r>
      <w:r w:rsidR="000E0CEA">
        <w:t xml:space="preserve">200 </w:t>
      </w:r>
      <w:r w:rsidR="009273AE" w:rsidRPr="00816C1F">
        <w:t xml:space="preserve">individuals received </w:t>
      </w:r>
      <w:r w:rsidR="008204EF">
        <w:t xml:space="preserve">training in an </w:t>
      </w:r>
      <w:r w:rsidR="002E0E4E">
        <w:t>epidemiolog</w:t>
      </w:r>
      <w:r w:rsidR="007B21C8">
        <w:t>y</w:t>
      </w:r>
      <w:r w:rsidR="002E0E4E">
        <w:t xml:space="preserve"> </w:t>
      </w:r>
      <w:r w:rsidR="008204EF">
        <w:t>postgraduate course</w:t>
      </w:r>
      <w:r w:rsidR="009273AE" w:rsidRPr="00816C1F">
        <w:t xml:space="preserve">. </w:t>
      </w:r>
    </w:p>
    <w:p w:rsidR="009273AE" w:rsidRPr="00816C1F" w:rsidRDefault="009273AE" w:rsidP="009273AE">
      <w:pPr>
        <w:widowControl w:val="0"/>
        <w:autoSpaceDE w:val="0"/>
        <w:autoSpaceDN w:val="0"/>
        <w:adjustRightInd w:val="0"/>
        <w:rPr>
          <w:lang w:eastAsia="en-US"/>
        </w:rPr>
      </w:pPr>
    </w:p>
    <w:p w:rsidR="00C67D43" w:rsidRPr="00816C1F" w:rsidRDefault="00C67D43" w:rsidP="009273AE">
      <w:pPr>
        <w:pStyle w:val="Heading3"/>
        <w:spacing w:before="0" w:beforeAutospacing="0"/>
        <w:jc w:val="both"/>
        <w:rPr>
          <w:sz w:val="24"/>
          <w:szCs w:val="24"/>
        </w:rPr>
      </w:pPr>
      <w:r w:rsidRPr="00816C1F">
        <w:rPr>
          <w:sz w:val="24"/>
          <w:szCs w:val="24"/>
        </w:rPr>
        <w:t xml:space="preserve">1.5 Original Components </w:t>
      </w:r>
    </w:p>
    <w:p w:rsidR="009273AE" w:rsidRPr="00816C1F" w:rsidRDefault="009273AE" w:rsidP="0032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bookmarkStart w:id="128" w:name="SEC65"/>
      <w:bookmarkEnd w:id="128"/>
    </w:p>
    <w:p w:rsidR="00341BF8" w:rsidRDefault="00B1466B" w:rsidP="000813D9">
      <w:pPr>
        <w:pStyle w:val="HTMLPreformatted"/>
        <w:numPr>
          <w:ilvl w:val="0"/>
          <w:numId w:val="1"/>
        </w:numPr>
        <w:autoSpaceDE w:val="0"/>
        <w:autoSpaceDN w:val="0"/>
        <w:adjustRightInd w:val="0"/>
        <w:ind w:left="0" w:firstLine="0"/>
        <w:jc w:val="both"/>
        <w:rPr>
          <w:rFonts w:cs="Times New Roman"/>
          <w:b/>
        </w:rPr>
      </w:pPr>
      <w:r w:rsidRPr="00341BF8">
        <w:rPr>
          <w:rFonts w:cs="Times New Roman"/>
          <w:b/>
        </w:rPr>
        <w:t xml:space="preserve">The </w:t>
      </w:r>
      <w:r w:rsidR="00F85DAD" w:rsidRPr="00341BF8">
        <w:rPr>
          <w:rFonts w:cs="Times New Roman"/>
          <w:b/>
        </w:rPr>
        <w:t>Project</w:t>
      </w:r>
      <w:r w:rsidRPr="00341BF8">
        <w:rPr>
          <w:rFonts w:cs="Times New Roman"/>
          <w:b/>
        </w:rPr>
        <w:t xml:space="preserve"> </w:t>
      </w:r>
      <w:r w:rsidR="00B95846" w:rsidRPr="00341BF8">
        <w:rPr>
          <w:rFonts w:cs="Times New Roman"/>
          <w:b/>
        </w:rPr>
        <w:t xml:space="preserve">consisted of </w:t>
      </w:r>
      <w:r w:rsidR="001C5FCA" w:rsidRPr="00341BF8">
        <w:rPr>
          <w:rFonts w:cs="Times New Roman"/>
          <w:b/>
        </w:rPr>
        <w:t xml:space="preserve">the following </w:t>
      </w:r>
      <w:r w:rsidR="00D7196E" w:rsidRPr="00341BF8">
        <w:rPr>
          <w:rFonts w:cs="Times New Roman"/>
          <w:b/>
        </w:rPr>
        <w:t>three</w:t>
      </w:r>
      <w:r w:rsidRPr="00341BF8">
        <w:rPr>
          <w:rFonts w:cs="Times New Roman"/>
          <w:b/>
        </w:rPr>
        <w:t xml:space="preserve"> components </w:t>
      </w:r>
      <w:r w:rsidR="0056357E" w:rsidRPr="00341BF8">
        <w:rPr>
          <w:rFonts w:cs="Times New Roman"/>
          <w:b/>
        </w:rPr>
        <w:t>(</w:t>
      </w:r>
      <w:r w:rsidR="001C5FCA" w:rsidRPr="00572AFD">
        <w:rPr>
          <w:rFonts w:cs="Times New Roman"/>
          <w:b/>
        </w:rPr>
        <w:t>Annex 2</w:t>
      </w:r>
      <w:r w:rsidR="00BF7F9D" w:rsidRPr="00E24430">
        <w:rPr>
          <w:rFonts w:cs="Times New Roman"/>
          <w:b/>
        </w:rPr>
        <w:t>)</w:t>
      </w:r>
      <w:r w:rsidR="00D7196E" w:rsidRPr="00341BF8">
        <w:rPr>
          <w:rFonts w:cs="Times New Roman"/>
          <w:b/>
        </w:rPr>
        <w:t>:</w:t>
      </w:r>
    </w:p>
    <w:p w:rsidR="00341BF8" w:rsidRDefault="00341BF8" w:rsidP="00975139">
      <w:pPr>
        <w:pStyle w:val="HTMLPreformatted"/>
        <w:autoSpaceDE w:val="0"/>
        <w:autoSpaceDN w:val="0"/>
        <w:adjustRightInd w:val="0"/>
        <w:jc w:val="both"/>
        <w:rPr>
          <w:rFonts w:cs="Times New Roman"/>
          <w:b/>
        </w:rPr>
      </w:pPr>
    </w:p>
    <w:p w:rsidR="007B21C8" w:rsidRDefault="007B21C8" w:rsidP="007B21C8">
      <w:pPr>
        <w:pStyle w:val="HTMLPreformatted"/>
        <w:numPr>
          <w:ilvl w:val="0"/>
          <w:numId w:val="14"/>
        </w:numPr>
        <w:autoSpaceDE w:val="0"/>
        <w:autoSpaceDN w:val="0"/>
        <w:adjustRightInd w:val="0"/>
        <w:jc w:val="both"/>
        <w:rPr>
          <w:szCs w:val="24"/>
        </w:rPr>
      </w:pPr>
      <w:r w:rsidRPr="007565D5">
        <w:rPr>
          <w:rFonts w:cs="Times New Roman"/>
          <w:b/>
          <w:szCs w:val="24"/>
        </w:rPr>
        <w:t xml:space="preserve">Component 1: </w:t>
      </w:r>
      <w:r w:rsidRPr="007565D5">
        <w:rPr>
          <w:b/>
          <w:szCs w:val="24"/>
        </w:rPr>
        <w:t>Strengthening the capacity of the Borrower’s epidemiological health system for surveillance and influenza case-finding (US$10.2 million)</w:t>
      </w:r>
      <w:r w:rsidR="007565D5" w:rsidRPr="007565D5">
        <w:rPr>
          <w:b/>
          <w:szCs w:val="24"/>
        </w:rPr>
        <w:t>.</w:t>
      </w:r>
      <w:r w:rsidR="007565D5" w:rsidRPr="007565D5">
        <w:rPr>
          <w:szCs w:val="24"/>
        </w:rPr>
        <w:t xml:space="preserve"> The component </w:t>
      </w:r>
      <w:r w:rsidRPr="007565D5">
        <w:rPr>
          <w:szCs w:val="24"/>
        </w:rPr>
        <w:t>includ</w:t>
      </w:r>
      <w:r w:rsidR="007565D5" w:rsidRPr="007565D5">
        <w:rPr>
          <w:szCs w:val="24"/>
        </w:rPr>
        <w:t>ed:</w:t>
      </w:r>
      <w:r w:rsidRPr="007565D5">
        <w:rPr>
          <w:szCs w:val="24"/>
        </w:rPr>
        <w:t xml:space="preserve"> (i) expansion and quality improvement of the epidemiological surveillance, (ii) activities aimed at coordinating human and animal health surveillance, (iii) carrying out of joint research with agencies, (iv) carrying out of prevention and vaccination promotion media campaigns at the provincial level, and (v) provision of training to health care service providers on the management of A/H1N1 influenza pandemic surveillance, hospital infections and control, promotion and prevention related aspects.</w:t>
      </w:r>
    </w:p>
    <w:p w:rsidR="00E24430" w:rsidRPr="007565D5" w:rsidRDefault="00E24430" w:rsidP="00E24430">
      <w:pPr>
        <w:pStyle w:val="HTMLPreformatted"/>
        <w:autoSpaceDE w:val="0"/>
        <w:autoSpaceDN w:val="0"/>
        <w:adjustRightInd w:val="0"/>
        <w:ind w:left="720"/>
        <w:jc w:val="both"/>
        <w:rPr>
          <w:szCs w:val="24"/>
        </w:rPr>
      </w:pPr>
    </w:p>
    <w:p w:rsidR="007B21C8" w:rsidRPr="007565D5" w:rsidRDefault="007B21C8" w:rsidP="007B21C8">
      <w:pPr>
        <w:pStyle w:val="HTMLPreformatted"/>
        <w:numPr>
          <w:ilvl w:val="0"/>
          <w:numId w:val="14"/>
        </w:numPr>
        <w:autoSpaceDE w:val="0"/>
        <w:autoSpaceDN w:val="0"/>
        <w:adjustRightInd w:val="0"/>
        <w:jc w:val="both"/>
        <w:rPr>
          <w:szCs w:val="24"/>
        </w:rPr>
      </w:pPr>
      <w:r w:rsidRPr="007565D5">
        <w:rPr>
          <w:rFonts w:cs="Times New Roman"/>
          <w:b/>
          <w:szCs w:val="24"/>
        </w:rPr>
        <w:lastRenderedPageBreak/>
        <w:t>Component 2: S</w:t>
      </w:r>
      <w:r w:rsidRPr="007565D5">
        <w:rPr>
          <w:b/>
          <w:szCs w:val="24"/>
        </w:rPr>
        <w:t>trengthening the Borrower’s health system response capacity to reduce the communicability of the influenza virus and improve medical care of those affected by influenza (US$217.2 million).</w:t>
      </w:r>
      <w:r w:rsidRPr="007565D5">
        <w:rPr>
          <w:szCs w:val="24"/>
        </w:rPr>
        <w:t xml:space="preserve"> The component financed the application of A/H1N1 and pneumococcal vaccines, provision of outpatient treatment to symptomatic populations with respiratory conditions and treatment of patients with a respiratory condition.</w:t>
      </w:r>
    </w:p>
    <w:p w:rsidR="007B21C8" w:rsidRPr="007565D5" w:rsidRDefault="007B21C8" w:rsidP="007B21C8">
      <w:pPr>
        <w:pStyle w:val="HTMLPreformatted"/>
        <w:numPr>
          <w:ilvl w:val="0"/>
          <w:numId w:val="14"/>
        </w:numPr>
        <w:autoSpaceDE w:val="0"/>
        <w:autoSpaceDN w:val="0"/>
        <w:adjustRightInd w:val="0"/>
        <w:jc w:val="both"/>
        <w:rPr>
          <w:b/>
          <w:szCs w:val="24"/>
        </w:rPr>
      </w:pPr>
      <w:r w:rsidRPr="007565D5">
        <w:rPr>
          <w:rFonts w:cs="Times New Roman"/>
          <w:b/>
          <w:szCs w:val="24"/>
        </w:rPr>
        <w:t xml:space="preserve">Component 3: </w:t>
      </w:r>
      <w:r w:rsidRPr="007565D5">
        <w:rPr>
          <w:b/>
          <w:szCs w:val="24"/>
        </w:rPr>
        <w:t>Project Management and Monitoring, and Technical Audits (US$1.6 million).</w:t>
      </w:r>
    </w:p>
    <w:p w:rsidR="00C67D43" w:rsidRPr="00816C1F" w:rsidRDefault="00C67D43" w:rsidP="00892046">
      <w:pPr>
        <w:pStyle w:val="Heading3"/>
        <w:spacing w:after="100" w:afterAutospacing="1"/>
        <w:jc w:val="both"/>
        <w:rPr>
          <w:sz w:val="24"/>
          <w:szCs w:val="24"/>
        </w:rPr>
      </w:pPr>
      <w:r w:rsidRPr="00816C1F">
        <w:rPr>
          <w:sz w:val="24"/>
          <w:szCs w:val="24"/>
        </w:rPr>
        <w:t>1.6 Revised Components</w:t>
      </w:r>
      <w:r w:rsidR="00036471" w:rsidRPr="00816C1F">
        <w:rPr>
          <w:sz w:val="24"/>
          <w:szCs w:val="24"/>
        </w:rPr>
        <w:t xml:space="preserve">: </w:t>
      </w:r>
    </w:p>
    <w:p w:rsidR="002F7A6B" w:rsidRPr="00DC3424" w:rsidRDefault="00B1466B" w:rsidP="00305FBA">
      <w:pPr>
        <w:pStyle w:val="HTMLPreformatted"/>
        <w:numPr>
          <w:ilvl w:val="0"/>
          <w:numId w:val="1"/>
        </w:numPr>
        <w:autoSpaceDE w:val="0"/>
        <w:autoSpaceDN w:val="0"/>
        <w:adjustRightInd w:val="0"/>
        <w:ind w:left="0" w:firstLine="0"/>
        <w:jc w:val="both"/>
        <w:rPr>
          <w:rFonts w:cs="Times New Roman"/>
          <w:b/>
          <w:szCs w:val="24"/>
        </w:rPr>
      </w:pPr>
      <w:r w:rsidRPr="00DC3424">
        <w:rPr>
          <w:rFonts w:cs="Times New Roman"/>
          <w:b/>
          <w:szCs w:val="24"/>
        </w:rPr>
        <w:t xml:space="preserve">The components were not revised during </w:t>
      </w:r>
      <w:r w:rsidR="002F7A6B" w:rsidRPr="00DC3424">
        <w:rPr>
          <w:rFonts w:cs="Times New Roman"/>
          <w:b/>
          <w:szCs w:val="24"/>
        </w:rPr>
        <w:t>implementation</w:t>
      </w:r>
      <w:r w:rsidR="00E36507" w:rsidRPr="00DC3424">
        <w:rPr>
          <w:rFonts w:cs="Times New Roman"/>
          <w:b/>
          <w:szCs w:val="24"/>
        </w:rPr>
        <w:t>.</w:t>
      </w:r>
    </w:p>
    <w:p w:rsidR="00BE3D6F" w:rsidRDefault="00BE3D6F" w:rsidP="00E23E13">
      <w:pPr>
        <w:pStyle w:val="Heading3"/>
        <w:spacing w:before="0" w:beforeAutospacing="0"/>
        <w:jc w:val="both"/>
        <w:rPr>
          <w:sz w:val="24"/>
          <w:szCs w:val="24"/>
        </w:rPr>
      </w:pPr>
      <w:bookmarkStart w:id="129" w:name="SEC66"/>
      <w:bookmarkEnd w:id="129"/>
    </w:p>
    <w:p w:rsidR="00E65323" w:rsidRPr="00816C1F" w:rsidRDefault="00C67D43" w:rsidP="00E23E13">
      <w:pPr>
        <w:pStyle w:val="Heading3"/>
        <w:spacing w:before="0" w:beforeAutospacing="0"/>
        <w:jc w:val="both"/>
        <w:rPr>
          <w:sz w:val="24"/>
          <w:szCs w:val="24"/>
        </w:rPr>
      </w:pPr>
      <w:r w:rsidRPr="00816C1F">
        <w:rPr>
          <w:sz w:val="24"/>
          <w:szCs w:val="24"/>
        </w:rPr>
        <w:t>1.7 Other significant changes</w:t>
      </w:r>
    </w:p>
    <w:p w:rsidR="00E23E13" w:rsidRPr="00816C1F" w:rsidRDefault="00E23E13" w:rsidP="00E23E13">
      <w:pPr>
        <w:pStyle w:val="Heading3"/>
        <w:spacing w:before="0" w:beforeAutospacing="0"/>
        <w:jc w:val="both"/>
        <w:rPr>
          <w:sz w:val="24"/>
          <w:szCs w:val="24"/>
        </w:rPr>
      </w:pPr>
    </w:p>
    <w:p w:rsidR="00E36507" w:rsidRDefault="00286B0A" w:rsidP="00305FBA">
      <w:pPr>
        <w:pStyle w:val="HTMLPreformatted"/>
        <w:numPr>
          <w:ilvl w:val="0"/>
          <w:numId w:val="1"/>
        </w:numPr>
        <w:autoSpaceDE w:val="0"/>
        <w:autoSpaceDN w:val="0"/>
        <w:adjustRightInd w:val="0"/>
        <w:ind w:left="0" w:firstLine="0"/>
        <w:jc w:val="both"/>
        <w:rPr>
          <w:rFonts w:cs="Times New Roman"/>
          <w:b/>
          <w:szCs w:val="24"/>
        </w:rPr>
      </w:pPr>
      <w:bookmarkStart w:id="130" w:name="SEC67"/>
      <w:bookmarkEnd w:id="130"/>
      <w:r>
        <w:rPr>
          <w:rFonts w:cs="Times New Roman"/>
          <w:b/>
          <w:szCs w:val="24"/>
        </w:rPr>
        <w:t>The</w:t>
      </w:r>
      <w:r w:rsidR="00E36507">
        <w:rPr>
          <w:rFonts w:cs="Times New Roman"/>
          <w:b/>
          <w:szCs w:val="24"/>
        </w:rPr>
        <w:t xml:space="preserve"> Project had three level </w:t>
      </w:r>
      <w:r>
        <w:rPr>
          <w:rFonts w:cs="Times New Roman"/>
          <w:b/>
          <w:szCs w:val="24"/>
        </w:rPr>
        <w:t xml:space="preserve">II </w:t>
      </w:r>
      <w:r w:rsidR="00E36507">
        <w:rPr>
          <w:rFonts w:cs="Times New Roman"/>
          <w:b/>
          <w:szCs w:val="24"/>
        </w:rPr>
        <w:t>restructurings:</w:t>
      </w:r>
    </w:p>
    <w:p w:rsidR="00411EEF" w:rsidRDefault="00411EEF" w:rsidP="00411EEF">
      <w:pPr>
        <w:pStyle w:val="HTMLPreformatted"/>
        <w:autoSpaceDE w:val="0"/>
        <w:autoSpaceDN w:val="0"/>
        <w:adjustRightInd w:val="0"/>
        <w:jc w:val="both"/>
        <w:rPr>
          <w:rFonts w:cs="Times New Roman"/>
          <w:b/>
          <w:szCs w:val="24"/>
        </w:rPr>
      </w:pPr>
    </w:p>
    <w:p w:rsidR="00E36507" w:rsidRPr="005C6F3C" w:rsidRDefault="00E36507" w:rsidP="00F072CB">
      <w:pPr>
        <w:pStyle w:val="ListParagraph"/>
        <w:widowControl w:val="0"/>
        <w:numPr>
          <w:ilvl w:val="0"/>
          <w:numId w:val="2"/>
        </w:numPr>
        <w:autoSpaceDE w:val="0"/>
        <w:autoSpaceDN w:val="0"/>
        <w:adjustRightInd w:val="0"/>
        <w:spacing w:after="240"/>
        <w:ind w:left="72"/>
        <w:jc w:val="both"/>
        <w:rPr>
          <w:rFonts w:ascii="Times" w:hAnsi="Times" w:cs="Times"/>
          <w:lang w:eastAsia="en-US"/>
        </w:rPr>
      </w:pPr>
      <w:r w:rsidRPr="007565D5">
        <w:rPr>
          <w:b/>
        </w:rPr>
        <w:t xml:space="preserve">The first </w:t>
      </w:r>
      <w:r w:rsidR="004114D9" w:rsidRPr="007565D5">
        <w:rPr>
          <w:b/>
        </w:rPr>
        <w:t>restructuring</w:t>
      </w:r>
      <w:r w:rsidR="009C6096" w:rsidRPr="007565D5">
        <w:rPr>
          <w:b/>
        </w:rPr>
        <w:t>,</w:t>
      </w:r>
      <w:r w:rsidRPr="007565D5">
        <w:rPr>
          <w:b/>
        </w:rPr>
        <w:t xml:space="preserve"> approved on </w:t>
      </w:r>
      <w:r w:rsidR="00263634" w:rsidRPr="007565D5">
        <w:rPr>
          <w:b/>
        </w:rPr>
        <w:t>May</w:t>
      </w:r>
      <w:r w:rsidRPr="007565D5">
        <w:rPr>
          <w:b/>
        </w:rPr>
        <w:t xml:space="preserve"> </w:t>
      </w:r>
      <w:r w:rsidR="00263634" w:rsidRPr="007565D5">
        <w:rPr>
          <w:b/>
        </w:rPr>
        <w:t>12</w:t>
      </w:r>
      <w:r w:rsidRPr="007565D5">
        <w:rPr>
          <w:b/>
        </w:rPr>
        <w:t xml:space="preserve">, 2011, processed a partial cancellation </w:t>
      </w:r>
      <w:r w:rsidR="00286B0A" w:rsidRPr="007565D5">
        <w:rPr>
          <w:b/>
        </w:rPr>
        <w:t xml:space="preserve">of </w:t>
      </w:r>
      <w:r w:rsidRPr="007565D5">
        <w:rPr>
          <w:b/>
        </w:rPr>
        <w:t>US$88 million</w:t>
      </w:r>
      <w:r w:rsidR="005C6F3C" w:rsidRPr="007565D5">
        <w:rPr>
          <w:b/>
        </w:rPr>
        <w:t xml:space="preserve"> in retroactive fina</w:t>
      </w:r>
      <w:r w:rsidR="008F3FC8" w:rsidRPr="007565D5">
        <w:rPr>
          <w:b/>
        </w:rPr>
        <w:t>n</w:t>
      </w:r>
      <w:r w:rsidR="005C6F3C" w:rsidRPr="007565D5">
        <w:rPr>
          <w:b/>
        </w:rPr>
        <w:t>cing</w:t>
      </w:r>
      <w:r w:rsidRPr="007565D5">
        <w:rPr>
          <w:b/>
        </w:rPr>
        <w:t xml:space="preserve">, reducing the financed amount to </w:t>
      </w:r>
      <w:r w:rsidR="00286B0A" w:rsidRPr="007565D5">
        <w:rPr>
          <w:b/>
        </w:rPr>
        <w:t>US</w:t>
      </w:r>
      <w:r w:rsidRPr="007565D5">
        <w:rPr>
          <w:b/>
        </w:rPr>
        <w:t>$141 million, and reallocating loan proceeds.</w:t>
      </w:r>
      <w:r w:rsidRPr="009A7593">
        <w:t xml:space="preserve"> </w:t>
      </w:r>
      <w:r w:rsidR="009A7593" w:rsidRPr="005C6F3C">
        <w:rPr>
          <w:rFonts w:ascii="Times" w:hAnsi="Times" w:cs="Times"/>
          <w:lang w:eastAsia="en-US"/>
        </w:rPr>
        <w:t>The cancellation did not</w:t>
      </w:r>
      <w:r w:rsidR="009A7593">
        <w:rPr>
          <w:rFonts w:ascii="Times" w:hAnsi="Times" w:cs="Times"/>
          <w:lang w:eastAsia="en-US"/>
        </w:rPr>
        <w:t xml:space="preserve"> </w:t>
      </w:r>
      <w:r w:rsidR="009A7593" w:rsidRPr="009A7593">
        <w:rPr>
          <w:rFonts w:ascii="Times" w:hAnsi="Times" w:cs="Times"/>
          <w:lang w:eastAsia="en-US"/>
        </w:rPr>
        <w:t>impact</w:t>
      </w:r>
      <w:r w:rsidR="009A7593" w:rsidRPr="005C6F3C">
        <w:rPr>
          <w:rFonts w:ascii="Times" w:hAnsi="Times" w:cs="Times"/>
          <w:lang w:eastAsia="en-US"/>
        </w:rPr>
        <w:t xml:space="preserve"> the achievement of the Project’s indicators, since </w:t>
      </w:r>
      <w:r w:rsidR="005A2584">
        <w:rPr>
          <w:rFonts w:ascii="Times" w:hAnsi="Times" w:cs="Times"/>
          <w:lang w:eastAsia="en-US"/>
        </w:rPr>
        <w:t xml:space="preserve">the </w:t>
      </w:r>
      <w:r w:rsidR="009A7593" w:rsidRPr="005C6F3C">
        <w:rPr>
          <w:rFonts w:ascii="Times" w:hAnsi="Times" w:cs="Times"/>
          <w:lang w:eastAsia="en-US"/>
        </w:rPr>
        <w:t>vaccines</w:t>
      </w:r>
      <w:r w:rsidR="005A2584">
        <w:rPr>
          <w:rFonts w:ascii="Times" w:hAnsi="Times" w:cs="Times"/>
          <w:lang w:eastAsia="en-US"/>
        </w:rPr>
        <w:t>,</w:t>
      </w:r>
      <w:r w:rsidR="009A7593" w:rsidRPr="005C6F3C">
        <w:rPr>
          <w:rFonts w:ascii="Times" w:hAnsi="Times" w:cs="Times"/>
          <w:lang w:eastAsia="en-US"/>
        </w:rPr>
        <w:t xml:space="preserve"> </w:t>
      </w:r>
      <w:r w:rsidR="005A2584">
        <w:rPr>
          <w:rFonts w:ascii="Times" w:hAnsi="Times" w:cs="Times"/>
          <w:lang w:eastAsia="en-US"/>
        </w:rPr>
        <w:t xml:space="preserve">which were not recognized as eligible expenditures by </w:t>
      </w:r>
      <w:r w:rsidR="005A2584">
        <w:t xml:space="preserve">the World Bank’s Operations Procurement Review Committee (OPRC), </w:t>
      </w:r>
      <w:r w:rsidR="009A7593" w:rsidRPr="005C6F3C">
        <w:rPr>
          <w:rFonts w:ascii="Times" w:hAnsi="Times" w:cs="Times"/>
          <w:lang w:eastAsia="en-US"/>
        </w:rPr>
        <w:t>were financed by the national budg</w:t>
      </w:r>
      <w:r w:rsidR="00213C92">
        <w:rPr>
          <w:rFonts w:ascii="Times" w:hAnsi="Times" w:cs="Times"/>
          <w:lang w:eastAsia="en-US"/>
        </w:rPr>
        <w:t>et</w:t>
      </w:r>
      <w:r>
        <w:t>. The restructuring r</w:t>
      </w:r>
      <w:r w:rsidRPr="009A7593">
        <w:t>educed</w:t>
      </w:r>
      <w:r w:rsidRPr="009A7593">
        <w:rPr>
          <w:b/>
        </w:rPr>
        <w:t xml:space="preserve"> </w:t>
      </w:r>
      <w:r w:rsidRPr="009A7593">
        <w:t xml:space="preserve">Category </w:t>
      </w:r>
      <w:r w:rsidR="00BE3D6F">
        <w:t xml:space="preserve">of disbursement </w:t>
      </w:r>
      <w:r w:rsidRPr="009A7593">
        <w:t>2 (</w:t>
      </w:r>
      <w:r w:rsidR="00DC3424">
        <w:t>g</w:t>
      </w:r>
      <w:r w:rsidRPr="009A7593">
        <w:t xml:space="preserve">oods) from US$181.8 million to US$82.8 million and increased </w:t>
      </w:r>
      <w:r w:rsidR="00BE3D6F">
        <w:t>C</w:t>
      </w:r>
      <w:r w:rsidR="00BE3D6F" w:rsidRPr="009A7593">
        <w:t xml:space="preserve">ategory </w:t>
      </w:r>
      <w:r w:rsidRPr="009A7593">
        <w:t>4 (outputs) from US$37.5 million to US$50.13 million</w:t>
      </w:r>
      <w:r w:rsidR="00A06267">
        <w:t>.</w:t>
      </w:r>
      <w:r w:rsidR="00A06267">
        <w:rPr>
          <w:rStyle w:val="FootnoteReference"/>
        </w:rPr>
        <w:footnoteReference w:id="13"/>
      </w:r>
      <w:r w:rsidRPr="009A7593">
        <w:t xml:space="preserve">   </w:t>
      </w:r>
    </w:p>
    <w:p w:rsidR="00E36507" w:rsidRDefault="00E36507" w:rsidP="00F072CB">
      <w:pPr>
        <w:pStyle w:val="ListParagraph"/>
        <w:widowControl w:val="0"/>
        <w:numPr>
          <w:ilvl w:val="0"/>
          <w:numId w:val="2"/>
        </w:numPr>
        <w:autoSpaceDE w:val="0"/>
        <w:autoSpaceDN w:val="0"/>
        <w:adjustRightInd w:val="0"/>
        <w:spacing w:after="240"/>
        <w:ind w:left="72"/>
        <w:jc w:val="both"/>
        <w:rPr>
          <w:lang w:eastAsia="en-US"/>
        </w:rPr>
      </w:pPr>
      <w:r w:rsidRPr="007565D5">
        <w:rPr>
          <w:b/>
        </w:rPr>
        <w:t>The second restructuring</w:t>
      </w:r>
      <w:r w:rsidR="007138C8" w:rsidRPr="007565D5">
        <w:rPr>
          <w:b/>
        </w:rPr>
        <w:t>,</w:t>
      </w:r>
      <w:r w:rsidRPr="007565D5">
        <w:rPr>
          <w:b/>
        </w:rPr>
        <w:t xml:space="preserve"> approved on March </w:t>
      </w:r>
      <w:r w:rsidR="00263634" w:rsidRPr="007565D5">
        <w:rPr>
          <w:b/>
        </w:rPr>
        <w:t>1</w:t>
      </w:r>
      <w:r w:rsidRPr="007565D5">
        <w:rPr>
          <w:b/>
        </w:rPr>
        <w:t>9, 2012</w:t>
      </w:r>
      <w:r w:rsidR="007138C8" w:rsidRPr="007565D5">
        <w:rPr>
          <w:b/>
        </w:rPr>
        <w:t xml:space="preserve">, </w:t>
      </w:r>
      <w:r w:rsidRPr="007565D5">
        <w:rPr>
          <w:b/>
        </w:rPr>
        <w:t>support</w:t>
      </w:r>
      <w:r w:rsidR="007138C8" w:rsidRPr="007565D5">
        <w:rPr>
          <w:b/>
        </w:rPr>
        <w:t>ed</w:t>
      </w:r>
      <w:r w:rsidRPr="007565D5">
        <w:rPr>
          <w:b/>
        </w:rPr>
        <w:t xml:space="preserve"> t</w:t>
      </w:r>
      <w:r w:rsidR="007138C8" w:rsidRPr="007565D5">
        <w:rPr>
          <w:b/>
        </w:rPr>
        <w:t xml:space="preserve">he attainment of Project targets by </w:t>
      </w:r>
      <w:r w:rsidRPr="007565D5">
        <w:rPr>
          <w:b/>
          <w:lang w:eastAsia="en-US"/>
        </w:rPr>
        <w:t>(i) extend</w:t>
      </w:r>
      <w:r w:rsidR="007138C8" w:rsidRPr="007565D5">
        <w:rPr>
          <w:b/>
          <w:lang w:eastAsia="en-US"/>
        </w:rPr>
        <w:t>ing the</w:t>
      </w:r>
      <w:r w:rsidRPr="007565D5">
        <w:rPr>
          <w:b/>
          <w:lang w:eastAsia="en-US"/>
        </w:rPr>
        <w:t xml:space="preserve"> closing date by 12 months from March 31, 2012, to March 31, 2013, (ii) adjust</w:t>
      </w:r>
      <w:r w:rsidR="007138C8" w:rsidRPr="007565D5">
        <w:rPr>
          <w:b/>
          <w:lang w:eastAsia="en-US"/>
        </w:rPr>
        <w:t>ing</w:t>
      </w:r>
      <w:r w:rsidRPr="007565D5">
        <w:rPr>
          <w:b/>
          <w:lang w:eastAsia="en-US"/>
        </w:rPr>
        <w:t xml:space="preserve"> Project </w:t>
      </w:r>
      <w:r w:rsidR="00F53D69" w:rsidRPr="007565D5">
        <w:rPr>
          <w:b/>
          <w:lang w:eastAsia="en-US"/>
        </w:rPr>
        <w:t>indicators</w:t>
      </w:r>
      <w:r w:rsidRPr="007565D5">
        <w:rPr>
          <w:b/>
          <w:lang w:eastAsia="en-US"/>
        </w:rPr>
        <w:t>, and (iii) reallocat</w:t>
      </w:r>
      <w:r w:rsidR="007138C8" w:rsidRPr="007565D5">
        <w:rPr>
          <w:b/>
          <w:lang w:eastAsia="en-US"/>
        </w:rPr>
        <w:t xml:space="preserve">ing </w:t>
      </w:r>
      <w:r w:rsidRPr="007565D5">
        <w:rPr>
          <w:b/>
          <w:lang w:eastAsia="en-US"/>
        </w:rPr>
        <w:t>lo</w:t>
      </w:r>
      <w:r w:rsidR="008B2479" w:rsidRPr="007565D5">
        <w:rPr>
          <w:b/>
          <w:lang w:eastAsia="en-US"/>
        </w:rPr>
        <w:t>a</w:t>
      </w:r>
      <w:r w:rsidRPr="007565D5">
        <w:rPr>
          <w:b/>
          <w:lang w:eastAsia="en-US"/>
        </w:rPr>
        <w:t>n proceeds.</w:t>
      </w:r>
      <w:r w:rsidR="00A06267">
        <w:rPr>
          <w:rStyle w:val="FootnoteReference"/>
          <w:lang w:eastAsia="en-US"/>
        </w:rPr>
        <w:footnoteReference w:id="14"/>
      </w:r>
      <w:r>
        <w:rPr>
          <w:lang w:eastAsia="en-US"/>
        </w:rPr>
        <w:t xml:space="preserve"> </w:t>
      </w:r>
      <w:r w:rsidR="005A2584">
        <w:rPr>
          <w:lang w:eastAsia="en-US"/>
        </w:rPr>
        <w:t xml:space="preserve">The following indicators were added to the </w:t>
      </w:r>
      <w:r w:rsidR="008B2479">
        <w:rPr>
          <w:lang w:eastAsia="en-US"/>
        </w:rPr>
        <w:t>results f</w:t>
      </w:r>
      <w:r w:rsidR="005A2584">
        <w:rPr>
          <w:lang w:eastAsia="en-US"/>
        </w:rPr>
        <w:t>ramework:</w:t>
      </w:r>
    </w:p>
    <w:p w:rsidR="00185AA8" w:rsidRDefault="00185AA8" w:rsidP="00185AA8">
      <w:pPr>
        <w:pStyle w:val="ListParagraph"/>
        <w:widowControl w:val="0"/>
        <w:autoSpaceDE w:val="0"/>
        <w:autoSpaceDN w:val="0"/>
        <w:adjustRightInd w:val="0"/>
        <w:spacing w:after="240"/>
        <w:ind w:left="72"/>
        <w:jc w:val="both"/>
        <w:rPr>
          <w:lang w:eastAsia="en-US"/>
        </w:rPr>
      </w:pPr>
    </w:p>
    <w:p w:rsidR="00F227C1" w:rsidRDefault="005A2584" w:rsidP="00975139">
      <w:pPr>
        <w:pStyle w:val="ListParagraph"/>
        <w:numPr>
          <w:ilvl w:val="0"/>
          <w:numId w:val="2"/>
        </w:numPr>
        <w:jc w:val="both"/>
        <w:rPr>
          <w:lang w:eastAsia="en-US"/>
        </w:rPr>
      </w:pPr>
      <w:r>
        <w:rPr>
          <w:lang w:eastAsia="en-US"/>
        </w:rPr>
        <w:t>T</w:t>
      </w:r>
      <w:r w:rsidRPr="00F227C1">
        <w:rPr>
          <w:lang w:eastAsia="en-US"/>
        </w:rPr>
        <w:t xml:space="preserve">he Borrower </w:t>
      </w:r>
      <w:r w:rsidR="000E1EDB">
        <w:rPr>
          <w:lang w:eastAsia="en-US"/>
        </w:rPr>
        <w:t xml:space="preserve">requested the introduction of </w:t>
      </w:r>
      <w:r w:rsidR="00213C92">
        <w:rPr>
          <w:lang w:eastAsia="en-US"/>
        </w:rPr>
        <w:t>more</w:t>
      </w:r>
      <w:r w:rsidR="000E1EDB">
        <w:rPr>
          <w:lang w:eastAsia="en-US"/>
        </w:rPr>
        <w:t xml:space="preserve"> </w:t>
      </w:r>
      <w:r w:rsidRPr="00F227C1">
        <w:rPr>
          <w:lang w:eastAsia="en-US"/>
        </w:rPr>
        <w:t xml:space="preserve">complex certification </w:t>
      </w:r>
      <w:r w:rsidR="004373A9">
        <w:rPr>
          <w:lang w:eastAsia="en-US"/>
        </w:rPr>
        <w:t>criteria for the HSR’s g</w:t>
      </w:r>
      <w:r w:rsidR="004373A9" w:rsidRPr="00F227C1">
        <w:rPr>
          <w:lang w:eastAsia="en-US"/>
        </w:rPr>
        <w:t xml:space="preserve">iven that 19 out of 38 HSRs </w:t>
      </w:r>
      <w:r w:rsidR="004373A9">
        <w:rPr>
          <w:lang w:eastAsia="en-US"/>
        </w:rPr>
        <w:t xml:space="preserve">had </w:t>
      </w:r>
      <w:r w:rsidR="000E1EDB">
        <w:rPr>
          <w:lang w:eastAsia="en-US"/>
        </w:rPr>
        <w:t>in the first year of Project implementation</w:t>
      </w:r>
      <w:r w:rsidR="004373A9">
        <w:rPr>
          <w:lang w:eastAsia="en-US"/>
        </w:rPr>
        <w:t xml:space="preserve"> </w:t>
      </w:r>
      <w:r w:rsidR="004373A9" w:rsidRPr="00F227C1">
        <w:rPr>
          <w:lang w:eastAsia="en-US"/>
        </w:rPr>
        <w:t xml:space="preserve">achieved 100 </w:t>
      </w:r>
      <w:r w:rsidR="00E179B3">
        <w:rPr>
          <w:lang w:eastAsia="en-US"/>
        </w:rPr>
        <w:t>percent accreditation</w:t>
      </w:r>
      <w:r w:rsidR="000E1EDB">
        <w:rPr>
          <w:lang w:eastAsia="en-US"/>
        </w:rPr>
        <w:t xml:space="preserve"> according to </w:t>
      </w:r>
      <w:r w:rsidR="00E405DC">
        <w:rPr>
          <w:lang w:eastAsia="en-US"/>
        </w:rPr>
        <w:t>key</w:t>
      </w:r>
      <w:r w:rsidR="000E1EDB">
        <w:rPr>
          <w:lang w:eastAsia="en-US"/>
        </w:rPr>
        <w:t xml:space="preserve"> indicator 1 criteria. </w:t>
      </w:r>
      <w:r w:rsidR="004373A9">
        <w:rPr>
          <w:lang w:eastAsia="en-US"/>
        </w:rPr>
        <w:t xml:space="preserve">Indicator 2 - </w:t>
      </w:r>
      <w:r w:rsidR="00F227C1" w:rsidRPr="00F227C1">
        <w:rPr>
          <w:lang w:eastAsia="en-US"/>
        </w:rPr>
        <w:t>Level II HSR accreditation</w:t>
      </w:r>
      <w:r>
        <w:rPr>
          <w:lang w:eastAsia="en-US"/>
        </w:rPr>
        <w:t xml:space="preserve"> </w:t>
      </w:r>
      <w:r w:rsidR="004373A9">
        <w:rPr>
          <w:lang w:eastAsia="en-US"/>
        </w:rPr>
        <w:t>was added to the results framework</w:t>
      </w:r>
      <w:r w:rsidR="00F227C1" w:rsidRPr="00F227C1">
        <w:rPr>
          <w:lang w:eastAsia="en-US"/>
        </w:rPr>
        <w:t xml:space="preserve">.  </w:t>
      </w:r>
    </w:p>
    <w:p w:rsidR="00185AA8" w:rsidRPr="00F227C1" w:rsidRDefault="00185AA8" w:rsidP="00185AA8">
      <w:pPr>
        <w:pStyle w:val="ListParagraph"/>
        <w:jc w:val="both"/>
        <w:rPr>
          <w:lang w:eastAsia="en-US"/>
        </w:rPr>
      </w:pPr>
    </w:p>
    <w:p w:rsidR="00F227C1" w:rsidRDefault="00F227C1" w:rsidP="00975139">
      <w:pPr>
        <w:pStyle w:val="ListParagraph"/>
        <w:numPr>
          <w:ilvl w:val="0"/>
          <w:numId w:val="2"/>
        </w:numPr>
        <w:jc w:val="both"/>
        <w:rPr>
          <w:lang w:eastAsia="en-US"/>
        </w:rPr>
      </w:pPr>
      <w:r w:rsidRPr="00F227C1">
        <w:rPr>
          <w:lang w:eastAsia="en-US"/>
        </w:rPr>
        <w:lastRenderedPageBreak/>
        <w:t xml:space="preserve">The following indicators were added once </w:t>
      </w:r>
      <w:r w:rsidR="00E405DC">
        <w:rPr>
          <w:lang w:eastAsia="en-US"/>
        </w:rPr>
        <w:t>key</w:t>
      </w:r>
      <w:r w:rsidR="005A2584">
        <w:rPr>
          <w:lang w:eastAsia="en-US"/>
        </w:rPr>
        <w:t xml:space="preserve"> indicators 4 and 5 had been achieved </w:t>
      </w:r>
      <w:r w:rsidR="00DC3424">
        <w:rPr>
          <w:lang w:eastAsia="en-US"/>
        </w:rPr>
        <w:t>and</w:t>
      </w:r>
      <w:r w:rsidR="005A2584">
        <w:rPr>
          <w:lang w:eastAsia="en-US"/>
        </w:rPr>
        <w:t xml:space="preserve"> </w:t>
      </w:r>
      <w:r w:rsidR="008B2479">
        <w:rPr>
          <w:lang w:eastAsia="en-US"/>
        </w:rPr>
        <w:t>the A/H1N1</w:t>
      </w:r>
      <w:r w:rsidRPr="00F227C1">
        <w:rPr>
          <w:lang w:eastAsia="en-US"/>
        </w:rPr>
        <w:t xml:space="preserve"> and pneumococcal vaccines were incorporated into the National Vaccine Calendar: “Dose of A/H1N1 vaccine included in National Calendar applied” (</w:t>
      </w:r>
      <w:r w:rsidR="00C15ACA">
        <w:rPr>
          <w:lang w:eastAsia="en-US"/>
        </w:rPr>
        <w:t>i</w:t>
      </w:r>
      <w:r w:rsidR="00C15ACA" w:rsidRPr="00F227C1">
        <w:rPr>
          <w:lang w:eastAsia="en-US"/>
        </w:rPr>
        <w:t xml:space="preserve">ndicator </w:t>
      </w:r>
      <w:r w:rsidRPr="00F227C1">
        <w:rPr>
          <w:lang w:eastAsia="en-US"/>
        </w:rPr>
        <w:t xml:space="preserve">7) and </w:t>
      </w:r>
      <w:r w:rsidR="00DC3424">
        <w:rPr>
          <w:lang w:eastAsia="en-US"/>
        </w:rPr>
        <w:t>“</w:t>
      </w:r>
      <w:r w:rsidRPr="00F227C1">
        <w:rPr>
          <w:lang w:eastAsia="en-US"/>
        </w:rPr>
        <w:t>Dose of Pneumococcal vaccine included in National Calendar applied” (</w:t>
      </w:r>
      <w:r w:rsidR="00C15ACA">
        <w:rPr>
          <w:lang w:eastAsia="en-US"/>
        </w:rPr>
        <w:t>i</w:t>
      </w:r>
      <w:r w:rsidR="00C15ACA" w:rsidRPr="00F227C1">
        <w:rPr>
          <w:lang w:eastAsia="en-US"/>
        </w:rPr>
        <w:t>ndicator</w:t>
      </w:r>
      <w:r w:rsidR="00E174F8">
        <w:rPr>
          <w:lang w:eastAsia="en-US"/>
        </w:rPr>
        <w:t xml:space="preserve"> </w:t>
      </w:r>
      <w:r w:rsidRPr="00F227C1">
        <w:rPr>
          <w:lang w:eastAsia="en-US"/>
        </w:rPr>
        <w:t>8).</w:t>
      </w:r>
    </w:p>
    <w:p w:rsidR="00185AA8" w:rsidRPr="00E36507" w:rsidRDefault="00185AA8" w:rsidP="00185AA8">
      <w:pPr>
        <w:jc w:val="both"/>
        <w:rPr>
          <w:lang w:eastAsia="en-US"/>
        </w:rPr>
      </w:pPr>
    </w:p>
    <w:p w:rsidR="004536A2" w:rsidRDefault="00BB51A1" w:rsidP="00E76C90">
      <w:pPr>
        <w:pStyle w:val="ListParagraph"/>
        <w:widowControl w:val="0"/>
        <w:numPr>
          <w:ilvl w:val="0"/>
          <w:numId w:val="2"/>
        </w:numPr>
        <w:autoSpaceDE w:val="0"/>
        <w:autoSpaceDN w:val="0"/>
        <w:adjustRightInd w:val="0"/>
        <w:spacing w:after="240"/>
        <w:ind w:left="72"/>
        <w:jc w:val="both"/>
      </w:pPr>
      <w:r w:rsidRPr="007565D5">
        <w:rPr>
          <w:b/>
        </w:rPr>
        <w:t>The third restructuring</w:t>
      </w:r>
      <w:r w:rsidR="006901BC" w:rsidRPr="007565D5">
        <w:rPr>
          <w:b/>
        </w:rPr>
        <w:t>,</w:t>
      </w:r>
      <w:r w:rsidR="005F6A38" w:rsidRPr="007565D5">
        <w:rPr>
          <w:b/>
        </w:rPr>
        <w:t xml:space="preserve"> </w:t>
      </w:r>
      <w:r w:rsidRPr="007565D5">
        <w:rPr>
          <w:b/>
        </w:rPr>
        <w:t xml:space="preserve">approved on </w:t>
      </w:r>
      <w:r w:rsidR="007A0FE5" w:rsidRPr="007565D5">
        <w:rPr>
          <w:b/>
        </w:rPr>
        <w:t>March 1</w:t>
      </w:r>
      <w:r w:rsidR="004E4CE8" w:rsidRPr="007565D5">
        <w:rPr>
          <w:b/>
        </w:rPr>
        <w:t>, 2013</w:t>
      </w:r>
      <w:r w:rsidR="00CB349D" w:rsidRPr="007565D5">
        <w:rPr>
          <w:b/>
        </w:rPr>
        <w:t xml:space="preserve">, </w:t>
      </w:r>
      <w:r w:rsidR="004E4CE8" w:rsidRPr="007565D5">
        <w:rPr>
          <w:b/>
        </w:rPr>
        <w:t xml:space="preserve">extended for </w:t>
      </w:r>
      <w:r w:rsidR="00AB02DF" w:rsidRPr="007565D5">
        <w:rPr>
          <w:b/>
        </w:rPr>
        <w:t>a</w:t>
      </w:r>
      <w:r w:rsidR="004E4CE8" w:rsidRPr="007565D5">
        <w:rPr>
          <w:b/>
        </w:rPr>
        <w:t xml:space="preserve"> second time the </w:t>
      </w:r>
      <w:r w:rsidR="007138C8" w:rsidRPr="007565D5">
        <w:rPr>
          <w:b/>
        </w:rPr>
        <w:t xml:space="preserve">Project </w:t>
      </w:r>
      <w:r w:rsidR="004E4CE8" w:rsidRPr="007565D5">
        <w:rPr>
          <w:b/>
        </w:rPr>
        <w:t xml:space="preserve">closing date </w:t>
      </w:r>
      <w:r w:rsidR="00CB349D" w:rsidRPr="007565D5">
        <w:rPr>
          <w:b/>
        </w:rPr>
        <w:t>f</w:t>
      </w:r>
      <w:r w:rsidR="004E4CE8" w:rsidRPr="007565D5">
        <w:rPr>
          <w:b/>
        </w:rPr>
        <w:t xml:space="preserve">rom March 31, 2013 </w:t>
      </w:r>
      <w:r w:rsidR="00CB349D" w:rsidRPr="007565D5">
        <w:rPr>
          <w:b/>
        </w:rPr>
        <w:t>to</w:t>
      </w:r>
      <w:r w:rsidR="004E4CE8" w:rsidRPr="007565D5">
        <w:rPr>
          <w:b/>
        </w:rPr>
        <w:t xml:space="preserve"> December 31, 2013</w:t>
      </w:r>
      <w:r w:rsidR="00501E9A" w:rsidRPr="007565D5">
        <w:rPr>
          <w:b/>
        </w:rPr>
        <w:t xml:space="preserve"> to conclude Project activities</w:t>
      </w:r>
      <w:r w:rsidR="004E4CE8" w:rsidRPr="007565D5">
        <w:rPr>
          <w:b/>
        </w:rPr>
        <w:t>.</w:t>
      </w:r>
      <w:r w:rsidR="0027654F">
        <w:t xml:space="preserve"> </w:t>
      </w:r>
      <w:r w:rsidR="004114D9">
        <w:t xml:space="preserve">The extension provided additional time to complete the third and last independent certification for the Level II </w:t>
      </w:r>
      <w:r w:rsidR="008204EF">
        <w:t>HSR</w:t>
      </w:r>
      <w:r w:rsidR="004114D9">
        <w:t xml:space="preserve"> accreditation and </w:t>
      </w:r>
      <w:r w:rsidR="000A71CE">
        <w:t>complete operational</w:t>
      </w:r>
      <w:r w:rsidR="00276394">
        <w:t xml:space="preserve"> </w:t>
      </w:r>
      <w:r w:rsidR="004114D9">
        <w:t>research</w:t>
      </w:r>
      <w:r w:rsidR="00276394">
        <w:t xml:space="preserve"> activities at the</w:t>
      </w:r>
      <w:r w:rsidR="00125306">
        <w:t xml:space="preserve"> </w:t>
      </w:r>
      <w:r w:rsidR="009F0A8C">
        <w:t xml:space="preserve">provincial </w:t>
      </w:r>
      <w:r w:rsidR="00125306">
        <w:t>level</w:t>
      </w:r>
      <w:r w:rsidR="009F0A8C">
        <w:t xml:space="preserve">, </w:t>
      </w:r>
      <w:r w:rsidR="002741FE">
        <w:t xml:space="preserve">the </w:t>
      </w:r>
      <w:r w:rsidR="00125306">
        <w:t>epidemiolog</w:t>
      </w:r>
      <w:r w:rsidR="001B07AA">
        <w:t>y</w:t>
      </w:r>
      <w:r w:rsidR="00125306">
        <w:t xml:space="preserve"> postgraduate cour</w:t>
      </w:r>
      <w:r w:rsidR="00AB02DF">
        <w:t>se</w:t>
      </w:r>
      <w:r w:rsidR="009F0A8C">
        <w:t xml:space="preserve">, </w:t>
      </w:r>
      <w:r w:rsidR="002741FE">
        <w:t xml:space="preserve">and the </w:t>
      </w:r>
      <w:r w:rsidR="00AB02DF">
        <w:t>purchase of ambulances</w:t>
      </w:r>
      <w:r w:rsidR="00BF7F9D">
        <w:t>.</w:t>
      </w:r>
      <w:r w:rsidR="00125306">
        <w:t xml:space="preserve"> </w:t>
      </w:r>
      <w:r w:rsidR="0027654F">
        <w:t xml:space="preserve"> </w:t>
      </w:r>
    </w:p>
    <w:p w:rsidR="00E65323" w:rsidRPr="00816C1F" w:rsidRDefault="00C67D43" w:rsidP="00E23E13">
      <w:pPr>
        <w:pStyle w:val="Heading2"/>
        <w:spacing w:before="0" w:beforeAutospacing="0"/>
        <w:jc w:val="both"/>
        <w:rPr>
          <w:sz w:val="24"/>
          <w:szCs w:val="24"/>
        </w:rPr>
      </w:pPr>
      <w:bookmarkStart w:id="131" w:name="_IL7"/>
      <w:bookmarkStart w:id="132" w:name="_Toc158019371"/>
      <w:bookmarkStart w:id="133" w:name="_Toc384896511"/>
      <w:r w:rsidRPr="00816C1F">
        <w:rPr>
          <w:sz w:val="24"/>
          <w:szCs w:val="24"/>
        </w:rPr>
        <w:t>2. Key Factors Affecting Implementation and Outcomes</w:t>
      </w:r>
      <w:bookmarkEnd w:id="131"/>
      <w:bookmarkEnd w:id="132"/>
      <w:bookmarkEnd w:id="133"/>
      <w:r w:rsidRPr="00816C1F">
        <w:rPr>
          <w:sz w:val="24"/>
          <w:szCs w:val="24"/>
        </w:rPr>
        <w:t xml:space="preserve"> </w:t>
      </w:r>
    </w:p>
    <w:p w:rsidR="00E23E13" w:rsidRPr="00816C1F" w:rsidRDefault="00E23E13" w:rsidP="00E23E13">
      <w:pPr>
        <w:pStyle w:val="Heading2"/>
        <w:spacing w:before="0" w:beforeAutospacing="0"/>
        <w:jc w:val="both"/>
        <w:rPr>
          <w:sz w:val="24"/>
          <w:szCs w:val="24"/>
        </w:rPr>
      </w:pPr>
    </w:p>
    <w:p w:rsidR="00C67D43" w:rsidRPr="00816C1F" w:rsidRDefault="00C67D43" w:rsidP="00817E19">
      <w:pPr>
        <w:pStyle w:val="Heading3"/>
        <w:spacing w:before="0" w:beforeAutospacing="0"/>
        <w:jc w:val="both"/>
        <w:rPr>
          <w:sz w:val="24"/>
          <w:szCs w:val="24"/>
        </w:rPr>
      </w:pPr>
      <w:r w:rsidRPr="00816C1F">
        <w:rPr>
          <w:sz w:val="24"/>
          <w:szCs w:val="24"/>
        </w:rPr>
        <w:t xml:space="preserve">2.1 </w:t>
      </w:r>
      <w:r w:rsidR="00F85DAD" w:rsidRPr="00816C1F">
        <w:rPr>
          <w:sz w:val="24"/>
          <w:szCs w:val="24"/>
        </w:rPr>
        <w:t>Project</w:t>
      </w:r>
      <w:r w:rsidRPr="00816C1F">
        <w:rPr>
          <w:sz w:val="24"/>
          <w:szCs w:val="24"/>
        </w:rPr>
        <w:t xml:space="preserve"> Preparation, Design and Quality at Entry</w:t>
      </w:r>
    </w:p>
    <w:p w:rsidR="00501697" w:rsidRPr="00816C1F" w:rsidRDefault="00501697" w:rsidP="002F7B64">
      <w:pPr>
        <w:jc w:val="both"/>
      </w:pPr>
    </w:p>
    <w:p w:rsidR="00F7440D" w:rsidRDefault="00F85DAD" w:rsidP="000E1EDB">
      <w:pPr>
        <w:pStyle w:val="HTMLPreformatted"/>
        <w:numPr>
          <w:ilvl w:val="0"/>
          <w:numId w:val="1"/>
        </w:numPr>
        <w:autoSpaceDE w:val="0"/>
        <w:autoSpaceDN w:val="0"/>
        <w:adjustRightInd w:val="0"/>
        <w:ind w:left="0" w:firstLine="0"/>
        <w:jc w:val="both"/>
        <w:rPr>
          <w:rFonts w:cs="Times New Roman"/>
        </w:rPr>
      </w:pPr>
      <w:bookmarkStart w:id="134" w:name="SEC71"/>
      <w:bookmarkEnd w:id="134"/>
      <w:r w:rsidRPr="00816C1F">
        <w:rPr>
          <w:rFonts w:cs="Times New Roman"/>
          <w:b/>
        </w:rPr>
        <w:t>Project</w:t>
      </w:r>
      <w:r w:rsidR="004043BA" w:rsidRPr="00816C1F">
        <w:rPr>
          <w:rFonts w:cs="Times New Roman"/>
          <w:b/>
        </w:rPr>
        <w:t xml:space="preserve"> preparation and design were appropriately </w:t>
      </w:r>
      <w:r w:rsidR="00F7440D">
        <w:rPr>
          <w:rFonts w:cs="Times New Roman"/>
          <w:b/>
        </w:rPr>
        <w:t>responsive to Government and</w:t>
      </w:r>
      <w:r w:rsidR="008D2D5A" w:rsidRPr="00816C1F">
        <w:rPr>
          <w:rFonts w:cs="Times New Roman"/>
          <w:b/>
        </w:rPr>
        <w:t xml:space="preserve"> </w:t>
      </w:r>
      <w:r w:rsidR="00854766" w:rsidRPr="00816C1F">
        <w:rPr>
          <w:rFonts w:cs="Times New Roman"/>
          <w:b/>
        </w:rPr>
        <w:t xml:space="preserve">health sector </w:t>
      </w:r>
      <w:r w:rsidR="00854766">
        <w:rPr>
          <w:rFonts w:cs="Times New Roman"/>
          <w:b/>
        </w:rPr>
        <w:t>priorities</w:t>
      </w:r>
      <w:r w:rsidR="00244442">
        <w:rPr>
          <w:rFonts w:cs="Times New Roman"/>
          <w:b/>
        </w:rPr>
        <w:t xml:space="preserve">. </w:t>
      </w:r>
      <w:r w:rsidR="00AB231D">
        <w:t xml:space="preserve">The </w:t>
      </w:r>
      <w:r w:rsidR="002A10EA">
        <w:t>P</w:t>
      </w:r>
      <w:r w:rsidR="00AB231D">
        <w:t xml:space="preserve">roject responded to the </w:t>
      </w:r>
      <w:r w:rsidR="002E18C0">
        <w:t xml:space="preserve">GOA’s </w:t>
      </w:r>
      <w:r w:rsidR="00AB231D">
        <w:t xml:space="preserve">request </w:t>
      </w:r>
      <w:r w:rsidR="002E18C0">
        <w:t xml:space="preserve">for assistance in the </w:t>
      </w:r>
      <w:r w:rsidR="00AB231D">
        <w:t>monitor</w:t>
      </w:r>
      <w:r w:rsidR="002E18C0">
        <w:t>ing</w:t>
      </w:r>
      <w:r w:rsidR="00AB231D">
        <w:t>, prevent</w:t>
      </w:r>
      <w:r w:rsidR="002E18C0">
        <w:t>ion</w:t>
      </w:r>
      <w:r w:rsidR="00AB231D">
        <w:t xml:space="preserve"> and control </w:t>
      </w:r>
      <w:r w:rsidR="002E18C0">
        <w:t xml:space="preserve">of </w:t>
      </w:r>
      <w:r w:rsidR="00AB231D">
        <w:t xml:space="preserve">the A/H1N1 influenza pandemic. </w:t>
      </w:r>
      <w:r w:rsidR="004373A9" w:rsidRPr="000E1EDB">
        <w:rPr>
          <w:rFonts w:cs="Times New Roman"/>
        </w:rPr>
        <w:t>The Government demonstrated a high level of commitment to the Project</w:t>
      </w:r>
      <w:r w:rsidR="004373A9" w:rsidRPr="004373A9">
        <w:rPr>
          <w:rFonts w:cs="Times New Roman"/>
        </w:rPr>
        <w:t xml:space="preserve"> </w:t>
      </w:r>
      <w:r w:rsidR="004373A9">
        <w:rPr>
          <w:rFonts w:cs="Times New Roman"/>
        </w:rPr>
        <w:t xml:space="preserve">with prompt preparation and processing of all steps necessary to ensure Project readiness. </w:t>
      </w:r>
      <w:r w:rsidR="004E451E">
        <w:rPr>
          <w:rFonts w:cs="Times New Roman"/>
        </w:rPr>
        <w:t xml:space="preserve">The </w:t>
      </w:r>
      <w:r w:rsidR="009118D9">
        <w:rPr>
          <w:rFonts w:cs="Times New Roman"/>
        </w:rPr>
        <w:t xml:space="preserve">World </w:t>
      </w:r>
      <w:r w:rsidR="004E451E">
        <w:rPr>
          <w:rFonts w:cs="Times New Roman"/>
        </w:rPr>
        <w:t xml:space="preserve">Bank’s </w:t>
      </w:r>
      <w:r w:rsidR="00F072CB">
        <w:rPr>
          <w:rFonts w:cs="Times New Roman"/>
        </w:rPr>
        <w:t xml:space="preserve">active and productive engagement with the GOA and </w:t>
      </w:r>
      <w:r w:rsidR="004E451E">
        <w:rPr>
          <w:rFonts w:cs="Times New Roman"/>
        </w:rPr>
        <w:t xml:space="preserve">long experience with Argentina’s health </w:t>
      </w:r>
      <w:r w:rsidR="004E451E" w:rsidRPr="00A767FF">
        <w:rPr>
          <w:rFonts w:cs="Times New Roman"/>
        </w:rPr>
        <w:t>sector led to</w:t>
      </w:r>
      <w:r w:rsidR="004E451E">
        <w:rPr>
          <w:rFonts w:cs="Times New Roman"/>
        </w:rPr>
        <w:t xml:space="preserve"> </w:t>
      </w:r>
      <w:r w:rsidR="00A45465">
        <w:rPr>
          <w:rFonts w:cs="Times New Roman"/>
        </w:rPr>
        <w:t xml:space="preserve">close cooperation in Project design </w:t>
      </w:r>
      <w:r w:rsidR="006B56BC">
        <w:rPr>
          <w:rFonts w:cs="Times New Roman"/>
        </w:rPr>
        <w:t>and to a fast response through an Emergency Recovery Loan</w:t>
      </w:r>
      <w:r w:rsidR="008B2479">
        <w:rPr>
          <w:rFonts w:cs="Times New Roman"/>
        </w:rPr>
        <w:t xml:space="preserve"> (ERL)</w:t>
      </w:r>
      <w:r w:rsidR="00B55DE1">
        <w:rPr>
          <w:rFonts w:cs="Times New Roman"/>
        </w:rPr>
        <w:t>.</w:t>
      </w:r>
      <w:r w:rsidR="00992FA2" w:rsidRPr="00992FA2">
        <w:rPr>
          <w:rFonts w:cs="Times New Roman"/>
        </w:rPr>
        <w:t xml:space="preserve"> </w:t>
      </w:r>
      <w:r w:rsidR="00992FA2">
        <w:rPr>
          <w:rFonts w:cs="Times New Roman"/>
        </w:rPr>
        <w:t>An alternative instrument was not considered given the crisis nature of the situation</w:t>
      </w:r>
      <w:r w:rsidR="004373A9">
        <w:rPr>
          <w:rFonts w:cs="Times New Roman"/>
        </w:rPr>
        <w:t xml:space="preserve"> a</w:t>
      </w:r>
      <w:r w:rsidR="00992FA2">
        <w:rPr>
          <w:rFonts w:cs="Times New Roman"/>
        </w:rPr>
        <w:t xml:space="preserve">nd the fact that the </w:t>
      </w:r>
      <w:r w:rsidR="004373A9">
        <w:rPr>
          <w:rFonts w:cs="Times New Roman"/>
        </w:rPr>
        <w:t>P</w:t>
      </w:r>
      <w:r w:rsidR="00992FA2">
        <w:rPr>
          <w:rFonts w:cs="Times New Roman"/>
        </w:rPr>
        <w:t xml:space="preserve">roject met the criteria defined </w:t>
      </w:r>
      <w:r w:rsidR="004373A9">
        <w:rPr>
          <w:rFonts w:cs="Times New Roman"/>
        </w:rPr>
        <w:t>under</w:t>
      </w:r>
      <w:r w:rsidR="00992FA2">
        <w:rPr>
          <w:rFonts w:cs="Times New Roman"/>
        </w:rPr>
        <w:t xml:space="preserve"> emergency operations</w:t>
      </w:r>
      <w:r w:rsidR="008B2479">
        <w:rPr>
          <w:rFonts w:cs="Times New Roman"/>
        </w:rPr>
        <w:t>.</w:t>
      </w:r>
      <w:r w:rsidR="004E451E">
        <w:rPr>
          <w:rFonts w:cs="Times New Roman"/>
        </w:rPr>
        <w:t xml:space="preserve"> </w:t>
      </w:r>
      <w:r w:rsidR="00FB73A4">
        <w:rPr>
          <w:rFonts w:cs="Times New Roman"/>
        </w:rPr>
        <w:t xml:space="preserve">Weaknesses in the </w:t>
      </w:r>
      <w:r w:rsidR="008B2479">
        <w:rPr>
          <w:rFonts w:cs="Times New Roman"/>
        </w:rPr>
        <w:t>results</w:t>
      </w:r>
      <w:r w:rsidR="00FB73A4">
        <w:rPr>
          <w:rFonts w:cs="Times New Roman"/>
        </w:rPr>
        <w:t xml:space="preserve"> framework design </w:t>
      </w:r>
      <w:r w:rsidR="009F0A8C">
        <w:rPr>
          <w:rFonts w:cs="Times New Roman"/>
        </w:rPr>
        <w:t xml:space="preserve">slightly </w:t>
      </w:r>
      <w:r w:rsidR="00FB73A4">
        <w:rPr>
          <w:rFonts w:cs="Times New Roman"/>
        </w:rPr>
        <w:t>impacted the ability to evaluate Project achievements</w:t>
      </w:r>
      <w:r w:rsidR="008B2479">
        <w:rPr>
          <w:rFonts w:cs="Times New Roman"/>
        </w:rPr>
        <w:t xml:space="preserve"> (See section 2.3)</w:t>
      </w:r>
      <w:r w:rsidR="00FB73A4">
        <w:rPr>
          <w:rFonts w:cs="Times New Roman"/>
        </w:rPr>
        <w:t xml:space="preserve">. </w:t>
      </w:r>
    </w:p>
    <w:p w:rsidR="007D3EF0" w:rsidRDefault="007D3EF0" w:rsidP="007D3EF0">
      <w:pPr>
        <w:pStyle w:val="HTMLPreformatted"/>
        <w:autoSpaceDE w:val="0"/>
        <w:autoSpaceDN w:val="0"/>
        <w:adjustRightInd w:val="0"/>
        <w:jc w:val="both"/>
        <w:rPr>
          <w:rFonts w:cs="Times New Roman"/>
          <w:b/>
        </w:rPr>
      </w:pPr>
    </w:p>
    <w:p w:rsidR="00B026F6" w:rsidRPr="00885E5F" w:rsidRDefault="008D7733" w:rsidP="00885E5F">
      <w:pPr>
        <w:pStyle w:val="HTMLPreformatted"/>
        <w:numPr>
          <w:ilvl w:val="0"/>
          <w:numId w:val="1"/>
        </w:numPr>
        <w:autoSpaceDE w:val="0"/>
        <w:autoSpaceDN w:val="0"/>
        <w:adjustRightInd w:val="0"/>
        <w:ind w:left="0" w:firstLine="0"/>
        <w:jc w:val="both"/>
        <w:rPr>
          <w:rFonts w:cs="Times New Roman"/>
        </w:rPr>
      </w:pPr>
      <w:r w:rsidRPr="000E1EDB">
        <w:rPr>
          <w:rFonts w:cs="Times New Roman"/>
          <w:b/>
          <w:szCs w:val="24"/>
        </w:rPr>
        <w:t xml:space="preserve">Project design was based on a detailed sector analysis, in line with the GOA’s </w:t>
      </w:r>
      <w:r w:rsidR="007A396F" w:rsidRPr="000E1EDB">
        <w:rPr>
          <w:rFonts w:cs="Times New Roman"/>
          <w:b/>
          <w:szCs w:val="24"/>
        </w:rPr>
        <w:t>Federal Health Plan (</w:t>
      </w:r>
      <w:r w:rsidRPr="000E1EDB">
        <w:rPr>
          <w:rFonts w:cs="Times New Roman"/>
          <w:b/>
          <w:szCs w:val="24"/>
        </w:rPr>
        <w:t>FHP</w:t>
      </w:r>
      <w:r w:rsidR="007A396F" w:rsidRPr="000E1EDB">
        <w:rPr>
          <w:rFonts w:cs="Times New Roman"/>
          <w:b/>
          <w:szCs w:val="24"/>
        </w:rPr>
        <w:t>)</w:t>
      </w:r>
      <w:r w:rsidR="008204EF" w:rsidRPr="000E1EDB">
        <w:rPr>
          <w:rFonts w:cs="Times New Roman"/>
          <w:b/>
          <w:szCs w:val="24"/>
        </w:rPr>
        <w:t>, an economic analysis</w:t>
      </w:r>
      <w:r w:rsidRPr="000E1EDB">
        <w:rPr>
          <w:rFonts w:cs="Times New Roman"/>
          <w:b/>
          <w:szCs w:val="24"/>
        </w:rPr>
        <w:t xml:space="preserve"> and incorporated lessons learned from other operations and international experience.</w:t>
      </w:r>
      <w:r w:rsidR="00491250" w:rsidRPr="008204EF">
        <w:rPr>
          <w:rFonts w:cs="Times New Roman"/>
          <w:szCs w:val="24"/>
        </w:rPr>
        <w:t xml:space="preserve"> </w:t>
      </w:r>
      <w:r w:rsidR="000853D8">
        <w:rPr>
          <w:rFonts w:cs="Times New Roman"/>
          <w:szCs w:val="24"/>
        </w:rPr>
        <w:t xml:space="preserve">It also linked disbursements to the achievement of </w:t>
      </w:r>
      <w:r w:rsidR="00505F42">
        <w:rPr>
          <w:rFonts w:cs="Times New Roman"/>
          <w:szCs w:val="24"/>
        </w:rPr>
        <w:t xml:space="preserve">results </w:t>
      </w:r>
      <w:r w:rsidR="00101F09" w:rsidRPr="00885E5F">
        <w:rPr>
          <w:rFonts w:cs="Times New Roman"/>
          <w:szCs w:val="24"/>
        </w:rPr>
        <w:t>(outputs)</w:t>
      </w:r>
      <w:r w:rsidR="00853811" w:rsidRPr="00885E5F">
        <w:rPr>
          <w:rFonts w:cs="Times New Roman"/>
          <w:szCs w:val="24"/>
        </w:rPr>
        <w:t>,</w:t>
      </w:r>
      <w:r w:rsidR="00101F09" w:rsidRPr="00885E5F">
        <w:rPr>
          <w:rFonts w:cs="Times New Roman"/>
          <w:szCs w:val="24"/>
        </w:rPr>
        <w:t xml:space="preserve"> </w:t>
      </w:r>
      <w:r w:rsidR="000853D8" w:rsidRPr="00885E5F">
        <w:rPr>
          <w:rFonts w:cs="Times New Roman"/>
          <w:szCs w:val="24"/>
        </w:rPr>
        <w:t>which has been shown to lead to improve performance and management</w:t>
      </w:r>
      <w:r w:rsidR="004373A9" w:rsidRPr="00BC6859">
        <w:rPr>
          <w:rFonts w:cs="Times New Roman"/>
          <w:szCs w:val="24"/>
        </w:rPr>
        <w:t>.</w:t>
      </w:r>
      <w:r w:rsidR="000853D8">
        <w:rPr>
          <w:rStyle w:val="FootnoteReference"/>
          <w:rFonts w:cs="Times New Roman"/>
          <w:szCs w:val="24"/>
        </w:rPr>
        <w:footnoteReference w:id="15"/>
      </w:r>
      <w:r w:rsidR="000853D8" w:rsidRPr="00885E5F">
        <w:rPr>
          <w:rFonts w:cs="Times New Roman"/>
          <w:szCs w:val="24"/>
        </w:rPr>
        <w:t xml:space="preserve"> </w:t>
      </w:r>
      <w:r w:rsidR="004373A9" w:rsidRPr="000E1EDB">
        <w:rPr>
          <w:rFonts w:cs="Times New Roman"/>
        </w:rPr>
        <w:t xml:space="preserve">Project design relied on the existing Integral Plan for the Prevention of an Influenza Pandemic </w:t>
      </w:r>
      <w:r w:rsidR="004373A9" w:rsidRPr="0063364B">
        <w:rPr>
          <w:rFonts w:cs="Times New Roman"/>
        </w:rPr>
        <w:t>(</w:t>
      </w:r>
      <w:r w:rsidR="004373A9" w:rsidRPr="0063364B">
        <w:rPr>
          <w:rFonts w:cs="Times New Roman"/>
          <w:i/>
        </w:rPr>
        <w:t>Unidad</w:t>
      </w:r>
      <w:r w:rsidR="004373A9" w:rsidRPr="000E1EDB">
        <w:rPr>
          <w:rFonts w:cs="Times New Roman"/>
          <w:i/>
        </w:rPr>
        <w:t xml:space="preserve"> de</w:t>
      </w:r>
      <w:r w:rsidR="004373A9" w:rsidRPr="0063364B">
        <w:rPr>
          <w:rFonts w:cs="Times New Roman"/>
          <w:i/>
        </w:rPr>
        <w:t xml:space="preserve"> Coordinación</w:t>
      </w:r>
      <w:r w:rsidR="004373A9" w:rsidRPr="000E1EDB">
        <w:rPr>
          <w:rFonts w:cs="Times New Roman"/>
          <w:i/>
        </w:rPr>
        <w:t xml:space="preserve"> General del Plan Integral</w:t>
      </w:r>
      <w:r w:rsidR="004373A9" w:rsidRPr="0063364B">
        <w:rPr>
          <w:rFonts w:cs="Times New Roman"/>
          <w:i/>
        </w:rPr>
        <w:t xml:space="preserve"> para</w:t>
      </w:r>
      <w:r w:rsidR="004373A9" w:rsidRPr="000E1EDB">
        <w:rPr>
          <w:rFonts w:cs="Times New Roman"/>
          <w:i/>
        </w:rPr>
        <w:t xml:space="preserve"> la</w:t>
      </w:r>
      <w:r w:rsidR="004373A9" w:rsidRPr="0063364B">
        <w:rPr>
          <w:rFonts w:cs="Times New Roman"/>
          <w:i/>
        </w:rPr>
        <w:t xml:space="preserve"> Prevención</w:t>
      </w:r>
      <w:r w:rsidR="004373A9" w:rsidRPr="000E1EDB">
        <w:rPr>
          <w:rFonts w:cs="Times New Roman"/>
          <w:i/>
        </w:rPr>
        <w:t xml:space="preserve"> de</w:t>
      </w:r>
      <w:r w:rsidR="004373A9" w:rsidRPr="0063364B">
        <w:rPr>
          <w:rFonts w:cs="Times New Roman"/>
          <w:i/>
        </w:rPr>
        <w:t xml:space="preserve"> Pandemia</w:t>
      </w:r>
      <w:r w:rsidR="004373A9" w:rsidRPr="000E1EDB">
        <w:rPr>
          <w:rFonts w:cs="Times New Roman"/>
          <w:i/>
        </w:rPr>
        <w:t xml:space="preserve"> de Influenza), </w:t>
      </w:r>
      <w:r w:rsidR="004373A9" w:rsidRPr="00885E5F">
        <w:rPr>
          <w:rFonts w:cs="Times New Roman"/>
        </w:rPr>
        <w:t xml:space="preserve">developed jointly between the </w:t>
      </w:r>
      <w:r w:rsidR="00505F42">
        <w:rPr>
          <w:rFonts w:cs="Times New Roman"/>
        </w:rPr>
        <w:t>MSN</w:t>
      </w:r>
      <w:r w:rsidR="004373A9" w:rsidRPr="00885E5F">
        <w:rPr>
          <w:rFonts w:cs="Times New Roman"/>
        </w:rPr>
        <w:t xml:space="preserve"> and the Ministry of the Interior in 2007</w:t>
      </w:r>
      <w:r w:rsidR="00FB73A4" w:rsidRPr="00885E5F">
        <w:rPr>
          <w:rFonts w:cs="Times New Roman"/>
        </w:rPr>
        <w:t>,</w:t>
      </w:r>
      <w:r w:rsidR="004373A9" w:rsidRPr="00BC6859">
        <w:rPr>
          <w:rFonts w:cs="Times New Roman"/>
        </w:rPr>
        <w:t xml:space="preserve"> adapted to existing </w:t>
      </w:r>
      <w:r w:rsidR="00BF7F9D">
        <w:rPr>
          <w:rFonts w:cs="Times New Roman"/>
        </w:rPr>
        <w:t>health</w:t>
      </w:r>
      <w:r w:rsidR="004373A9" w:rsidRPr="00BC6859">
        <w:rPr>
          <w:rFonts w:cs="Times New Roman"/>
        </w:rPr>
        <w:t xml:space="preserve"> conditions and utilized in the implementation of GOA measures against the A/H1N1</w:t>
      </w:r>
      <w:r w:rsidR="00FB73A4" w:rsidRPr="00B739DE">
        <w:rPr>
          <w:rFonts w:cs="Times New Roman"/>
        </w:rPr>
        <w:t xml:space="preserve">. </w:t>
      </w:r>
      <w:r w:rsidR="006B78C7" w:rsidRPr="00DB6286">
        <w:rPr>
          <w:rFonts w:cs="Times New Roman"/>
        </w:rPr>
        <w:t xml:space="preserve">An economic analysis conducted during preparation </w:t>
      </w:r>
      <w:r w:rsidR="008204EF" w:rsidRPr="002C7DA5">
        <w:rPr>
          <w:rFonts w:cs="Times New Roman"/>
        </w:rPr>
        <w:t xml:space="preserve">revealed </w:t>
      </w:r>
      <w:r w:rsidR="006B78C7" w:rsidRPr="00AA5C33">
        <w:rPr>
          <w:rFonts w:cs="Times New Roman"/>
        </w:rPr>
        <w:t>t</w:t>
      </w:r>
      <w:r w:rsidR="008204EF" w:rsidRPr="00AA5C33">
        <w:rPr>
          <w:rFonts w:cs="Times New Roman"/>
        </w:rPr>
        <w:t>hat th</w:t>
      </w:r>
      <w:r w:rsidR="008204EF" w:rsidRPr="005022A4">
        <w:rPr>
          <w:rFonts w:cs="Times New Roman"/>
        </w:rPr>
        <w:t>e b</w:t>
      </w:r>
      <w:r w:rsidR="006B78C7" w:rsidRPr="005022A4">
        <w:rPr>
          <w:rFonts w:cs="Times New Roman"/>
        </w:rPr>
        <w:t>enefit</w:t>
      </w:r>
      <w:r w:rsidR="008204EF" w:rsidRPr="005022A4">
        <w:rPr>
          <w:rFonts w:cs="Times New Roman"/>
        </w:rPr>
        <w:t xml:space="preserve"> </w:t>
      </w:r>
      <w:r w:rsidR="00F072CB" w:rsidRPr="005022A4">
        <w:rPr>
          <w:rFonts w:cs="Times New Roman"/>
        </w:rPr>
        <w:t xml:space="preserve">of strengthening </w:t>
      </w:r>
      <w:r w:rsidR="008204EF" w:rsidRPr="005022A4">
        <w:rPr>
          <w:rFonts w:cs="Times New Roman"/>
        </w:rPr>
        <w:t xml:space="preserve">epidemic mitigation capacity was </w:t>
      </w:r>
      <w:r w:rsidR="00F072CB" w:rsidRPr="005022A4">
        <w:rPr>
          <w:rFonts w:cs="Times New Roman"/>
        </w:rPr>
        <w:t>greater than the (avoided) cost of an unmitigated A/H1N1 epidemic</w:t>
      </w:r>
      <w:r w:rsidR="008204EF" w:rsidRPr="00885E5F">
        <w:rPr>
          <w:rFonts w:cs="Times New Roman"/>
        </w:rPr>
        <w:t xml:space="preserve"> wave</w:t>
      </w:r>
      <w:r w:rsidR="00F072CB" w:rsidRPr="00885E5F">
        <w:rPr>
          <w:rFonts w:cs="Times New Roman"/>
        </w:rPr>
        <w:t xml:space="preserve">. </w:t>
      </w:r>
    </w:p>
    <w:p w:rsidR="001F4F13" w:rsidRPr="00A01878" w:rsidRDefault="001F4F13" w:rsidP="001F4F13">
      <w:pPr>
        <w:pStyle w:val="HTMLPreformatted"/>
        <w:autoSpaceDE w:val="0"/>
        <w:autoSpaceDN w:val="0"/>
        <w:adjustRightInd w:val="0"/>
        <w:jc w:val="both"/>
      </w:pPr>
    </w:p>
    <w:p w:rsidR="009879F0" w:rsidRDefault="00B317ED" w:rsidP="00342EDF">
      <w:pPr>
        <w:pStyle w:val="Heading3"/>
        <w:spacing w:before="0" w:beforeAutospacing="0"/>
        <w:jc w:val="both"/>
        <w:rPr>
          <w:b w:val="0"/>
        </w:rPr>
      </w:pPr>
      <w:r w:rsidRPr="00816C1F">
        <w:rPr>
          <w:sz w:val="24"/>
          <w:szCs w:val="24"/>
        </w:rPr>
        <w:lastRenderedPageBreak/>
        <w:t>2.</w:t>
      </w:r>
      <w:r w:rsidR="00C67D43" w:rsidRPr="00816C1F">
        <w:rPr>
          <w:sz w:val="24"/>
          <w:szCs w:val="24"/>
        </w:rPr>
        <w:t>2 Implementation</w:t>
      </w:r>
      <w:bookmarkStart w:id="135" w:name="SEC72"/>
      <w:bookmarkEnd w:id="135"/>
      <w:r w:rsidR="00B54285" w:rsidRPr="00816C1F">
        <w:rPr>
          <w:b w:val="0"/>
        </w:rPr>
        <w:t xml:space="preserve"> </w:t>
      </w:r>
    </w:p>
    <w:p w:rsidR="00D35D5C" w:rsidRPr="00455C32" w:rsidRDefault="00D35D5C" w:rsidP="00342EDF">
      <w:pPr>
        <w:pStyle w:val="Heading3"/>
        <w:spacing w:before="0" w:beforeAutospacing="0"/>
        <w:jc w:val="both"/>
      </w:pPr>
    </w:p>
    <w:p w:rsidR="005F1CA3" w:rsidRPr="005F1CA3" w:rsidRDefault="003B76BD" w:rsidP="007D3EF0">
      <w:pPr>
        <w:pStyle w:val="HTMLPreformatted"/>
        <w:numPr>
          <w:ilvl w:val="0"/>
          <w:numId w:val="1"/>
        </w:numPr>
        <w:autoSpaceDE w:val="0"/>
        <w:autoSpaceDN w:val="0"/>
        <w:adjustRightInd w:val="0"/>
        <w:ind w:left="0" w:firstLine="0"/>
        <w:jc w:val="both"/>
        <w:rPr>
          <w:b/>
          <w:szCs w:val="24"/>
        </w:rPr>
      </w:pPr>
      <w:r>
        <w:rPr>
          <w:b/>
          <w:szCs w:val="24"/>
        </w:rPr>
        <w:t xml:space="preserve">Overall </w:t>
      </w:r>
      <w:r w:rsidR="007B7A8A" w:rsidRPr="00455C32">
        <w:rPr>
          <w:b/>
          <w:szCs w:val="24"/>
        </w:rPr>
        <w:t>Project implementation was satisfactory.</w:t>
      </w:r>
      <w:r w:rsidR="007B7A8A" w:rsidRPr="00455C32">
        <w:rPr>
          <w:szCs w:val="24"/>
        </w:rPr>
        <w:t xml:space="preserve"> </w:t>
      </w:r>
      <w:r w:rsidR="00AB231D">
        <w:rPr>
          <w:szCs w:val="24"/>
        </w:rPr>
        <w:t xml:space="preserve">The </w:t>
      </w:r>
      <w:r w:rsidR="001F4F13">
        <w:rPr>
          <w:szCs w:val="24"/>
        </w:rPr>
        <w:t>P</w:t>
      </w:r>
      <w:r w:rsidR="00AB231D">
        <w:rPr>
          <w:szCs w:val="24"/>
        </w:rPr>
        <w:t xml:space="preserve">roject had </w:t>
      </w:r>
      <w:r w:rsidR="001F4F13">
        <w:rPr>
          <w:szCs w:val="24"/>
        </w:rPr>
        <w:t>s</w:t>
      </w:r>
      <w:r w:rsidR="00AB231D">
        <w:rPr>
          <w:szCs w:val="24"/>
        </w:rPr>
        <w:t xml:space="preserve">atisfactory ratings </w:t>
      </w:r>
      <w:r w:rsidR="001F4F13">
        <w:rPr>
          <w:szCs w:val="24"/>
        </w:rPr>
        <w:t xml:space="preserve">throughout implementation and achieved </w:t>
      </w:r>
      <w:r w:rsidR="006C4CE0">
        <w:rPr>
          <w:szCs w:val="24"/>
        </w:rPr>
        <w:t xml:space="preserve">four </w:t>
      </w:r>
      <w:r w:rsidR="00FB73A4">
        <w:rPr>
          <w:szCs w:val="24"/>
        </w:rPr>
        <w:t xml:space="preserve">out of the </w:t>
      </w:r>
      <w:r w:rsidR="00380771">
        <w:rPr>
          <w:szCs w:val="24"/>
        </w:rPr>
        <w:t xml:space="preserve">five </w:t>
      </w:r>
      <w:r w:rsidR="008B2479">
        <w:rPr>
          <w:szCs w:val="24"/>
        </w:rPr>
        <w:t xml:space="preserve">key </w:t>
      </w:r>
      <w:r w:rsidR="00FB73A4">
        <w:rPr>
          <w:szCs w:val="24"/>
        </w:rPr>
        <w:t xml:space="preserve">indicators and </w:t>
      </w:r>
      <w:r w:rsidR="00380771">
        <w:rPr>
          <w:szCs w:val="24"/>
        </w:rPr>
        <w:t>seven</w:t>
      </w:r>
      <w:r w:rsidR="00FB73A4">
        <w:rPr>
          <w:szCs w:val="24"/>
        </w:rPr>
        <w:t xml:space="preserve"> out of the remaining</w:t>
      </w:r>
      <w:r w:rsidR="007D3EF0">
        <w:rPr>
          <w:szCs w:val="24"/>
        </w:rPr>
        <w:t xml:space="preserve"> </w:t>
      </w:r>
      <w:r w:rsidR="00380771">
        <w:rPr>
          <w:szCs w:val="24"/>
        </w:rPr>
        <w:t>nine</w:t>
      </w:r>
      <w:r w:rsidR="007D3EF0">
        <w:rPr>
          <w:szCs w:val="24"/>
        </w:rPr>
        <w:t xml:space="preserve"> </w:t>
      </w:r>
      <w:r w:rsidR="00FB73A4">
        <w:rPr>
          <w:szCs w:val="24"/>
        </w:rPr>
        <w:t>indicators</w:t>
      </w:r>
      <w:r w:rsidR="007D3EF0">
        <w:rPr>
          <w:szCs w:val="24"/>
        </w:rPr>
        <w:t xml:space="preserve">. Of the </w:t>
      </w:r>
      <w:r w:rsidR="006C4CE0">
        <w:rPr>
          <w:szCs w:val="24"/>
        </w:rPr>
        <w:t xml:space="preserve">three </w:t>
      </w:r>
      <w:r w:rsidR="00FB73A4">
        <w:rPr>
          <w:szCs w:val="24"/>
        </w:rPr>
        <w:t>indicators that were not achieved</w:t>
      </w:r>
      <w:r w:rsidR="007D3EF0">
        <w:rPr>
          <w:szCs w:val="24"/>
        </w:rPr>
        <w:t xml:space="preserve">, </w:t>
      </w:r>
      <w:r w:rsidR="006C4CE0">
        <w:rPr>
          <w:szCs w:val="24"/>
        </w:rPr>
        <w:t xml:space="preserve">one </w:t>
      </w:r>
      <w:r w:rsidR="000D1426">
        <w:rPr>
          <w:szCs w:val="24"/>
        </w:rPr>
        <w:t xml:space="preserve">achieved 95 percent of its target, </w:t>
      </w:r>
      <w:r w:rsidR="007D3EF0">
        <w:rPr>
          <w:szCs w:val="24"/>
        </w:rPr>
        <w:t xml:space="preserve">and two were </w:t>
      </w:r>
      <w:r w:rsidR="008204EF">
        <w:rPr>
          <w:szCs w:val="24"/>
        </w:rPr>
        <w:t>not measured due to pandemic control</w:t>
      </w:r>
      <w:r w:rsidR="007D3EF0">
        <w:rPr>
          <w:szCs w:val="24"/>
        </w:rPr>
        <w:t xml:space="preserve">. </w:t>
      </w:r>
    </w:p>
    <w:p w:rsidR="00355ECD" w:rsidRPr="00697E6B" w:rsidRDefault="00355ECD" w:rsidP="005F1CA3">
      <w:pPr>
        <w:pStyle w:val="HTMLPreformatted"/>
        <w:autoSpaceDE w:val="0"/>
        <w:autoSpaceDN w:val="0"/>
        <w:adjustRightInd w:val="0"/>
        <w:jc w:val="both"/>
        <w:rPr>
          <w:b/>
          <w:szCs w:val="24"/>
        </w:rPr>
      </w:pPr>
    </w:p>
    <w:p w:rsidR="0062792B" w:rsidRPr="009F0AC0" w:rsidRDefault="00C81294" w:rsidP="007D7999">
      <w:pPr>
        <w:pStyle w:val="HTMLPreformatted"/>
        <w:numPr>
          <w:ilvl w:val="0"/>
          <w:numId w:val="1"/>
        </w:numPr>
        <w:autoSpaceDE w:val="0"/>
        <w:autoSpaceDN w:val="0"/>
        <w:adjustRightInd w:val="0"/>
        <w:ind w:left="0" w:firstLine="0"/>
        <w:jc w:val="both"/>
        <w:rPr>
          <w:szCs w:val="24"/>
        </w:rPr>
      </w:pPr>
      <w:r w:rsidRPr="009D3A40">
        <w:rPr>
          <w:b/>
          <w:szCs w:val="24"/>
        </w:rPr>
        <w:t>The RBF mechanism facilitated</w:t>
      </w:r>
      <w:r w:rsidRPr="00455C32">
        <w:rPr>
          <w:b/>
          <w:szCs w:val="24"/>
        </w:rPr>
        <w:t xml:space="preserve"> relations between the </w:t>
      </w:r>
      <w:r w:rsidR="003B76BD">
        <w:rPr>
          <w:b/>
          <w:szCs w:val="24"/>
        </w:rPr>
        <w:t>MSN</w:t>
      </w:r>
      <w:r w:rsidR="003B76BD" w:rsidRPr="00455C32">
        <w:rPr>
          <w:b/>
          <w:szCs w:val="24"/>
        </w:rPr>
        <w:t xml:space="preserve"> </w:t>
      </w:r>
      <w:r w:rsidRPr="00455C32">
        <w:rPr>
          <w:b/>
          <w:szCs w:val="24"/>
        </w:rPr>
        <w:t>and the provinces and</w:t>
      </w:r>
      <w:r w:rsidR="00324FE2">
        <w:rPr>
          <w:b/>
          <w:szCs w:val="24"/>
        </w:rPr>
        <w:t xml:space="preserve"> </w:t>
      </w:r>
      <w:r w:rsidR="009D621E" w:rsidRPr="000E1EDB">
        <w:rPr>
          <w:b/>
        </w:rPr>
        <w:t xml:space="preserve">enhanced </w:t>
      </w:r>
      <w:r w:rsidR="00FB73A4">
        <w:rPr>
          <w:b/>
        </w:rPr>
        <w:t xml:space="preserve">performance </w:t>
      </w:r>
      <w:r w:rsidR="009D621E" w:rsidRPr="000E1EDB">
        <w:rPr>
          <w:b/>
        </w:rPr>
        <w:t>incentive</w:t>
      </w:r>
      <w:r w:rsidR="00FB73A4">
        <w:rPr>
          <w:b/>
        </w:rPr>
        <w:t>s</w:t>
      </w:r>
      <w:r w:rsidRPr="00455C32">
        <w:rPr>
          <w:b/>
          <w:szCs w:val="24"/>
        </w:rPr>
        <w:t>.</w:t>
      </w:r>
      <w:r w:rsidRPr="00455C32">
        <w:rPr>
          <w:szCs w:val="24"/>
        </w:rPr>
        <w:t xml:space="preserve"> The </w:t>
      </w:r>
      <w:r w:rsidR="00A06267">
        <w:rPr>
          <w:szCs w:val="24"/>
        </w:rPr>
        <w:t>RBF</w:t>
      </w:r>
      <w:r w:rsidRPr="00455C32">
        <w:rPr>
          <w:szCs w:val="24"/>
        </w:rPr>
        <w:t xml:space="preserve"> mechanism was initiated under </w:t>
      </w:r>
      <w:r w:rsidR="00D70046">
        <w:rPr>
          <w:szCs w:val="24"/>
        </w:rPr>
        <w:t xml:space="preserve">the </w:t>
      </w:r>
      <w:r w:rsidRPr="00455C32">
        <w:rPr>
          <w:szCs w:val="24"/>
        </w:rPr>
        <w:t xml:space="preserve">FESP </w:t>
      </w:r>
      <w:r w:rsidRPr="007D7999">
        <w:rPr>
          <w:rFonts w:cs="Times New Roman"/>
          <w:szCs w:val="24"/>
        </w:rPr>
        <w:t xml:space="preserve">and </w:t>
      </w:r>
      <w:r w:rsidR="007A396F" w:rsidRPr="007D7999">
        <w:rPr>
          <w:rFonts w:cs="Times New Roman"/>
          <w:szCs w:val="24"/>
        </w:rPr>
        <w:t>Provincial Maternal-Child Health Investment</w:t>
      </w:r>
      <w:r w:rsidR="007A396F">
        <w:rPr>
          <w:szCs w:val="24"/>
        </w:rPr>
        <w:t xml:space="preserve"> </w:t>
      </w:r>
      <w:r w:rsidR="007D7999">
        <w:rPr>
          <w:szCs w:val="24"/>
        </w:rPr>
        <w:t xml:space="preserve">projects </w:t>
      </w:r>
      <w:r w:rsidRPr="00455C32">
        <w:rPr>
          <w:szCs w:val="24"/>
        </w:rPr>
        <w:t xml:space="preserve">to improve the functioning of the health system via </w:t>
      </w:r>
      <w:r>
        <w:rPr>
          <w:szCs w:val="24"/>
        </w:rPr>
        <w:t xml:space="preserve">incremental </w:t>
      </w:r>
      <w:r w:rsidRPr="00455C32">
        <w:rPr>
          <w:szCs w:val="24"/>
        </w:rPr>
        <w:t xml:space="preserve">incentive-based payments. </w:t>
      </w:r>
      <w:r w:rsidR="008F3FC8" w:rsidRPr="00455C32">
        <w:rPr>
          <w:szCs w:val="24"/>
        </w:rPr>
        <w:t xml:space="preserve">Since the RBF mechanism provided funds above those earmarked in the provincial budget, </w:t>
      </w:r>
      <w:r w:rsidR="00BA04CB">
        <w:rPr>
          <w:szCs w:val="24"/>
        </w:rPr>
        <w:t>it generated</w:t>
      </w:r>
      <w:r w:rsidR="008F3FC8" w:rsidRPr="005E019D">
        <w:rPr>
          <w:szCs w:val="24"/>
        </w:rPr>
        <w:t xml:space="preserve"> an extra incentive </w:t>
      </w:r>
      <w:r w:rsidR="005B73BB">
        <w:rPr>
          <w:szCs w:val="24"/>
        </w:rPr>
        <w:t>for provincial and central government to</w:t>
      </w:r>
      <w:r w:rsidR="008F3FC8" w:rsidRPr="005E019D">
        <w:rPr>
          <w:szCs w:val="24"/>
        </w:rPr>
        <w:t xml:space="preserve"> comply with Project requirements</w:t>
      </w:r>
      <w:r w:rsidR="005B73BB">
        <w:rPr>
          <w:szCs w:val="24"/>
        </w:rPr>
        <w:t>.</w:t>
      </w:r>
      <w:r w:rsidR="008F3FC8" w:rsidRPr="005E019D">
        <w:rPr>
          <w:szCs w:val="24"/>
        </w:rPr>
        <w:t xml:space="preserve"> </w:t>
      </w:r>
      <w:r w:rsidR="008B2479">
        <w:rPr>
          <w:szCs w:val="24"/>
        </w:rPr>
        <w:t>Nine</w:t>
      </w:r>
      <w:r w:rsidR="008B2479" w:rsidRPr="000E1EDB">
        <w:rPr>
          <w:szCs w:val="24"/>
        </w:rPr>
        <w:t xml:space="preserve"> </w:t>
      </w:r>
      <w:r w:rsidR="007A396F" w:rsidRPr="000E1EDB">
        <w:rPr>
          <w:szCs w:val="24"/>
        </w:rPr>
        <w:t xml:space="preserve">of the 14 </w:t>
      </w:r>
      <w:r w:rsidR="00597D7F">
        <w:rPr>
          <w:szCs w:val="24"/>
        </w:rPr>
        <w:t>indicators</w:t>
      </w:r>
      <w:r w:rsidR="00597D7F" w:rsidRPr="000E1EDB">
        <w:rPr>
          <w:szCs w:val="24"/>
        </w:rPr>
        <w:t xml:space="preserve"> </w:t>
      </w:r>
      <w:r w:rsidR="00597D7F">
        <w:rPr>
          <w:szCs w:val="24"/>
        </w:rPr>
        <w:t xml:space="preserve">operated as </w:t>
      </w:r>
      <w:r w:rsidR="000E1EDB">
        <w:rPr>
          <w:szCs w:val="24"/>
        </w:rPr>
        <w:t>result-based</w:t>
      </w:r>
      <w:r w:rsidR="00597D7F">
        <w:rPr>
          <w:szCs w:val="24"/>
        </w:rPr>
        <w:t xml:space="preserve"> indicators</w:t>
      </w:r>
      <w:r w:rsidR="007A396F" w:rsidRPr="000E1EDB">
        <w:rPr>
          <w:szCs w:val="24"/>
        </w:rPr>
        <w:t xml:space="preserve"> receiv</w:t>
      </w:r>
      <w:r w:rsidR="00597D7F">
        <w:rPr>
          <w:szCs w:val="24"/>
        </w:rPr>
        <w:t>ing</w:t>
      </w:r>
      <w:r w:rsidR="007A396F" w:rsidRPr="000E1EDB">
        <w:rPr>
          <w:szCs w:val="24"/>
        </w:rPr>
        <w:t xml:space="preserve"> disbursement</w:t>
      </w:r>
      <w:r w:rsidR="00597D7F">
        <w:rPr>
          <w:szCs w:val="24"/>
        </w:rPr>
        <w:t>s</w:t>
      </w:r>
      <w:r w:rsidR="007A396F" w:rsidRPr="000E1EDB">
        <w:rPr>
          <w:szCs w:val="24"/>
        </w:rPr>
        <w:t xml:space="preserve"> once the results were achieved and certified</w:t>
      </w:r>
      <w:r w:rsidR="00A471CD">
        <w:rPr>
          <w:szCs w:val="24"/>
        </w:rPr>
        <w:t xml:space="preserve"> by an </w:t>
      </w:r>
      <w:r w:rsidR="00A471CD" w:rsidRPr="003E2359">
        <w:t xml:space="preserve">Independent Technical Audit </w:t>
      </w:r>
      <w:r w:rsidR="00A471CD" w:rsidRPr="003E2359">
        <w:rPr>
          <w:i/>
        </w:rPr>
        <w:t>(Auditoria</w:t>
      </w:r>
      <w:r w:rsidR="00A471CD" w:rsidRPr="0063364B">
        <w:rPr>
          <w:i/>
        </w:rPr>
        <w:t xml:space="preserve"> Técnica Independiente</w:t>
      </w:r>
      <w:r w:rsidR="00A471CD" w:rsidRPr="003E2359">
        <w:t>)</w:t>
      </w:r>
      <w:r w:rsidR="007A396F" w:rsidRPr="000E1EDB">
        <w:rPr>
          <w:szCs w:val="24"/>
        </w:rPr>
        <w:t xml:space="preserve">.  </w:t>
      </w:r>
    </w:p>
    <w:p w:rsidR="0062792B" w:rsidRPr="00597D7F" w:rsidRDefault="0062792B" w:rsidP="0062792B">
      <w:pPr>
        <w:pStyle w:val="ListParagraph"/>
      </w:pPr>
    </w:p>
    <w:p w:rsidR="00697E6B" w:rsidRPr="00597D7F" w:rsidRDefault="008139BA" w:rsidP="000E1EDB">
      <w:pPr>
        <w:pStyle w:val="HTMLPreformatted"/>
        <w:numPr>
          <w:ilvl w:val="0"/>
          <w:numId w:val="1"/>
        </w:numPr>
        <w:autoSpaceDE w:val="0"/>
        <w:autoSpaceDN w:val="0"/>
        <w:adjustRightInd w:val="0"/>
        <w:ind w:left="0" w:firstLine="0"/>
        <w:jc w:val="both"/>
        <w:rPr>
          <w:szCs w:val="24"/>
        </w:rPr>
      </w:pPr>
      <w:r w:rsidRPr="000E1EDB">
        <w:rPr>
          <w:b/>
          <w:szCs w:val="24"/>
        </w:rPr>
        <w:t xml:space="preserve">Project implementation benefitted from existing </w:t>
      </w:r>
      <w:r w:rsidR="00AC14AA" w:rsidRPr="000E1EDB">
        <w:rPr>
          <w:b/>
          <w:szCs w:val="24"/>
        </w:rPr>
        <w:t xml:space="preserve">World </w:t>
      </w:r>
      <w:r w:rsidRPr="000E1EDB">
        <w:rPr>
          <w:b/>
          <w:szCs w:val="24"/>
        </w:rPr>
        <w:t>Bank</w:t>
      </w:r>
      <w:r w:rsidR="00D70046">
        <w:rPr>
          <w:b/>
          <w:szCs w:val="24"/>
        </w:rPr>
        <w:t>-financed</w:t>
      </w:r>
      <w:r w:rsidRPr="000E1EDB">
        <w:rPr>
          <w:b/>
          <w:szCs w:val="24"/>
        </w:rPr>
        <w:t xml:space="preserve"> health sector </w:t>
      </w:r>
      <w:r w:rsidR="00DA6C3B">
        <w:rPr>
          <w:b/>
          <w:szCs w:val="24"/>
        </w:rPr>
        <w:t>p</w:t>
      </w:r>
      <w:r w:rsidR="00DA6C3B" w:rsidRPr="000E1EDB">
        <w:rPr>
          <w:b/>
          <w:szCs w:val="24"/>
        </w:rPr>
        <w:t xml:space="preserve">rojects </w:t>
      </w:r>
      <w:r w:rsidR="00C81294" w:rsidRPr="000E1EDB">
        <w:rPr>
          <w:b/>
          <w:szCs w:val="24"/>
        </w:rPr>
        <w:t>and was execute</w:t>
      </w:r>
      <w:r w:rsidR="007D7999" w:rsidRPr="000E1EDB">
        <w:rPr>
          <w:b/>
          <w:szCs w:val="24"/>
        </w:rPr>
        <w:t>d</w:t>
      </w:r>
      <w:r w:rsidR="00C81294" w:rsidRPr="000E1EDB">
        <w:rPr>
          <w:b/>
          <w:szCs w:val="24"/>
        </w:rPr>
        <w:t xml:space="preserve"> using existing structures</w:t>
      </w:r>
      <w:r w:rsidRPr="000E1EDB">
        <w:rPr>
          <w:b/>
          <w:szCs w:val="24"/>
        </w:rPr>
        <w:t>.</w:t>
      </w:r>
      <w:r w:rsidRPr="00597D7F">
        <w:rPr>
          <w:szCs w:val="24"/>
        </w:rPr>
        <w:t xml:space="preserve"> </w:t>
      </w:r>
      <w:r w:rsidR="00C81294" w:rsidRPr="00597D7F">
        <w:rPr>
          <w:szCs w:val="24"/>
        </w:rPr>
        <w:t xml:space="preserve">The Project was implemented by the MSN with the International Health Financing Unit </w:t>
      </w:r>
      <w:r w:rsidR="00C81294" w:rsidRPr="0063364B">
        <w:rPr>
          <w:szCs w:val="24"/>
        </w:rPr>
        <w:t>(</w:t>
      </w:r>
      <w:r w:rsidR="00C81294" w:rsidRPr="0063364B">
        <w:rPr>
          <w:i/>
          <w:szCs w:val="24"/>
        </w:rPr>
        <w:t>Unidad</w:t>
      </w:r>
      <w:r w:rsidR="00C81294" w:rsidRPr="00E23152">
        <w:rPr>
          <w:i/>
          <w:szCs w:val="24"/>
        </w:rPr>
        <w:t xml:space="preserve"> de</w:t>
      </w:r>
      <w:r w:rsidR="00C81294" w:rsidRPr="0063364B">
        <w:rPr>
          <w:i/>
          <w:szCs w:val="24"/>
        </w:rPr>
        <w:t xml:space="preserve"> Financiamiento Internacional</w:t>
      </w:r>
      <w:r w:rsidR="00C81294" w:rsidRPr="00E23152">
        <w:rPr>
          <w:i/>
          <w:szCs w:val="24"/>
        </w:rPr>
        <w:t xml:space="preserve"> de Salud --</w:t>
      </w:r>
      <w:r w:rsidR="00C81294" w:rsidRPr="0001160D">
        <w:rPr>
          <w:szCs w:val="24"/>
        </w:rPr>
        <w:t xml:space="preserve"> UFI-S) serving as coordinator of Project activities. </w:t>
      </w:r>
      <w:r w:rsidRPr="0001160D">
        <w:rPr>
          <w:szCs w:val="24"/>
        </w:rPr>
        <w:t>The sign</w:t>
      </w:r>
      <w:r w:rsidR="002F7498">
        <w:rPr>
          <w:szCs w:val="24"/>
        </w:rPr>
        <w:t>ing</w:t>
      </w:r>
      <w:r w:rsidRPr="0001160D">
        <w:rPr>
          <w:szCs w:val="24"/>
        </w:rPr>
        <w:t xml:space="preserve"> </w:t>
      </w:r>
      <w:r w:rsidR="002F7498">
        <w:rPr>
          <w:szCs w:val="24"/>
        </w:rPr>
        <w:t xml:space="preserve">of </w:t>
      </w:r>
      <w:r w:rsidR="004114D9" w:rsidRPr="0001160D">
        <w:rPr>
          <w:szCs w:val="24"/>
        </w:rPr>
        <w:t>Performance</w:t>
      </w:r>
      <w:r w:rsidR="00951A31" w:rsidRPr="0001160D">
        <w:rPr>
          <w:szCs w:val="24"/>
        </w:rPr>
        <w:t xml:space="preserve"> Agreem</w:t>
      </w:r>
      <w:r w:rsidR="00951A31" w:rsidRPr="00E02580">
        <w:rPr>
          <w:szCs w:val="24"/>
        </w:rPr>
        <w:t xml:space="preserve">ents </w:t>
      </w:r>
      <w:r w:rsidR="00951A31" w:rsidRPr="00C37A57">
        <w:rPr>
          <w:szCs w:val="24"/>
        </w:rPr>
        <w:t>form</w:t>
      </w:r>
      <w:r w:rsidRPr="00EC5E7F">
        <w:rPr>
          <w:szCs w:val="24"/>
        </w:rPr>
        <w:t>aliz</w:t>
      </w:r>
      <w:r w:rsidR="002F7498">
        <w:rPr>
          <w:szCs w:val="24"/>
        </w:rPr>
        <w:t>ed</w:t>
      </w:r>
      <w:r w:rsidRPr="00EC5E7F">
        <w:rPr>
          <w:szCs w:val="24"/>
        </w:rPr>
        <w:t xml:space="preserve"> the </w:t>
      </w:r>
      <w:r w:rsidR="004114D9" w:rsidRPr="00312D06">
        <w:rPr>
          <w:szCs w:val="24"/>
        </w:rPr>
        <w:t>engagement</w:t>
      </w:r>
      <w:r w:rsidRPr="00312D06">
        <w:rPr>
          <w:szCs w:val="24"/>
        </w:rPr>
        <w:t xml:space="preserve"> between the MSN and </w:t>
      </w:r>
      <w:r w:rsidR="00C76233">
        <w:rPr>
          <w:szCs w:val="24"/>
        </w:rPr>
        <w:t>23</w:t>
      </w:r>
      <w:r w:rsidR="00C76233" w:rsidRPr="00312D06">
        <w:rPr>
          <w:szCs w:val="24"/>
        </w:rPr>
        <w:t xml:space="preserve"> </w:t>
      </w:r>
      <w:r w:rsidRPr="00312D06">
        <w:rPr>
          <w:szCs w:val="24"/>
        </w:rPr>
        <w:t xml:space="preserve">provincial governments for </w:t>
      </w:r>
      <w:r w:rsidR="0062792B" w:rsidRPr="00312D06">
        <w:rPr>
          <w:szCs w:val="24"/>
        </w:rPr>
        <w:t xml:space="preserve">A/H1N1 </w:t>
      </w:r>
      <w:r w:rsidRPr="00312D06">
        <w:rPr>
          <w:szCs w:val="24"/>
        </w:rPr>
        <w:t xml:space="preserve">Project implementation. </w:t>
      </w:r>
      <w:r w:rsidR="0062792B" w:rsidRPr="00312D06">
        <w:rPr>
          <w:szCs w:val="24"/>
        </w:rPr>
        <w:t>Implementation was facilitated by the use of FESP</w:t>
      </w:r>
      <w:r w:rsidR="005E579A" w:rsidRPr="00312D06">
        <w:rPr>
          <w:szCs w:val="24"/>
        </w:rPr>
        <w:t>’</w:t>
      </w:r>
      <w:r w:rsidR="0062792B" w:rsidRPr="00352118">
        <w:rPr>
          <w:szCs w:val="24"/>
        </w:rPr>
        <w:t xml:space="preserve">s </w:t>
      </w:r>
      <w:r w:rsidR="00BA04CB" w:rsidRPr="00F9579D">
        <w:rPr>
          <w:szCs w:val="24"/>
        </w:rPr>
        <w:t xml:space="preserve">existing social and environmental safeguard </w:t>
      </w:r>
      <w:r w:rsidR="0062792B" w:rsidRPr="00F9579D">
        <w:rPr>
          <w:szCs w:val="24"/>
        </w:rPr>
        <w:t>mechanisms</w:t>
      </w:r>
      <w:r w:rsidR="009D621E" w:rsidRPr="00FE00C8">
        <w:rPr>
          <w:szCs w:val="24"/>
        </w:rPr>
        <w:t>.</w:t>
      </w:r>
      <w:r w:rsidR="009D621E" w:rsidRPr="00885E5F" w:rsidDel="009D621E">
        <w:rPr>
          <w:szCs w:val="24"/>
        </w:rPr>
        <w:t xml:space="preserve"> </w:t>
      </w:r>
    </w:p>
    <w:p w:rsidR="009D621E" w:rsidRPr="00697E6B" w:rsidRDefault="009D621E" w:rsidP="00342EDF">
      <w:pPr>
        <w:pStyle w:val="Heading3"/>
        <w:spacing w:before="0" w:beforeAutospacing="0"/>
        <w:jc w:val="both"/>
        <w:rPr>
          <w:b w:val="0"/>
          <w:sz w:val="24"/>
          <w:szCs w:val="24"/>
        </w:rPr>
      </w:pPr>
    </w:p>
    <w:p w:rsidR="004627B6" w:rsidRDefault="005C6F3C" w:rsidP="005C6F3C">
      <w:pPr>
        <w:pStyle w:val="HTMLPreformatted"/>
        <w:numPr>
          <w:ilvl w:val="0"/>
          <w:numId w:val="1"/>
        </w:numPr>
        <w:autoSpaceDE w:val="0"/>
        <w:autoSpaceDN w:val="0"/>
        <w:adjustRightInd w:val="0"/>
        <w:ind w:left="0" w:firstLine="0"/>
        <w:jc w:val="both"/>
      </w:pPr>
      <w:r w:rsidRPr="00341A26">
        <w:rPr>
          <w:b/>
        </w:rPr>
        <w:t xml:space="preserve">Problems in </w:t>
      </w:r>
      <w:r w:rsidR="008F3FC8">
        <w:rPr>
          <w:b/>
        </w:rPr>
        <w:t>u</w:t>
      </w:r>
      <w:r w:rsidRPr="00341A26">
        <w:rPr>
          <w:b/>
        </w:rPr>
        <w:t xml:space="preserve">tilizing </w:t>
      </w:r>
      <w:r w:rsidR="008F3FC8">
        <w:rPr>
          <w:b/>
        </w:rPr>
        <w:t>r</w:t>
      </w:r>
      <w:r w:rsidRPr="00341A26">
        <w:rPr>
          <w:b/>
        </w:rPr>
        <w:t xml:space="preserve">etroactive </w:t>
      </w:r>
      <w:r w:rsidR="008F3FC8">
        <w:rPr>
          <w:b/>
        </w:rPr>
        <w:t>f</w:t>
      </w:r>
      <w:r w:rsidRPr="00341A26">
        <w:rPr>
          <w:b/>
        </w:rPr>
        <w:t>inanc</w:t>
      </w:r>
      <w:r>
        <w:rPr>
          <w:b/>
        </w:rPr>
        <w:t>ing</w:t>
      </w:r>
      <w:r w:rsidRPr="00341A26">
        <w:rPr>
          <w:b/>
        </w:rPr>
        <w:t xml:space="preserve"> </w:t>
      </w:r>
      <w:r w:rsidR="007D7999">
        <w:rPr>
          <w:b/>
        </w:rPr>
        <w:t>prevented</w:t>
      </w:r>
      <w:r w:rsidRPr="00341A26">
        <w:rPr>
          <w:b/>
        </w:rPr>
        <w:t xml:space="preserve"> </w:t>
      </w:r>
      <w:r>
        <w:rPr>
          <w:b/>
        </w:rPr>
        <w:t xml:space="preserve">the GOA </w:t>
      </w:r>
      <w:r w:rsidR="008F3FC8">
        <w:rPr>
          <w:b/>
        </w:rPr>
        <w:t>from</w:t>
      </w:r>
      <w:r w:rsidR="008F3FC8" w:rsidRPr="00341A26">
        <w:rPr>
          <w:b/>
        </w:rPr>
        <w:t xml:space="preserve"> </w:t>
      </w:r>
      <w:r w:rsidRPr="00341A26">
        <w:rPr>
          <w:b/>
        </w:rPr>
        <w:t>tak</w:t>
      </w:r>
      <w:r w:rsidR="008F3FC8">
        <w:rPr>
          <w:b/>
        </w:rPr>
        <w:t>ing</w:t>
      </w:r>
      <w:r w:rsidRPr="00341A26">
        <w:rPr>
          <w:b/>
        </w:rPr>
        <w:t xml:space="preserve"> advantage of the emergency instrument.</w:t>
      </w:r>
      <w:r>
        <w:rPr>
          <w:b/>
          <w:i/>
        </w:rPr>
        <w:t xml:space="preserve"> </w:t>
      </w:r>
      <w:r>
        <w:t xml:space="preserve">In line with OP/BP 8.00, the Loan had provisions to reimburse the GOA for up to 40 percent of the loan amount (US$91.6 million) for eligible expenditures incurred since the outbreak of the </w:t>
      </w:r>
      <w:r w:rsidR="00947DD5">
        <w:t xml:space="preserve">2009 </w:t>
      </w:r>
      <w:r>
        <w:t xml:space="preserve">A/H1N1 influenza virus, as long as after April 30, 2009, under expedited World Bank procurement procedures. The GOA obtained the first disbursement, an advance of US$90 million, on April 26 2011, 12 days after Project effectiveness. Nevertheless, the </w:t>
      </w:r>
      <w:r w:rsidR="000E1EDB">
        <w:t xml:space="preserve">World </w:t>
      </w:r>
      <w:r w:rsidR="005E019D">
        <w:t>Bank did not authorize t</w:t>
      </w:r>
      <w:r w:rsidR="008204EF">
        <w:t>he</w:t>
      </w:r>
      <w:r w:rsidR="005E019D">
        <w:t xml:space="preserve"> use </w:t>
      </w:r>
      <w:r w:rsidR="008204EF">
        <w:t xml:space="preserve">of </w:t>
      </w:r>
      <w:r w:rsidR="005E019D">
        <w:t>Project</w:t>
      </w:r>
      <w:r>
        <w:t xml:space="preserve"> funds to </w:t>
      </w:r>
      <w:r w:rsidR="009F0AC0">
        <w:t>retro-</w:t>
      </w:r>
      <w:r>
        <w:t xml:space="preserve">finance the vaccines </w:t>
      </w:r>
      <w:r w:rsidR="008204EF">
        <w:t xml:space="preserve">purchased </w:t>
      </w:r>
      <w:r>
        <w:t xml:space="preserve">prior to Loan Agreement </w:t>
      </w:r>
      <w:r w:rsidR="008204EF">
        <w:t xml:space="preserve">signing </w:t>
      </w:r>
      <w:r>
        <w:t xml:space="preserve">(See Section 2.4 Procurement).  </w:t>
      </w:r>
    </w:p>
    <w:p w:rsidR="004627B6" w:rsidRDefault="004627B6" w:rsidP="008724DD">
      <w:pPr>
        <w:jc w:val="both"/>
      </w:pPr>
    </w:p>
    <w:p w:rsidR="009879F0" w:rsidRPr="006D1E96" w:rsidRDefault="00ED6A61" w:rsidP="006674D9">
      <w:pPr>
        <w:pStyle w:val="HTMLPreformatted"/>
        <w:numPr>
          <w:ilvl w:val="0"/>
          <w:numId w:val="1"/>
        </w:numPr>
        <w:autoSpaceDE w:val="0"/>
        <w:autoSpaceDN w:val="0"/>
        <w:adjustRightInd w:val="0"/>
        <w:ind w:left="0" w:firstLine="0"/>
        <w:jc w:val="both"/>
      </w:pPr>
      <w:r w:rsidRPr="006D1E96">
        <w:rPr>
          <w:b/>
        </w:rPr>
        <w:t xml:space="preserve">The GOA </w:t>
      </w:r>
      <w:r w:rsidR="004627B6" w:rsidRPr="006D1E96">
        <w:rPr>
          <w:b/>
        </w:rPr>
        <w:t xml:space="preserve">successfully </w:t>
      </w:r>
      <w:r w:rsidRPr="006D1E96">
        <w:rPr>
          <w:b/>
        </w:rPr>
        <w:t>realign</w:t>
      </w:r>
      <w:r w:rsidR="004627B6" w:rsidRPr="006D1E96">
        <w:rPr>
          <w:b/>
        </w:rPr>
        <w:t>ed</w:t>
      </w:r>
      <w:r w:rsidR="00276394" w:rsidRPr="006D1E96">
        <w:rPr>
          <w:b/>
        </w:rPr>
        <w:t xml:space="preserve"> the </w:t>
      </w:r>
      <w:r w:rsidR="002E2797" w:rsidRPr="006D1E96">
        <w:rPr>
          <w:b/>
        </w:rPr>
        <w:t xml:space="preserve">Project </w:t>
      </w:r>
      <w:r w:rsidR="004627B6" w:rsidRPr="006D1E96">
        <w:rPr>
          <w:b/>
        </w:rPr>
        <w:t>focus</w:t>
      </w:r>
      <w:r w:rsidR="00276394" w:rsidRPr="006D1E96">
        <w:rPr>
          <w:b/>
        </w:rPr>
        <w:t>.</w:t>
      </w:r>
      <w:r w:rsidR="00276394">
        <w:t xml:space="preserve"> </w:t>
      </w:r>
      <w:r w:rsidR="002E2797">
        <w:t>With the</w:t>
      </w:r>
      <w:r w:rsidR="004E1F02">
        <w:t xml:space="preserve"> </w:t>
      </w:r>
      <w:r w:rsidR="002E2797">
        <w:t xml:space="preserve">denial of </w:t>
      </w:r>
      <w:r w:rsidR="004E1F02">
        <w:t xml:space="preserve">retroactive financing </w:t>
      </w:r>
      <w:r w:rsidR="002E2797">
        <w:t xml:space="preserve">for the purchased vaccines </w:t>
      </w:r>
      <w:r w:rsidR="004E1F02">
        <w:t xml:space="preserve">(that represented such a large </w:t>
      </w:r>
      <w:r w:rsidR="002E2797">
        <w:t>loan allocation</w:t>
      </w:r>
      <w:r w:rsidR="004E1F02">
        <w:t xml:space="preserve">), the </w:t>
      </w:r>
      <w:r w:rsidR="00947DD5">
        <w:t xml:space="preserve">GOA </w:t>
      </w:r>
      <w:r w:rsidR="004E1F02">
        <w:t xml:space="preserve">and the </w:t>
      </w:r>
      <w:r w:rsidR="00B86F29">
        <w:t xml:space="preserve">World </w:t>
      </w:r>
      <w:r w:rsidR="004E1F02">
        <w:t xml:space="preserve">Bank </w:t>
      </w:r>
      <w:r w:rsidR="002E2797">
        <w:t>evaluated</w:t>
      </w:r>
      <w:r w:rsidR="004E1F02">
        <w:t xml:space="preserve"> </w:t>
      </w:r>
      <w:r w:rsidR="002E2797">
        <w:t xml:space="preserve">options for </w:t>
      </w:r>
      <w:r w:rsidR="006B7B1E">
        <w:t xml:space="preserve">Project </w:t>
      </w:r>
      <w:r w:rsidR="004114D9">
        <w:t>adjustments</w:t>
      </w:r>
      <w:r w:rsidR="00E35608">
        <w:t>.</w:t>
      </w:r>
      <w:r w:rsidR="004E1F02" w:rsidRPr="004E1F02">
        <w:t xml:space="preserve"> </w:t>
      </w:r>
      <w:r w:rsidR="002E2797">
        <w:t xml:space="preserve">As a result, </w:t>
      </w:r>
      <w:r w:rsidR="009D3A40">
        <w:t xml:space="preserve">in addition to the cancellation of US$88 million, </w:t>
      </w:r>
      <w:r w:rsidR="004E1F02" w:rsidRPr="004E1F02">
        <w:t xml:space="preserve">Project </w:t>
      </w:r>
      <w:r w:rsidR="006D1E96">
        <w:t xml:space="preserve">activities were </w:t>
      </w:r>
      <w:r w:rsidR="00CF1492">
        <w:t>revised</w:t>
      </w:r>
      <w:r w:rsidR="006D1E96">
        <w:t>,</w:t>
      </w:r>
      <w:r w:rsidR="009D3A40" w:rsidRPr="004E1F02">
        <w:t xml:space="preserve"> </w:t>
      </w:r>
      <w:r w:rsidR="00A63717">
        <w:t xml:space="preserve">and </w:t>
      </w:r>
      <w:r w:rsidR="00D70046">
        <w:t xml:space="preserve">the </w:t>
      </w:r>
      <w:r w:rsidR="00D70046" w:rsidRPr="006D1E96">
        <w:t>public health intelligence system</w:t>
      </w:r>
      <w:r w:rsidR="00D70046">
        <w:t xml:space="preserve"> and the</w:t>
      </w:r>
      <w:r w:rsidR="00D70046" w:rsidRPr="006D1E96">
        <w:t xml:space="preserve"> </w:t>
      </w:r>
      <w:r w:rsidR="006D1E96">
        <w:t xml:space="preserve">health </w:t>
      </w:r>
      <w:r w:rsidR="009D3A40" w:rsidRPr="006D1E96">
        <w:t>network</w:t>
      </w:r>
      <w:r w:rsidR="00D70046">
        <w:t xml:space="preserve"> were</w:t>
      </w:r>
      <w:r w:rsidR="009D3A40" w:rsidRPr="006D1E96">
        <w:t xml:space="preserve"> </w:t>
      </w:r>
      <w:r w:rsidR="00A90923" w:rsidRPr="006D1E96">
        <w:t>stren</w:t>
      </w:r>
      <w:r w:rsidR="004E1F02" w:rsidRPr="006D1E96">
        <w:t>g</w:t>
      </w:r>
      <w:r w:rsidR="00A90923" w:rsidRPr="006D1E96">
        <w:t>then</w:t>
      </w:r>
      <w:r w:rsidR="00597D7F" w:rsidRPr="006D1E96">
        <w:t>ed</w:t>
      </w:r>
      <w:r w:rsidR="005D159F" w:rsidRPr="006D1E96">
        <w:t xml:space="preserve"> </w:t>
      </w:r>
      <w:r w:rsidR="00597D7F" w:rsidRPr="006D1E96">
        <w:t xml:space="preserve">through the </w:t>
      </w:r>
      <w:r w:rsidR="005D159F" w:rsidRPr="006D1E96">
        <w:t>upgrading</w:t>
      </w:r>
      <w:r w:rsidR="00597D7F" w:rsidRPr="006D1E96">
        <w:t xml:space="preserve"> </w:t>
      </w:r>
      <w:r w:rsidR="00D70046" w:rsidRPr="006D1E96">
        <w:t>of equipment</w:t>
      </w:r>
      <w:r w:rsidR="006D1E96" w:rsidRPr="006D1E96">
        <w:t xml:space="preserve"> and </w:t>
      </w:r>
      <w:r w:rsidR="00111BD6" w:rsidRPr="006D1E96">
        <w:t>mobile and</w:t>
      </w:r>
      <w:r w:rsidR="006D1E96" w:rsidRPr="006D1E96">
        <w:t xml:space="preserve"> urgency system</w:t>
      </w:r>
      <w:r w:rsidR="00D70046">
        <w:t>s.</w:t>
      </w:r>
      <w:r w:rsidR="006D1E96" w:rsidRPr="006D1E96">
        <w:t xml:space="preserve"> </w:t>
      </w:r>
      <w:r w:rsidR="00875EF5" w:rsidRPr="006D1E96">
        <w:t xml:space="preserve"> </w:t>
      </w:r>
    </w:p>
    <w:p w:rsidR="006D1E96" w:rsidRDefault="006D1E96" w:rsidP="006D1E96">
      <w:pPr>
        <w:pStyle w:val="HTMLPreformatted"/>
        <w:autoSpaceDE w:val="0"/>
        <w:autoSpaceDN w:val="0"/>
        <w:adjustRightInd w:val="0"/>
        <w:jc w:val="both"/>
        <w:rPr>
          <w:rFonts w:cs="Times New Roman"/>
          <w:b/>
        </w:rPr>
      </w:pPr>
    </w:p>
    <w:p w:rsidR="00185AA8" w:rsidRDefault="00185AA8" w:rsidP="006D1E96">
      <w:pPr>
        <w:pStyle w:val="HTMLPreformatted"/>
        <w:autoSpaceDE w:val="0"/>
        <w:autoSpaceDN w:val="0"/>
        <w:adjustRightInd w:val="0"/>
        <w:jc w:val="both"/>
        <w:rPr>
          <w:rFonts w:cs="Times New Roman"/>
          <w:b/>
        </w:rPr>
      </w:pPr>
    </w:p>
    <w:p w:rsidR="00185AA8" w:rsidRDefault="00185AA8" w:rsidP="006D1E96">
      <w:pPr>
        <w:pStyle w:val="HTMLPreformatted"/>
        <w:autoSpaceDE w:val="0"/>
        <w:autoSpaceDN w:val="0"/>
        <w:adjustRightInd w:val="0"/>
        <w:jc w:val="both"/>
        <w:rPr>
          <w:rFonts w:cs="Times New Roman"/>
          <w:b/>
        </w:rPr>
      </w:pPr>
    </w:p>
    <w:p w:rsidR="00185AA8" w:rsidRPr="006D1E96" w:rsidRDefault="00185AA8" w:rsidP="006D1E96">
      <w:pPr>
        <w:pStyle w:val="HTMLPreformatted"/>
        <w:autoSpaceDE w:val="0"/>
        <w:autoSpaceDN w:val="0"/>
        <w:adjustRightInd w:val="0"/>
        <w:jc w:val="both"/>
        <w:rPr>
          <w:rFonts w:cs="Times New Roman"/>
          <w:b/>
        </w:rPr>
      </w:pPr>
    </w:p>
    <w:p w:rsidR="00314487" w:rsidRPr="00816C1F" w:rsidRDefault="00C67D43" w:rsidP="00AE21C0">
      <w:pPr>
        <w:pStyle w:val="Heading3"/>
        <w:spacing w:before="0" w:beforeAutospacing="0"/>
        <w:jc w:val="both"/>
        <w:rPr>
          <w:sz w:val="24"/>
          <w:szCs w:val="24"/>
        </w:rPr>
      </w:pPr>
      <w:r w:rsidRPr="00816C1F">
        <w:rPr>
          <w:sz w:val="24"/>
          <w:szCs w:val="24"/>
        </w:rPr>
        <w:lastRenderedPageBreak/>
        <w:t>2.3 Monitoring and Evaluation (M&amp;E) Design, Implementation and Utilization</w:t>
      </w:r>
      <w:r w:rsidR="00314487" w:rsidRPr="00816C1F">
        <w:rPr>
          <w:sz w:val="24"/>
          <w:szCs w:val="24"/>
        </w:rPr>
        <w:t xml:space="preserve"> </w:t>
      </w:r>
    </w:p>
    <w:p w:rsidR="00734A4A" w:rsidRPr="00816C1F" w:rsidRDefault="00734A4A" w:rsidP="003262E3">
      <w:pPr>
        <w:autoSpaceDE w:val="0"/>
        <w:autoSpaceDN w:val="0"/>
        <w:adjustRightInd w:val="0"/>
        <w:jc w:val="both"/>
      </w:pPr>
      <w:bookmarkStart w:id="136" w:name="SEC73"/>
      <w:bookmarkEnd w:id="136"/>
    </w:p>
    <w:p w:rsidR="009A55B7" w:rsidRPr="008B5F1A" w:rsidRDefault="00E41CF2" w:rsidP="00305FBA">
      <w:pPr>
        <w:pStyle w:val="HTMLPreformatted"/>
        <w:numPr>
          <w:ilvl w:val="0"/>
          <w:numId w:val="1"/>
        </w:numPr>
        <w:autoSpaceDE w:val="0"/>
        <w:autoSpaceDN w:val="0"/>
        <w:adjustRightInd w:val="0"/>
        <w:ind w:left="0" w:firstLine="0"/>
        <w:jc w:val="both"/>
      </w:pPr>
      <w:r>
        <w:rPr>
          <w:b/>
        </w:rPr>
        <w:t>D</w:t>
      </w:r>
      <w:r w:rsidR="007D1151" w:rsidRPr="00455C32">
        <w:rPr>
          <w:b/>
        </w:rPr>
        <w:t xml:space="preserve">esign </w:t>
      </w:r>
      <w:r>
        <w:rPr>
          <w:b/>
        </w:rPr>
        <w:t>of the M</w:t>
      </w:r>
      <w:r w:rsidR="007D1151" w:rsidRPr="00455C32">
        <w:rPr>
          <w:b/>
        </w:rPr>
        <w:t xml:space="preserve">&amp;E </w:t>
      </w:r>
      <w:r w:rsidR="00B5734A">
        <w:rPr>
          <w:b/>
        </w:rPr>
        <w:t>framework</w:t>
      </w:r>
      <w:r w:rsidR="00B5734A" w:rsidRPr="00455C32">
        <w:rPr>
          <w:b/>
        </w:rPr>
        <w:t xml:space="preserve"> </w:t>
      </w:r>
      <w:r>
        <w:rPr>
          <w:b/>
        </w:rPr>
        <w:t xml:space="preserve">was appropriate </w:t>
      </w:r>
      <w:r w:rsidR="00220503">
        <w:rPr>
          <w:b/>
        </w:rPr>
        <w:t xml:space="preserve">considering </w:t>
      </w:r>
      <w:r>
        <w:rPr>
          <w:b/>
        </w:rPr>
        <w:t xml:space="preserve">the </w:t>
      </w:r>
      <w:r w:rsidR="00220503">
        <w:rPr>
          <w:b/>
        </w:rPr>
        <w:t>relevance and quality of indicators</w:t>
      </w:r>
      <w:r w:rsidR="00360CD7">
        <w:rPr>
          <w:b/>
        </w:rPr>
        <w:t>.</w:t>
      </w:r>
      <w:r w:rsidR="0078326B">
        <w:t xml:space="preserve"> </w:t>
      </w:r>
      <w:r w:rsidR="009D37C1">
        <w:t xml:space="preserve">Due to the difficulty </w:t>
      </w:r>
      <w:r w:rsidR="00E174F8">
        <w:t xml:space="preserve">in </w:t>
      </w:r>
      <w:r w:rsidR="00540B57">
        <w:t>attributing</w:t>
      </w:r>
      <w:r w:rsidR="00937AC9">
        <w:t xml:space="preserve"> o</w:t>
      </w:r>
      <w:r w:rsidR="00BD227B">
        <w:t>utcomes in emergency response projects</w:t>
      </w:r>
      <w:r w:rsidR="00360CD7">
        <w:t xml:space="preserve"> for influenza outbreaks</w:t>
      </w:r>
      <w:r w:rsidR="00937AC9">
        <w:t xml:space="preserve">, </w:t>
      </w:r>
      <w:r w:rsidR="00010127">
        <w:t xml:space="preserve">the </w:t>
      </w:r>
      <w:r w:rsidR="005B0174">
        <w:t xml:space="preserve">World </w:t>
      </w:r>
      <w:r w:rsidR="00010127">
        <w:t>Bank team responsible for Project preparation decided to focus</w:t>
      </w:r>
      <w:r w:rsidR="001C2B19">
        <w:t xml:space="preserve"> on intermediate outcomes to measure Project achievements.</w:t>
      </w:r>
      <w:r w:rsidR="009D37C1">
        <w:t xml:space="preserve"> </w:t>
      </w:r>
      <w:r w:rsidR="00693649">
        <w:t>T</w:t>
      </w:r>
      <w:r w:rsidR="00C05DE2">
        <w:t xml:space="preserve">he </w:t>
      </w:r>
      <w:r w:rsidR="009A55B7">
        <w:t>results</w:t>
      </w:r>
      <w:r w:rsidR="00C05DE2">
        <w:t xml:space="preserve"> f</w:t>
      </w:r>
      <w:r w:rsidR="00576760">
        <w:t xml:space="preserve">ramework </w:t>
      </w:r>
      <w:r w:rsidR="00B5734A">
        <w:t>d</w:t>
      </w:r>
      <w:r w:rsidR="00A02C43">
        <w:t xml:space="preserve">id not formally </w:t>
      </w:r>
      <w:r w:rsidR="00B5734A">
        <w:t>differentiate between PDO-level in</w:t>
      </w:r>
      <w:r w:rsidR="00220503">
        <w:t>dicators and intermediate-level indicators.</w:t>
      </w:r>
      <w:r w:rsidR="00C05DE2">
        <w:t xml:space="preserve"> </w:t>
      </w:r>
      <w:r w:rsidR="00360CD7">
        <w:t>T</w:t>
      </w:r>
      <w:r w:rsidR="009A55B7">
        <w:t>he</w:t>
      </w:r>
      <w:r w:rsidR="00576760">
        <w:t xml:space="preserve"> five </w:t>
      </w:r>
      <w:r w:rsidR="0033206A">
        <w:t xml:space="preserve">indicators defined in the PAD </w:t>
      </w:r>
      <w:r w:rsidR="00576760">
        <w:t xml:space="preserve">to measure Project </w:t>
      </w:r>
      <w:r w:rsidR="00A02C43">
        <w:t xml:space="preserve">results </w:t>
      </w:r>
      <w:r w:rsidR="00360CD7">
        <w:t>were</w:t>
      </w:r>
      <w:r w:rsidR="00007E92">
        <w:t xml:space="preserve"> </w:t>
      </w:r>
      <w:r w:rsidR="009A55B7">
        <w:t>label</w:t>
      </w:r>
      <w:r w:rsidR="00A02C43">
        <w:t>ed</w:t>
      </w:r>
      <w:r w:rsidR="009A55B7">
        <w:t xml:space="preserve"> </w:t>
      </w:r>
      <w:r w:rsidR="00A02C43">
        <w:t xml:space="preserve">as </w:t>
      </w:r>
      <w:r w:rsidR="0033206A">
        <w:t>“</w:t>
      </w:r>
      <w:r w:rsidR="00E405DC">
        <w:t>key</w:t>
      </w:r>
      <w:r w:rsidR="009A55B7">
        <w:t xml:space="preserve"> indicators</w:t>
      </w:r>
      <w:r w:rsidR="0033206A">
        <w:t>”</w:t>
      </w:r>
      <w:r w:rsidR="00AA65F3">
        <w:t xml:space="preserve"> in this ICR</w:t>
      </w:r>
      <w:r w:rsidR="009A55B7">
        <w:t xml:space="preserve">. </w:t>
      </w:r>
      <w:r w:rsidR="003041DD">
        <w:t>T</w:t>
      </w:r>
      <w:r w:rsidR="003C7232">
        <w:t xml:space="preserve">he </w:t>
      </w:r>
      <w:r w:rsidR="00FC4307">
        <w:t xml:space="preserve">Project’s </w:t>
      </w:r>
      <w:r w:rsidR="00A03A6A">
        <w:t>first sub-</w:t>
      </w:r>
      <w:r w:rsidR="003C7232">
        <w:t>objective</w:t>
      </w:r>
      <w:r w:rsidR="00A02C43">
        <w:t xml:space="preserve"> -</w:t>
      </w:r>
      <w:r w:rsidR="003C7232">
        <w:t xml:space="preserve"> to prevent</w:t>
      </w:r>
      <w:r w:rsidR="00A02C43">
        <w:t>,</w:t>
      </w:r>
      <w:r w:rsidR="003C7232">
        <w:t xml:space="preserve"> monitor and evaluate influenza activity</w:t>
      </w:r>
      <w:r w:rsidR="00A02C43">
        <w:t>,</w:t>
      </w:r>
      <w:r w:rsidR="003C7232">
        <w:t xml:space="preserve"> was </w:t>
      </w:r>
      <w:r w:rsidR="0070392D">
        <w:t xml:space="preserve">to be </w:t>
      </w:r>
      <w:r w:rsidR="003C7232">
        <w:t xml:space="preserve">measured by two </w:t>
      </w:r>
      <w:r w:rsidR="00A02C43">
        <w:t>key indicators</w:t>
      </w:r>
      <w:r w:rsidR="003C7232">
        <w:t xml:space="preserve">: (i) </w:t>
      </w:r>
      <w:r w:rsidR="00A03A6A">
        <w:t>HSRs</w:t>
      </w:r>
      <w:r w:rsidR="003C7232">
        <w:t xml:space="preserve"> c</w:t>
      </w:r>
      <w:r w:rsidR="00576760">
        <w:t>ertified</w:t>
      </w:r>
      <w:r w:rsidR="00A02C43">
        <w:t xml:space="preserve"> (</w:t>
      </w:r>
      <w:r w:rsidR="008B6A69">
        <w:t xml:space="preserve">key </w:t>
      </w:r>
      <w:r w:rsidR="00A02C43">
        <w:t>indicator 1)</w:t>
      </w:r>
      <w:r w:rsidR="00A03A6A">
        <w:t>,</w:t>
      </w:r>
      <w:r w:rsidR="00576760">
        <w:t xml:space="preserve"> </w:t>
      </w:r>
      <w:r w:rsidR="003C7232">
        <w:t xml:space="preserve">and (ii) </w:t>
      </w:r>
      <w:r w:rsidR="00A03A6A">
        <w:t>Operational MOCS implemented</w:t>
      </w:r>
      <w:r w:rsidR="00A02C43">
        <w:t xml:space="preserve"> (</w:t>
      </w:r>
      <w:r w:rsidR="008B6A69">
        <w:t xml:space="preserve">key </w:t>
      </w:r>
      <w:r w:rsidR="00A02C43">
        <w:t>indicator 3)</w:t>
      </w:r>
      <w:r w:rsidR="00A03A6A">
        <w:t xml:space="preserve">. </w:t>
      </w:r>
      <w:r w:rsidR="003C7232">
        <w:t>The second sub-objective</w:t>
      </w:r>
      <w:r w:rsidR="00A02C43">
        <w:t xml:space="preserve"> -</w:t>
      </w:r>
      <w:r w:rsidR="003C7232">
        <w:t xml:space="preserve"> to control </w:t>
      </w:r>
      <w:r w:rsidR="003C7232" w:rsidRPr="009D4D51">
        <w:t xml:space="preserve">epidemic waves of the A/H1N1 influenza, was measured by three </w:t>
      </w:r>
      <w:r w:rsidR="00A02C43" w:rsidRPr="009D4D51">
        <w:t>key indicators</w:t>
      </w:r>
      <w:r w:rsidR="003C7232" w:rsidRPr="009D4D51">
        <w:t xml:space="preserve">: (i) </w:t>
      </w:r>
      <w:r w:rsidR="00A03A6A" w:rsidRPr="00687E51">
        <w:t xml:space="preserve">dose of </w:t>
      </w:r>
      <w:r w:rsidR="003C7232" w:rsidRPr="00687E51">
        <w:t>A/H1N1 vaccine</w:t>
      </w:r>
      <w:r w:rsidR="00A03A6A" w:rsidRPr="00251049">
        <w:t xml:space="preserve"> applied</w:t>
      </w:r>
      <w:r w:rsidR="00A02C43" w:rsidRPr="00251049">
        <w:t xml:space="preserve"> (</w:t>
      </w:r>
      <w:r w:rsidR="008B6A69" w:rsidRPr="00251049">
        <w:t xml:space="preserve">key </w:t>
      </w:r>
      <w:r w:rsidR="00A02C43" w:rsidRPr="00251049">
        <w:t>indicator 5)</w:t>
      </w:r>
      <w:r w:rsidR="003C7232" w:rsidRPr="00251049">
        <w:t xml:space="preserve">, (ii) </w:t>
      </w:r>
      <w:r w:rsidR="00A03A6A" w:rsidRPr="00251049">
        <w:t>dose</w:t>
      </w:r>
      <w:r w:rsidR="003C7232" w:rsidRPr="00251049">
        <w:t xml:space="preserve"> of </w:t>
      </w:r>
      <w:r w:rsidR="00E179B3" w:rsidRPr="00251049">
        <w:t>Pneumococcal</w:t>
      </w:r>
      <w:r w:rsidR="003C7232" w:rsidRPr="00251049">
        <w:t xml:space="preserve"> vaccine</w:t>
      </w:r>
      <w:r w:rsidR="00A03A6A" w:rsidRPr="00251049">
        <w:t xml:space="preserve"> applied</w:t>
      </w:r>
      <w:r w:rsidR="00A02C43" w:rsidRPr="00251049">
        <w:t xml:space="preserve"> (</w:t>
      </w:r>
      <w:r w:rsidR="008B6A69" w:rsidRPr="00251049">
        <w:t xml:space="preserve">key </w:t>
      </w:r>
      <w:r w:rsidR="00A02C43" w:rsidRPr="00251049">
        <w:t>indicator 6),</w:t>
      </w:r>
      <w:r w:rsidR="003C7232" w:rsidRPr="00251049">
        <w:t xml:space="preserve"> and (iii) </w:t>
      </w:r>
      <w:r w:rsidR="00A03A6A" w:rsidRPr="00251049">
        <w:t>influenza diagnostic laboratory test carried out in 2010 and 2011</w:t>
      </w:r>
      <w:r w:rsidR="00A02C43" w:rsidRPr="00251049">
        <w:t xml:space="preserve"> (</w:t>
      </w:r>
      <w:r w:rsidR="008B6A69" w:rsidRPr="008B5F1A">
        <w:t xml:space="preserve">key </w:t>
      </w:r>
      <w:r w:rsidR="00A02C43" w:rsidRPr="008B5F1A">
        <w:t>indicator 13)</w:t>
      </w:r>
      <w:r w:rsidR="00A03A6A" w:rsidRPr="008B5F1A">
        <w:t>.</w:t>
      </w:r>
      <w:r w:rsidR="003C7232" w:rsidRPr="008B5F1A">
        <w:t xml:space="preserve"> </w:t>
      </w:r>
    </w:p>
    <w:p w:rsidR="009A55B7" w:rsidRPr="00060E9B" w:rsidRDefault="009A55B7" w:rsidP="006C7195">
      <w:pPr>
        <w:pStyle w:val="HTMLPreformatted"/>
        <w:autoSpaceDE w:val="0"/>
        <w:autoSpaceDN w:val="0"/>
        <w:adjustRightInd w:val="0"/>
        <w:jc w:val="both"/>
      </w:pPr>
    </w:p>
    <w:p w:rsidR="00870196" w:rsidRPr="002D5A95" w:rsidRDefault="007565D5" w:rsidP="00402FA2">
      <w:pPr>
        <w:pStyle w:val="HTMLPreformatted"/>
        <w:numPr>
          <w:ilvl w:val="0"/>
          <w:numId w:val="1"/>
        </w:numPr>
        <w:autoSpaceDE w:val="0"/>
        <w:autoSpaceDN w:val="0"/>
        <w:adjustRightInd w:val="0"/>
        <w:ind w:left="0" w:firstLine="0"/>
        <w:jc w:val="both"/>
        <w:rPr>
          <w:rFonts w:cs="Times New Roman"/>
          <w:bCs/>
          <w:szCs w:val="24"/>
        </w:rPr>
      </w:pPr>
      <w:r>
        <w:rPr>
          <w:rFonts w:cs="Times New Roman"/>
          <w:b/>
          <w:bCs/>
          <w:szCs w:val="24"/>
        </w:rPr>
        <w:t>Despite some deficiencies, t</w:t>
      </w:r>
      <w:r w:rsidR="00551DD6" w:rsidRPr="002D5A95">
        <w:rPr>
          <w:rFonts w:cs="Times New Roman"/>
          <w:b/>
          <w:bCs/>
          <w:szCs w:val="24"/>
        </w:rPr>
        <w:t xml:space="preserve">he M&amp;E framework served to track progress towards the achievement of </w:t>
      </w:r>
      <w:r>
        <w:rPr>
          <w:rFonts w:cs="Times New Roman"/>
          <w:b/>
          <w:bCs/>
          <w:szCs w:val="24"/>
        </w:rPr>
        <w:t xml:space="preserve">Project </w:t>
      </w:r>
      <w:r w:rsidR="00551DD6" w:rsidRPr="002D5A95">
        <w:rPr>
          <w:rFonts w:cs="Times New Roman"/>
          <w:b/>
          <w:bCs/>
          <w:szCs w:val="24"/>
        </w:rPr>
        <w:t>PDO and was used as a</w:t>
      </w:r>
      <w:r w:rsidR="00A02C43" w:rsidRPr="002D5A95">
        <w:rPr>
          <w:rFonts w:cs="Times New Roman"/>
          <w:b/>
          <w:bCs/>
          <w:szCs w:val="24"/>
        </w:rPr>
        <w:t>n important</w:t>
      </w:r>
      <w:r w:rsidR="00551DD6" w:rsidRPr="002D5A95">
        <w:rPr>
          <w:rFonts w:cs="Times New Roman"/>
          <w:b/>
          <w:bCs/>
          <w:szCs w:val="24"/>
        </w:rPr>
        <w:t xml:space="preserve"> management tool to inform decision making</w:t>
      </w:r>
      <w:r w:rsidR="00687E51" w:rsidRPr="002D5A95">
        <w:rPr>
          <w:rFonts w:cs="Times New Roman"/>
          <w:b/>
          <w:bCs/>
          <w:szCs w:val="24"/>
        </w:rPr>
        <w:t>.</w:t>
      </w:r>
      <w:r w:rsidR="00551DD6" w:rsidRPr="002D5A95">
        <w:rPr>
          <w:rFonts w:cs="Times New Roman"/>
          <w:b/>
          <w:bCs/>
          <w:szCs w:val="24"/>
        </w:rPr>
        <w:t xml:space="preserve"> </w:t>
      </w:r>
      <w:r w:rsidR="00551DD6" w:rsidRPr="002D5A95">
        <w:rPr>
          <w:rFonts w:cs="Times New Roman"/>
          <w:bCs/>
          <w:szCs w:val="24"/>
        </w:rPr>
        <w:t xml:space="preserve">The PAD’s results framework and </w:t>
      </w:r>
      <w:r w:rsidR="00576760" w:rsidRPr="002D5A95">
        <w:rPr>
          <w:rFonts w:cs="Times New Roman"/>
          <w:bCs/>
          <w:szCs w:val="24"/>
        </w:rPr>
        <w:t>m</w:t>
      </w:r>
      <w:r w:rsidR="00551DD6" w:rsidRPr="002D5A95">
        <w:rPr>
          <w:rFonts w:cs="Times New Roman"/>
          <w:bCs/>
          <w:szCs w:val="24"/>
        </w:rPr>
        <w:t xml:space="preserve">onitoring (Annex 2) </w:t>
      </w:r>
      <w:r w:rsidR="00A63717" w:rsidRPr="002D5A95">
        <w:rPr>
          <w:rFonts w:cs="Times New Roman"/>
          <w:bCs/>
          <w:szCs w:val="24"/>
        </w:rPr>
        <w:t>had some</w:t>
      </w:r>
      <w:r w:rsidR="00551DD6" w:rsidRPr="002D5A95">
        <w:rPr>
          <w:rFonts w:cs="Times New Roman"/>
          <w:bCs/>
          <w:szCs w:val="24"/>
        </w:rPr>
        <w:t xml:space="preserve"> inconsistencies regard</w:t>
      </w:r>
      <w:r w:rsidR="00111BD6" w:rsidRPr="002D5A95">
        <w:rPr>
          <w:rFonts w:cs="Times New Roman"/>
          <w:bCs/>
          <w:szCs w:val="24"/>
        </w:rPr>
        <w:t>ing</w:t>
      </w:r>
      <w:r w:rsidR="00551DD6" w:rsidRPr="002D5A95">
        <w:rPr>
          <w:rFonts w:cs="Times New Roman"/>
          <w:bCs/>
          <w:szCs w:val="24"/>
        </w:rPr>
        <w:t xml:space="preserve"> the roles and responsibilities for collecting, reporting, and analyzing data </w:t>
      </w:r>
      <w:r w:rsidR="00A63717" w:rsidRPr="002D5A95">
        <w:rPr>
          <w:rFonts w:cs="Times New Roman"/>
          <w:bCs/>
          <w:szCs w:val="24"/>
        </w:rPr>
        <w:t xml:space="preserve">for some </w:t>
      </w:r>
      <w:r w:rsidR="00551DD6" w:rsidRPr="002D5A95">
        <w:rPr>
          <w:rFonts w:cs="Times New Roman"/>
          <w:bCs/>
          <w:szCs w:val="24"/>
        </w:rPr>
        <w:t>o</w:t>
      </w:r>
      <w:r w:rsidR="00A63717" w:rsidRPr="002D5A95">
        <w:rPr>
          <w:rFonts w:cs="Times New Roman"/>
          <w:bCs/>
          <w:szCs w:val="24"/>
        </w:rPr>
        <w:t>f</w:t>
      </w:r>
      <w:r w:rsidR="00551DD6" w:rsidRPr="002D5A95">
        <w:rPr>
          <w:rFonts w:cs="Times New Roman"/>
          <w:bCs/>
          <w:szCs w:val="24"/>
        </w:rPr>
        <w:t xml:space="preserve"> the indicators.</w:t>
      </w:r>
      <w:r w:rsidR="00402FA2" w:rsidRPr="002D5A95">
        <w:rPr>
          <w:rFonts w:cs="Times New Roman"/>
          <w:bCs/>
          <w:szCs w:val="24"/>
        </w:rPr>
        <w:t xml:space="preserve"> Further, s</w:t>
      </w:r>
      <w:r w:rsidR="009C70BD" w:rsidRPr="002D5A95">
        <w:rPr>
          <w:rFonts w:cs="Times New Roman"/>
          <w:bCs/>
          <w:szCs w:val="24"/>
        </w:rPr>
        <w:t xml:space="preserve">ince most Project indicators operated as </w:t>
      </w:r>
      <w:r w:rsidR="009A2340" w:rsidRPr="002D5A95">
        <w:rPr>
          <w:rFonts w:cs="Times New Roman"/>
          <w:bCs/>
          <w:szCs w:val="24"/>
        </w:rPr>
        <w:t>result</w:t>
      </w:r>
      <w:r w:rsidR="00402FA2" w:rsidRPr="002D5A95">
        <w:rPr>
          <w:rFonts w:cs="Times New Roman"/>
          <w:bCs/>
          <w:szCs w:val="24"/>
        </w:rPr>
        <w:t>-</w:t>
      </w:r>
      <w:r w:rsidR="009C70BD" w:rsidRPr="002D5A95">
        <w:rPr>
          <w:rFonts w:cs="Times New Roman"/>
          <w:bCs/>
          <w:szCs w:val="24"/>
        </w:rPr>
        <w:t>based disbursements</w:t>
      </w:r>
      <w:r>
        <w:rPr>
          <w:rFonts w:cs="Times New Roman"/>
          <w:bCs/>
          <w:szCs w:val="24"/>
        </w:rPr>
        <w:t xml:space="preserve"> </w:t>
      </w:r>
      <w:r w:rsidR="009C70BD" w:rsidRPr="002D5A95">
        <w:rPr>
          <w:rFonts w:cs="Times New Roman"/>
          <w:bCs/>
          <w:szCs w:val="24"/>
        </w:rPr>
        <w:t xml:space="preserve">they </w:t>
      </w:r>
      <w:r w:rsidR="00C15ACA" w:rsidRPr="002D5A95">
        <w:rPr>
          <w:rFonts w:cs="Times New Roman"/>
          <w:bCs/>
          <w:szCs w:val="24"/>
        </w:rPr>
        <w:t>were monitored by</w:t>
      </w:r>
      <w:r w:rsidR="009C70BD" w:rsidRPr="002D5A95">
        <w:rPr>
          <w:rFonts w:cs="Times New Roman"/>
          <w:bCs/>
          <w:szCs w:val="24"/>
        </w:rPr>
        <w:t xml:space="preserve"> two different verification sources</w:t>
      </w:r>
      <w:r w:rsidR="00A75AFF" w:rsidRPr="002D5A95">
        <w:rPr>
          <w:rFonts w:cs="Times New Roman"/>
          <w:bCs/>
          <w:szCs w:val="24"/>
        </w:rPr>
        <w:t xml:space="preserve"> (i)</w:t>
      </w:r>
      <w:r w:rsidR="00402FA2" w:rsidRPr="002D5A95">
        <w:rPr>
          <w:rFonts w:cs="Times New Roman"/>
          <w:bCs/>
          <w:szCs w:val="24"/>
        </w:rPr>
        <w:t xml:space="preserve"> </w:t>
      </w:r>
      <w:r w:rsidR="009C70BD" w:rsidRPr="002D5A95">
        <w:rPr>
          <w:rFonts w:cs="Times New Roman"/>
          <w:bCs/>
          <w:szCs w:val="24"/>
        </w:rPr>
        <w:t xml:space="preserve">MSN </w:t>
      </w:r>
      <w:r w:rsidR="00A75AFF" w:rsidRPr="002D5A95">
        <w:rPr>
          <w:rFonts w:cs="Times New Roman"/>
          <w:bCs/>
          <w:szCs w:val="24"/>
        </w:rPr>
        <w:t xml:space="preserve">(including </w:t>
      </w:r>
      <w:r w:rsidR="007F02ED" w:rsidRPr="002D5A95">
        <w:t>Expanded Program on Immunization</w:t>
      </w:r>
      <w:r w:rsidR="007F02ED" w:rsidRPr="002D5A95">
        <w:rPr>
          <w:rFonts w:cs="Times New Roman"/>
          <w:bCs/>
          <w:szCs w:val="24"/>
        </w:rPr>
        <w:t xml:space="preserve"> (</w:t>
      </w:r>
      <w:r w:rsidR="009C70BD" w:rsidRPr="002D5A95">
        <w:rPr>
          <w:rFonts w:cs="Times New Roman"/>
          <w:bCs/>
          <w:szCs w:val="24"/>
        </w:rPr>
        <w:t>EPI</w:t>
      </w:r>
      <w:r w:rsidR="007F02ED" w:rsidRPr="002D5A95">
        <w:rPr>
          <w:rFonts w:cs="Times New Roman"/>
          <w:bCs/>
          <w:szCs w:val="24"/>
        </w:rPr>
        <w:t>)</w:t>
      </w:r>
      <w:r w:rsidR="009C70BD" w:rsidRPr="002D5A95">
        <w:rPr>
          <w:rFonts w:cs="Times New Roman"/>
          <w:bCs/>
          <w:szCs w:val="24"/>
        </w:rPr>
        <w:t xml:space="preserve"> for vaccination and treatment</w:t>
      </w:r>
      <w:r w:rsidR="00A75AFF" w:rsidRPr="002D5A95">
        <w:rPr>
          <w:rFonts w:cs="Times New Roman"/>
          <w:bCs/>
          <w:szCs w:val="24"/>
        </w:rPr>
        <w:t xml:space="preserve">, </w:t>
      </w:r>
      <w:r w:rsidR="009C70BD" w:rsidRPr="002D5A95">
        <w:rPr>
          <w:rFonts w:cs="Times New Roman"/>
          <w:bCs/>
          <w:szCs w:val="24"/>
        </w:rPr>
        <w:t xml:space="preserve">and the Laboratory Surveillance System </w:t>
      </w:r>
      <w:r w:rsidR="009C70BD" w:rsidRPr="0063364B">
        <w:rPr>
          <w:rFonts w:cs="Times New Roman"/>
          <w:bCs/>
          <w:szCs w:val="24"/>
        </w:rPr>
        <w:t>(</w:t>
      </w:r>
      <w:r w:rsidR="009C70BD" w:rsidRPr="0063364B">
        <w:rPr>
          <w:rFonts w:cs="Times New Roman"/>
          <w:bCs/>
          <w:i/>
          <w:szCs w:val="24"/>
        </w:rPr>
        <w:t>Sistema</w:t>
      </w:r>
      <w:r w:rsidR="009C70BD" w:rsidRPr="002D5A95">
        <w:rPr>
          <w:rFonts w:cs="Times New Roman"/>
          <w:bCs/>
          <w:i/>
          <w:szCs w:val="24"/>
        </w:rPr>
        <w:t xml:space="preserve"> de</w:t>
      </w:r>
      <w:r w:rsidR="009C70BD" w:rsidRPr="0063364B">
        <w:rPr>
          <w:rFonts w:cs="Times New Roman"/>
          <w:bCs/>
          <w:i/>
          <w:szCs w:val="24"/>
        </w:rPr>
        <w:t xml:space="preserve"> Vigilancia</w:t>
      </w:r>
      <w:r w:rsidR="009C70BD" w:rsidRPr="002D5A95">
        <w:rPr>
          <w:rFonts w:cs="Times New Roman"/>
          <w:bCs/>
          <w:i/>
          <w:szCs w:val="24"/>
        </w:rPr>
        <w:t xml:space="preserve"> de</w:t>
      </w:r>
      <w:r w:rsidR="009C70BD" w:rsidRPr="0063364B">
        <w:rPr>
          <w:rFonts w:cs="Times New Roman"/>
          <w:bCs/>
          <w:i/>
          <w:szCs w:val="24"/>
        </w:rPr>
        <w:t xml:space="preserve"> Laboratorios</w:t>
      </w:r>
      <w:r w:rsidR="009C70BD" w:rsidRPr="002D5A95">
        <w:rPr>
          <w:rFonts w:cs="Times New Roman"/>
          <w:bCs/>
          <w:szCs w:val="24"/>
        </w:rPr>
        <w:t xml:space="preserve"> </w:t>
      </w:r>
      <w:r w:rsidR="004315BC" w:rsidRPr="002D5A95">
        <w:rPr>
          <w:rFonts w:cs="Times New Roman"/>
          <w:bCs/>
          <w:szCs w:val="24"/>
        </w:rPr>
        <w:t>–</w:t>
      </w:r>
      <w:r w:rsidR="009C70BD" w:rsidRPr="002D5A95">
        <w:rPr>
          <w:rFonts w:cs="Times New Roman"/>
          <w:bCs/>
          <w:szCs w:val="24"/>
        </w:rPr>
        <w:t xml:space="preserve"> SIVILA</w:t>
      </w:r>
      <w:r w:rsidR="0031174D" w:rsidRPr="002D5A95">
        <w:rPr>
          <w:rFonts w:cs="Times New Roman"/>
          <w:bCs/>
          <w:szCs w:val="24"/>
        </w:rPr>
        <w:t>)</w:t>
      </w:r>
      <w:r w:rsidR="004315BC" w:rsidRPr="002D5A95">
        <w:rPr>
          <w:rFonts w:cs="Times New Roman"/>
          <w:bCs/>
          <w:szCs w:val="24"/>
        </w:rPr>
        <w:t xml:space="preserve"> </w:t>
      </w:r>
      <w:r w:rsidR="00EA536B" w:rsidRPr="002D5A95">
        <w:rPr>
          <w:rFonts w:cs="Times New Roman"/>
          <w:bCs/>
          <w:szCs w:val="24"/>
        </w:rPr>
        <w:t>f</w:t>
      </w:r>
      <w:r w:rsidR="009C70BD" w:rsidRPr="002D5A95">
        <w:rPr>
          <w:rFonts w:cs="Times New Roman"/>
          <w:bCs/>
          <w:szCs w:val="24"/>
        </w:rPr>
        <w:t xml:space="preserve">or the laboratory testing </w:t>
      </w:r>
      <w:r w:rsidR="00402FA2" w:rsidRPr="002D5A95">
        <w:rPr>
          <w:rFonts w:cs="Times New Roman"/>
          <w:bCs/>
          <w:szCs w:val="24"/>
        </w:rPr>
        <w:t>for the achievement of targets</w:t>
      </w:r>
      <w:r w:rsidR="00A75AFF" w:rsidRPr="002D5A95">
        <w:rPr>
          <w:rFonts w:cs="Times New Roman"/>
          <w:bCs/>
          <w:szCs w:val="24"/>
        </w:rPr>
        <w:t>)</w:t>
      </w:r>
      <w:r w:rsidR="001A2FF3" w:rsidRPr="002D5A95">
        <w:rPr>
          <w:rFonts w:cs="Times New Roman"/>
          <w:bCs/>
          <w:szCs w:val="24"/>
        </w:rPr>
        <w:t>,</w:t>
      </w:r>
      <w:r w:rsidR="00A75AFF" w:rsidRPr="002D5A95">
        <w:rPr>
          <w:rFonts w:cs="Times New Roman"/>
          <w:bCs/>
          <w:szCs w:val="24"/>
        </w:rPr>
        <w:t xml:space="preserve"> and (ii) </w:t>
      </w:r>
      <w:r w:rsidR="0031174D" w:rsidRPr="002D5A95">
        <w:rPr>
          <w:rFonts w:cs="Times New Roman"/>
          <w:bCs/>
          <w:szCs w:val="24"/>
        </w:rPr>
        <w:t xml:space="preserve">the ITA </w:t>
      </w:r>
      <w:r w:rsidR="009C70BD" w:rsidRPr="002D5A95">
        <w:rPr>
          <w:rFonts w:cs="Times New Roman"/>
          <w:bCs/>
          <w:szCs w:val="24"/>
        </w:rPr>
        <w:t xml:space="preserve">for the verification of </w:t>
      </w:r>
      <w:r w:rsidR="00C15ACA" w:rsidRPr="002D5A95">
        <w:rPr>
          <w:rFonts w:cs="Times New Roman"/>
          <w:bCs/>
          <w:szCs w:val="24"/>
        </w:rPr>
        <w:t xml:space="preserve">outputs for </w:t>
      </w:r>
      <w:r w:rsidR="009C70BD" w:rsidRPr="002D5A95">
        <w:rPr>
          <w:rFonts w:cs="Times New Roman"/>
          <w:bCs/>
          <w:szCs w:val="24"/>
        </w:rPr>
        <w:t>disbursement</w:t>
      </w:r>
      <w:r w:rsidR="00C15ACA" w:rsidRPr="002D5A95">
        <w:rPr>
          <w:rFonts w:cs="Times New Roman"/>
          <w:bCs/>
          <w:szCs w:val="24"/>
        </w:rPr>
        <w:t xml:space="preserve"> purposes</w:t>
      </w:r>
      <w:r w:rsidR="009C70BD" w:rsidRPr="002D5A95">
        <w:rPr>
          <w:rFonts w:cs="Times New Roman"/>
          <w:bCs/>
          <w:szCs w:val="24"/>
        </w:rPr>
        <w:t xml:space="preserve">. </w:t>
      </w:r>
      <w:r w:rsidR="00040A2C" w:rsidRPr="002D5A95">
        <w:rPr>
          <w:rFonts w:cs="Times New Roman"/>
          <w:bCs/>
          <w:szCs w:val="24"/>
        </w:rPr>
        <w:t>Project indicators linked to disbursements included: (i) HSR Certified (</w:t>
      </w:r>
      <w:r w:rsidR="00146401" w:rsidRPr="002D5A95">
        <w:rPr>
          <w:rFonts w:cs="Times New Roman"/>
          <w:bCs/>
          <w:szCs w:val="24"/>
        </w:rPr>
        <w:t xml:space="preserve">key </w:t>
      </w:r>
      <w:r w:rsidR="00040A2C" w:rsidRPr="002D5A95">
        <w:rPr>
          <w:rFonts w:cs="Times New Roman"/>
          <w:bCs/>
          <w:szCs w:val="24"/>
        </w:rPr>
        <w:t>indicator 1), (ii) o</w:t>
      </w:r>
      <w:r w:rsidR="00040A2C" w:rsidRPr="002D5A95">
        <w:t>perational MOCS implemented (</w:t>
      </w:r>
      <w:r w:rsidR="00146401" w:rsidRPr="002D5A95">
        <w:t xml:space="preserve">key </w:t>
      </w:r>
      <w:r w:rsidR="00040A2C" w:rsidRPr="002D5A95">
        <w:t>indicator 3), operational MOCS for indigenous people implemented (indicator 4), (iv) dose of A/H1N1 vaccine applied (</w:t>
      </w:r>
      <w:r w:rsidR="00146401" w:rsidRPr="002D5A95">
        <w:t xml:space="preserve">key </w:t>
      </w:r>
      <w:r w:rsidR="00040A2C" w:rsidRPr="002D5A95">
        <w:t>indicator 5), (v) dose of Pneumococcal vaccine applied (</w:t>
      </w:r>
      <w:r w:rsidR="00146401" w:rsidRPr="002D5A95">
        <w:t xml:space="preserve">key </w:t>
      </w:r>
      <w:r w:rsidR="00040A2C" w:rsidRPr="002D5A95">
        <w:t>indicator 6), (vi) outpatient treatment provided (indicator 9), (vii) inpatient treatment provided in hospitalization (indicator 10), (viii) inpatient treatment provided in ICU</w:t>
      </w:r>
      <w:r w:rsidR="00A63717" w:rsidRPr="002D5A95">
        <w:t xml:space="preserve"> (indicator 12)</w:t>
      </w:r>
      <w:r w:rsidR="00040A2C" w:rsidRPr="002D5A95">
        <w:t>, and (ix) influenza diagnostic laboratory test carried out in 2010 and 2011 (</w:t>
      </w:r>
      <w:r w:rsidR="00146401" w:rsidRPr="002D5A95">
        <w:t xml:space="preserve">key </w:t>
      </w:r>
      <w:r w:rsidR="00040A2C" w:rsidRPr="002D5A95">
        <w:t xml:space="preserve">indicator 13). </w:t>
      </w:r>
      <w:r w:rsidR="009A2340" w:rsidRPr="002D5A95">
        <w:rPr>
          <w:rFonts w:cs="Times New Roman"/>
          <w:bCs/>
          <w:szCs w:val="24"/>
        </w:rPr>
        <w:t>T</w:t>
      </w:r>
      <w:r w:rsidR="009C70BD" w:rsidRPr="002D5A95">
        <w:rPr>
          <w:rFonts w:cs="Times New Roman"/>
          <w:bCs/>
          <w:szCs w:val="24"/>
        </w:rPr>
        <w:t>he dichotomy was</w:t>
      </w:r>
      <w:r w:rsidR="00E96D22" w:rsidRPr="002D5A95">
        <w:rPr>
          <w:rFonts w:cs="Times New Roman"/>
          <w:bCs/>
          <w:szCs w:val="24"/>
        </w:rPr>
        <w:t xml:space="preserve"> not an issue except for </w:t>
      </w:r>
      <w:r w:rsidR="00BD227B" w:rsidRPr="002D5A95">
        <w:rPr>
          <w:rFonts w:cs="Times New Roman"/>
          <w:bCs/>
          <w:szCs w:val="24"/>
        </w:rPr>
        <w:t>k</w:t>
      </w:r>
      <w:r w:rsidR="00E96D22" w:rsidRPr="002D5A95">
        <w:rPr>
          <w:rFonts w:cs="Times New Roman"/>
          <w:bCs/>
          <w:szCs w:val="24"/>
        </w:rPr>
        <w:t xml:space="preserve">ey indicator 2, </w:t>
      </w:r>
      <w:r w:rsidR="005C386D" w:rsidRPr="002D5A95">
        <w:rPr>
          <w:rFonts w:cs="Times New Roman"/>
          <w:bCs/>
          <w:szCs w:val="24"/>
        </w:rPr>
        <w:t xml:space="preserve">for which results differ by source – MSN or ITA. The World Bank and </w:t>
      </w:r>
      <w:r w:rsidR="007F0503" w:rsidRPr="002D5A95">
        <w:rPr>
          <w:rFonts w:cs="Times New Roman"/>
          <w:bCs/>
          <w:szCs w:val="24"/>
        </w:rPr>
        <w:t>GOA</w:t>
      </w:r>
      <w:r w:rsidR="005C386D" w:rsidRPr="002D5A95">
        <w:rPr>
          <w:rFonts w:cs="Times New Roman"/>
          <w:bCs/>
          <w:szCs w:val="24"/>
        </w:rPr>
        <w:t xml:space="preserve"> teams used ITA as </w:t>
      </w:r>
      <w:r>
        <w:rPr>
          <w:rFonts w:cs="Times New Roman"/>
          <w:bCs/>
          <w:szCs w:val="24"/>
        </w:rPr>
        <w:t xml:space="preserve">the </w:t>
      </w:r>
      <w:r w:rsidR="005C386D" w:rsidRPr="002D5A95">
        <w:rPr>
          <w:rFonts w:cs="Times New Roman"/>
          <w:bCs/>
          <w:szCs w:val="24"/>
        </w:rPr>
        <w:t xml:space="preserve">source of verification only for disbursement purposes. </w:t>
      </w:r>
      <w:r w:rsidR="009A2340" w:rsidRPr="002D5A95">
        <w:rPr>
          <w:rFonts w:cs="Times New Roman"/>
          <w:bCs/>
          <w:szCs w:val="24"/>
        </w:rPr>
        <w:t xml:space="preserve"> </w:t>
      </w:r>
    </w:p>
    <w:p w:rsidR="005407FC" w:rsidRPr="00816C1F" w:rsidRDefault="005407FC" w:rsidP="009A2340">
      <w:pPr>
        <w:pStyle w:val="HTMLPreformatted"/>
        <w:autoSpaceDE w:val="0"/>
        <w:autoSpaceDN w:val="0"/>
        <w:adjustRightInd w:val="0"/>
        <w:jc w:val="both"/>
      </w:pPr>
    </w:p>
    <w:p w:rsidR="00A67FE2" w:rsidRPr="003B70EB" w:rsidRDefault="00616838" w:rsidP="009A2340">
      <w:pPr>
        <w:pStyle w:val="HTMLPreformatted"/>
        <w:numPr>
          <w:ilvl w:val="0"/>
          <w:numId w:val="1"/>
        </w:numPr>
        <w:autoSpaceDE w:val="0"/>
        <w:autoSpaceDN w:val="0"/>
        <w:adjustRightInd w:val="0"/>
        <w:ind w:left="0" w:firstLine="0"/>
        <w:jc w:val="both"/>
        <w:rPr>
          <w:rFonts w:cs="Times New Roman"/>
        </w:rPr>
      </w:pPr>
      <w:r>
        <w:rPr>
          <w:rFonts w:cs="Times New Roman"/>
          <w:b/>
          <w:bCs/>
          <w:szCs w:val="24"/>
        </w:rPr>
        <w:t>T</w:t>
      </w:r>
      <w:r w:rsidR="00E35608">
        <w:rPr>
          <w:rFonts w:cs="Times New Roman"/>
          <w:b/>
          <w:bCs/>
          <w:szCs w:val="24"/>
        </w:rPr>
        <w:t xml:space="preserve">he </w:t>
      </w:r>
      <w:r w:rsidR="003B70EB">
        <w:rPr>
          <w:rFonts w:cs="Times New Roman"/>
          <w:b/>
          <w:bCs/>
          <w:szCs w:val="24"/>
        </w:rPr>
        <w:t xml:space="preserve">certification and </w:t>
      </w:r>
      <w:r w:rsidR="00E35608">
        <w:rPr>
          <w:rFonts w:cs="Times New Roman"/>
          <w:b/>
          <w:bCs/>
          <w:szCs w:val="24"/>
        </w:rPr>
        <w:t xml:space="preserve">compliance </w:t>
      </w:r>
      <w:r w:rsidR="003B70EB">
        <w:rPr>
          <w:rFonts w:cs="Times New Roman"/>
          <w:b/>
          <w:bCs/>
          <w:szCs w:val="24"/>
        </w:rPr>
        <w:t xml:space="preserve">validation </w:t>
      </w:r>
      <w:r w:rsidR="00E35608">
        <w:rPr>
          <w:rFonts w:cs="Times New Roman"/>
          <w:b/>
          <w:bCs/>
          <w:szCs w:val="24"/>
        </w:rPr>
        <w:t>of</w:t>
      </w:r>
      <w:r w:rsidR="003B70EB">
        <w:rPr>
          <w:rFonts w:cs="Times New Roman"/>
          <w:b/>
          <w:bCs/>
          <w:szCs w:val="24"/>
        </w:rPr>
        <w:t xml:space="preserve"> results streng</w:t>
      </w:r>
      <w:r w:rsidR="00AF4E08">
        <w:rPr>
          <w:rFonts w:cs="Times New Roman"/>
          <w:b/>
          <w:bCs/>
          <w:szCs w:val="24"/>
        </w:rPr>
        <w:t>t</w:t>
      </w:r>
      <w:r w:rsidR="003B70EB">
        <w:rPr>
          <w:rFonts w:cs="Times New Roman"/>
          <w:b/>
          <w:bCs/>
          <w:szCs w:val="24"/>
        </w:rPr>
        <w:t xml:space="preserve">hened the MSN’s M&amp;E capability at the national and provincial level. </w:t>
      </w:r>
      <w:r w:rsidR="003B70EB" w:rsidRPr="003B70EB">
        <w:rPr>
          <w:rFonts w:cs="Times New Roman"/>
          <w:bCs/>
          <w:szCs w:val="24"/>
        </w:rPr>
        <w:t xml:space="preserve">The Project financed </w:t>
      </w:r>
      <w:r w:rsidR="008B2950">
        <w:rPr>
          <w:rFonts w:cs="Times New Roman"/>
          <w:bCs/>
          <w:szCs w:val="24"/>
        </w:rPr>
        <w:t xml:space="preserve">eight </w:t>
      </w:r>
      <w:r w:rsidR="00AF4E08">
        <w:rPr>
          <w:rFonts w:cs="Times New Roman"/>
          <w:bCs/>
          <w:szCs w:val="24"/>
        </w:rPr>
        <w:t>technical audits</w:t>
      </w:r>
      <w:r w:rsidR="003B70EB" w:rsidRPr="003B70EB">
        <w:rPr>
          <w:rFonts w:cs="Times New Roman"/>
          <w:bCs/>
          <w:szCs w:val="24"/>
        </w:rPr>
        <w:t xml:space="preserve">, which provided </w:t>
      </w:r>
      <w:r w:rsidR="007F0503">
        <w:rPr>
          <w:rFonts w:cs="Times New Roman"/>
          <w:bCs/>
          <w:szCs w:val="24"/>
        </w:rPr>
        <w:t>evidence</w:t>
      </w:r>
      <w:r w:rsidR="007F0503" w:rsidRPr="003B70EB">
        <w:rPr>
          <w:rFonts w:cs="Times New Roman"/>
          <w:bCs/>
          <w:szCs w:val="24"/>
        </w:rPr>
        <w:t xml:space="preserve"> </w:t>
      </w:r>
      <w:r w:rsidR="003B70EB" w:rsidRPr="003B70EB">
        <w:rPr>
          <w:rFonts w:cs="Times New Roman"/>
          <w:bCs/>
          <w:szCs w:val="24"/>
        </w:rPr>
        <w:t>for the reimbursement of expenses</w:t>
      </w:r>
      <w:r>
        <w:rPr>
          <w:rFonts w:cs="Times New Roman"/>
          <w:bCs/>
          <w:szCs w:val="24"/>
        </w:rPr>
        <w:t>.</w:t>
      </w:r>
      <w:r w:rsidR="003B70EB" w:rsidRPr="003B70EB">
        <w:rPr>
          <w:rFonts w:cs="Times New Roman"/>
          <w:bCs/>
          <w:szCs w:val="24"/>
        </w:rPr>
        <w:t xml:space="preserve"> </w:t>
      </w:r>
      <w:r w:rsidR="003B70EB">
        <w:rPr>
          <w:rFonts w:cs="Times New Roman"/>
          <w:bCs/>
          <w:szCs w:val="24"/>
        </w:rPr>
        <w:t xml:space="preserve">Since the Project was executed by </w:t>
      </w:r>
      <w:r w:rsidR="00AF4E08">
        <w:rPr>
          <w:rFonts w:cs="Times New Roman"/>
          <w:bCs/>
          <w:szCs w:val="24"/>
        </w:rPr>
        <w:t xml:space="preserve">different </w:t>
      </w:r>
      <w:r w:rsidR="00146D63">
        <w:rPr>
          <w:rFonts w:cs="Times New Roman"/>
          <w:bCs/>
          <w:szCs w:val="24"/>
        </w:rPr>
        <w:t xml:space="preserve">technical </w:t>
      </w:r>
      <w:r w:rsidR="00AF4E08">
        <w:rPr>
          <w:rFonts w:cs="Times New Roman"/>
          <w:bCs/>
          <w:szCs w:val="24"/>
        </w:rPr>
        <w:t>units</w:t>
      </w:r>
      <w:r w:rsidR="003B70EB">
        <w:rPr>
          <w:rFonts w:cs="Times New Roman"/>
          <w:bCs/>
          <w:szCs w:val="24"/>
        </w:rPr>
        <w:t xml:space="preserve"> at the provincial and national level</w:t>
      </w:r>
      <w:r w:rsidR="007F0503">
        <w:rPr>
          <w:rFonts w:cs="Times New Roman"/>
          <w:bCs/>
          <w:szCs w:val="24"/>
        </w:rPr>
        <w:t>s</w:t>
      </w:r>
      <w:r w:rsidR="003B70EB">
        <w:rPr>
          <w:rFonts w:cs="Times New Roman"/>
          <w:bCs/>
          <w:szCs w:val="24"/>
        </w:rPr>
        <w:t xml:space="preserve">, the </w:t>
      </w:r>
      <w:r w:rsidR="00AF4E08">
        <w:rPr>
          <w:rFonts w:cs="Times New Roman"/>
          <w:bCs/>
          <w:szCs w:val="24"/>
        </w:rPr>
        <w:t xml:space="preserve">know-how </w:t>
      </w:r>
      <w:r w:rsidR="00E35608">
        <w:rPr>
          <w:rFonts w:cs="Times New Roman"/>
          <w:bCs/>
          <w:szCs w:val="24"/>
        </w:rPr>
        <w:t xml:space="preserve">involved in </w:t>
      </w:r>
      <w:r w:rsidR="003B70EB">
        <w:rPr>
          <w:rFonts w:cs="Times New Roman"/>
          <w:bCs/>
          <w:szCs w:val="24"/>
        </w:rPr>
        <w:t>provi</w:t>
      </w:r>
      <w:r w:rsidR="00AF4E08">
        <w:rPr>
          <w:rFonts w:cs="Times New Roman"/>
          <w:bCs/>
          <w:szCs w:val="24"/>
        </w:rPr>
        <w:t>d</w:t>
      </w:r>
      <w:r w:rsidR="00E35608">
        <w:rPr>
          <w:rFonts w:cs="Times New Roman"/>
          <w:bCs/>
          <w:szCs w:val="24"/>
        </w:rPr>
        <w:t>ing</w:t>
      </w:r>
      <w:r w:rsidR="003B70EB">
        <w:rPr>
          <w:rFonts w:cs="Times New Roman"/>
          <w:bCs/>
          <w:szCs w:val="24"/>
        </w:rPr>
        <w:t xml:space="preserve"> the information </w:t>
      </w:r>
      <w:r w:rsidR="00AF4E08">
        <w:rPr>
          <w:rFonts w:cs="Times New Roman"/>
          <w:bCs/>
          <w:szCs w:val="24"/>
        </w:rPr>
        <w:t xml:space="preserve">requested by </w:t>
      </w:r>
      <w:r w:rsidR="003B70EB">
        <w:rPr>
          <w:rFonts w:cs="Times New Roman"/>
          <w:bCs/>
          <w:szCs w:val="24"/>
        </w:rPr>
        <w:t>the auditors as well as more general</w:t>
      </w:r>
      <w:r w:rsidR="00E35608">
        <w:rPr>
          <w:rFonts w:cs="Times New Roman"/>
          <w:bCs/>
          <w:szCs w:val="24"/>
        </w:rPr>
        <w:t xml:space="preserve"> M&amp;E know</w:t>
      </w:r>
      <w:r w:rsidR="007F0503">
        <w:rPr>
          <w:rFonts w:cs="Times New Roman"/>
          <w:bCs/>
          <w:szCs w:val="24"/>
        </w:rPr>
        <w:t xml:space="preserve">ledge </w:t>
      </w:r>
      <w:r w:rsidR="003B70EB">
        <w:rPr>
          <w:rFonts w:cs="Times New Roman"/>
          <w:bCs/>
          <w:szCs w:val="24"/>
        </w:rPr>
        <w:t xml:space="preserve">was strengthened and sustained </w:t>
      </w:r>
      <w:r w:rsidR="00232B3C">
        <w:rPr>
          <w:rFonts w:cs="Times New Roman"/>
          <w:bCs/>
          <w:szCs w:val="24"/>
        </w:rPr>
        <w:t>within each unit</w:t>
      </w:r>
      <w:r w:rsidR="003B70EB">
        <w:rPr>
          <w:rFonts w:cs="Times New Roman"/>
          <w:bCs/>
          <w:szCs w:val="24"/>
        </w:rPr>
        <w:t>. This was particularly true at the provincial level</w:t>
      </w:r>
      <w:r w:rsidR="00644B57">
        <w:rPr>
          <w:rFonts w:cs="Times New Roman"/>
          <w:bCs/>
          <w:szCs w:val="24"/>
        </w:rPr>
        <w:t>.</w:t>
      </w:r>
    </w:p>
    <w:p w:rsidR="005B04D9" w:rsidRDefault="005B04D9" w:rsidP="00A13A7B">
      <w:pPr>
        <w:pStyle w:val="Heading3"/>
        <w:spacing w:before="0" w:beforeAutospacing="0"/>
        <w:jc w:val="both"/>
        <w:rPr>
          <w:sz w:val="24"/>
          <w:szCs w:val="24"/>
        </w:rPr>
      </w:pPr>
    </w:p>
    <w:p w:rsidR="00185AA8" w:rsidRDefault="00185AA8" w:rsidP="00A13A7B">
      <w:pPr>
        <w:pStyle w:val="Heading3"/>
        <w:spacing w:before="0" w:beforeAutospacing="0"/>
        <w:jc w:val="both"/>
        <w:rPr>
          <w:sz w:val="24"/>
          <w:szCs w:val="24"/>
        </w:rPr>
      </w:pPr>
    </w:p>
    <w:p w:rsidR="00C67D43" w:rsidRPr="00816C1F" w:rsidRDefault="00C67D43" w:rsidP="00A13A7B">
      <w:pPr>
        <w:pStyle w:val="Heading3"/>
        <w:spacing w:before="0" w:beforeAutospacing="0"/>
        <w:jc w:val="both"/>
        <w:rPr>
          <w:sz w:val="24"/>
          <w:szCs w:val="24"/>
        </w:rPr>
      </w:pPr>
      <w:r w:rsidRPr="00816C1F">
        <w:rPr>
          <w:sz w:val="24"/>
          <w:szCs w:val="24"/>
        </w:rPr>
        <w:lastRenderedPageBreak/>
        <w:t>2.4 Safeguard and Fiduciary Compliance</w:t>
      </w:r>
    </w:p>
    <w:p w:rsidR="00BA04CB" w:rsidRDefault="00BA04CB" w:rsidP="00F53F2E">
      <w:pPr>
        <w:pStyle w:val="HTMLPreformatted"/>
        <w:autoSpaceDE w:val="0"/>
        <w:autoSpaceDN w:val="0"/>
        <w:adjustRightInd w:val="0"/>
        <w:jc w:val="both"/>
        <w:rPr>
          <w:b/>
          <w:bCs/>
        </w:rPr>
      </w:pPr>
    </w:p>
    <w:p w:rsidR="00460A33" w:rsidRPr="00816C1F" w:rsidRDefault="00460A33" w:rsidP="00305FBA">
      <w:pPr>
        <w:pStyle w:val="HTMLPreformatted"/>
        <w:numPr>
          <w:ilvl w:val="0"/>
          <w:numId w:val="1"/>
        </w:numPr>
        <w:autoSpaceDE w:val="0"/>
        <w:autoSpaceDN w:val="0"/>
        <w:adjustRightInd w:val="0"/>
        <w:ind w:left="0" w:firstLine="0"/>
        <w:jc w:val="both"/>
      </w:pPr>
      <w:bookmarkStart w:id="137" w:name="SEC74"/>
      <w:bookmarkEnd w:id="137"/>
      <w:r w:rsidRPr="007565D5">
        <w:rPr>
          <w:b/>
          <w:color w:val="000000"/>
        </w:rPr>
        <w:t>The Environmental Safeguard was triggered</w:t>
      </w:r>
      <w:r w:rsidR="005B73BB" w:rsidRPr="007565D5">
        <w:rPr>
          <w:b/>
          <w:color w:val="000000"/>
        </w:rPr>
        <w:t xml:space="preserve"> (</w:t>
      </w:r>
      <w:r w:rsidR="005B73BB" w:rsidRPr="007565D5">
        <w:rPr>
          <w:b/>
        </w:rPr>
        <w:t>OP4.01)</w:t>
      </w:r>
      <w:r w:rsidRPr="007565D5">
        <w:rPr>
          <w:b/>
          <w:color w:val="000000"/>
        </w:rPr>
        <w:t xml:space="preserve"> as a result </w:t>
      </w:r>
      <w:r w:rsidR="00BA04CB" w:rsidRPr="007565D5">
        <w:rPr>
          <w:b/>
          <w:color w:val="000000"/>
        </w:rPr>
        <w:t xml:space="preserve">of the increase in health care waste production due to </w:t>
      </w:r>
      <w:r w:rsidRPr="007565D5">
        <w:rPr>
          <w:b/>
          <w:color w:val="000000"/>
        </w:rPr>
        <w:t xml:space="preserve">the implementation of Component </w:t>
      </w:r>
      <w:r w:rsidR="006142B6" w:rsidRPr="007565D5">
        <w:rPr>
          <w:b/>
          <w:color w:val="000000"/>
        </w:rPr>
        <w:t>2</w:t>
      </w:r>
      <w:r w:rsidRPr="007565D5">
        <w:rPr>
          <w:b/>
          <w:color w:val="000000"/>
        </w:rPr>
        <w:t>.</w:t>
      </w:r>
      <w:r w:rsidR="0077263C">
        <w:t xml:space="preserve"> </w:t>
      </w:r>
      <w:r w:rsidR="005A2B7A">
        <w:t>E</w:t>
      </w:r>
      <w:r w:rsidR="00BF57AD">
        <w:t xml:space="preserve">nvironmental safeguards coincided with </w:t>
      </w:r>
      <w:r w:rsidR="005A2B7A">
        <w:t>those</w:t>
      </w:r>
      <w:r w:rsidR="00BF57AD">
        <w:t xml:space="preserve"> within the FESP framework, generat</w:t>
      </w:r>
      <w:r w:rsidR="00AE6D01">
        <w:t>ing</w:t>
      </w:r>
      <w:r w:rsidR="00BF57AD">
        <w:t xml:space="preserve"> synergies </w:t>
      </w:r>
      <w:r w:rsidR="00AE6D01">
        <w:t>between both Projects</w:t>
      </w:r>
      <w:r w:rsidR="00BF57AD">
        <w:t xml:space="preserve">. </w:t>
      </w:r>
      <w:r w:rsidR="00512EFB" w:rsidRPr="00BF57AD">
        <w:t xml:space="preserve">The safeguard was based on environmental diagnostics realized in </w:t>
      </w:r>
      <w:r w:rsidR="00111BD6">
        <w:t>A</w:t>
      </w:r>
      <w:r w:rsidR="00512EFB" w:rsidRPr="00BF57AD">
        <w:t xml:space="preserve">rgentine hospitals via FESP, </w:t>
      </w:r>
      <w:r w:rsidR="00BF57AD" w:rsidRPr="00BF57AD">
        <w:t>for the control of health care waste in health establishments, including the disposal of vaccines.</w:t>
      </w:r>
      <w:r w:rsidR="00BF57AD">
        <w:t xml:space="preserve"> </w:t>
      </w:r>
      <w:r w:rsidR="00304C84">
        <w:t>M</w:t>
      </w:r>
      <w:r w:rsidR="0077263C">
        <w:t xml:space="preserve">edical waste management demonstrated full </w:t>
      </w:r>
      <w:r w:rsidR="004114D9">
        <w:t>compliance</w:t>
      </w:r>
      <w:r w:rsidR="0077263C">
        <w:t xml:space="preserve"> with environmental safeguard measures in participating hospitals</w:t>
      </w:r>
      <w:r w:rsidR="005B7C9D">
        <w:t xml:space="preserve">, </w:t>
      </w:r>
      <w:r w:rsidR="0077263C">
        <w:t>includ</w:t>
      </w:r>
      <w:r w:rsidR="005B7C9D">
        <w:t>ing</w:t>
      </w:r>
      <w:r w:rsidR="0077263C">
        <w:t xml:space="preserve"> </w:t>
      </w:r>
      <w:r w:rsidR="005B7C9D">
        <w:t xml:space="preserve">bio-safety regulation </w:t>
      </w:r>
      <w:r w:rsidR="0077263C">
        <w:t xml:space="preserve">compliance, use of disposable supplies, </w:t>
      </w:r>
      <w:r w:rsidR="005B7C9D">
        <w:t xml:space="preserve">bio-contaminated product </w:t>
      </w:r>
      <w:r w:rsidR="0077263C">
        <w:t xml:space="preserve">segregation, and use of approved medical waste containers. </w:t>
      </w:r>
      <w:r w:rsidR="005B7C9D">
        <w:t>Furthermore, t</w:t>
      </w:r>
      <w:r w:rsidR="00370EE7">
        <w:t xml:space="preserve">he Project contributed to the development of a National Guide for </w:t>
      </w:r>
      <w:r w:rsidR="00621D7F">
        <w:t xml:space="preserve">the </w:t>
      </w:r>
      <w:r w:rsidR="00370EE7">
        <w:t xml:space="preserve">management </w:t>
      </w:r>
      <w:r w:rsidR="00304C84">
        <w:t xml:space="preserve">and disposal of vaccines </w:t>
      </w:r>
      <w:r w:rsidR="00370EE7">
        <w:t>and segregation of bio-contaminated p</w:t>
      </w:r>
      <w:r w:rsidR="00621D7F">
        <w:t>rodu</w:t>
      </w:r>
      <w:r w:rsidR="001E245F">
        <w:t>c</w:t>
      </w:r>
      <w:r w:rsidR="00621D7F">
        <w:t>ts</w:t>
      </w:r>
      <w:r w:rsidR="005B7C9D">
        <w:t>, and s</w:t>
      </w:r>
      <w:r w:rsidR="00370EE7">
        <w:t>upervis</w:t>
      </w:r>
      <w:r w:rsidR="005B7C9D">
        <w:t>ed</w:t>
      </w:r>
      <w:r w:rsidR="00370EE7">
        <w:t xml:space="preserve"> 30 provincial hospitals</w:t>
      </w:r>
      <w:r w:rsidR="005B7C9D">
        <w:t>,</w:t>
      </w:r>
      <w:r w:rsidR="00370EE7">
        <w:t xml:space="preserve"> surpassing the 21 hospitals initially considered, proving a satisfactory outcome</w:t>
      </w:r>
      <w:r w:rsidR="00322276">
        <w:t xml:space="preserve">, as rated in </w:t>
      </w:r>
      <w:r w:rsidR="00E179B3">
        <w:t>the</w:t>
      </w:r>
      <w:r w:rsidR="00322276">
        <w:t xml:space="preserve"> last </w:t>
      </w:r>
      <w:r w:rsidR="0050245A">
        <w:t>Implementation Status and Results Report (</w:t>
      </w:r>
      <w:r w:rsidR="00322276">
        <w:t>ISR</w:t>
      </w:r>
      <w:r w:rsidR="0050245A">
        <w:t>)</w:t>
      </w:r>
      <w:r w:rsidR="00322276">
        <w:t>.</w:t>
      </w:r>
    </w:p>
    <w:p w:rsidR="00031785" w:rsidRPr="002E2797" w:rsidRDefault="00031785" w:rsidP="00031785">
      <w:pPr>
        <w:pStyle w:val="HTMLPreformatted"/>
        <w:jc w:val="both"/>
        <w:rPr>
          <w:rFonts w:cs="Times New Roman"/>
        </w:rPr>
      </w:pPr>
    </w:p>
    <w:p w:rsidR="00DF619C" w:rsidRDefault="00F15CC1" w:rsidP="00CC11AF">
      <w:pPr>
        <w:pStyle w:val="HTMLPreformatted"/>
        <w:numPr>
          <w:ilvl w:val="0"/>
          <w:numId w:val="1"/>
        </w:numPr>
        <w:autoSpaceDE w:val="0"/>
        <w:autoSpaceDN w:val="0"/>
        <w:adjustRightInd w:val="0"/>
        <w:ind w:left="0" w:firstLine="0"/>
        <w:jc w:val="both"/>
        <w:rPr>
          <w:bCs/>
        </w:rPr>
      </w:pPr>
      <w:r w:rsidRPr="007565D5">
        <w:rPr>
          <w:b/>
          <w:bCs/>
        </w:rPr>
        <w:t>The Indigenous People</w:t>
      </w:r>
      <w:r w:rsidR="00B739DE" w:rsidRPr="007565D5">
        <w:rPr>
          <w:b/>
          <w:bCs/>
        </w:rPr>
        <w:t xml:space="preserve"> (IP)</w:t>
      </w:r>
      <w:r w:rsidRPr="007565D5">
        <w:rPr>
          <w:b/>
          <w:bCs/>
        </w:rPr>
        <w:t xml:space="preserve"> Safeguard was triggered </w:t>
      </w:r>
      <w:r w:rsidR="003D59A8" w:rsidRPr="007565D5">
        <w:rPr>
          <w:b/>
          <w:bCs/>
        </w:rPr>
        <w:t>in 15 out of the 23 province</w:t>
      </w:r>
      <w:r w:rsidR="00B90D90" w:rsidRPr="007565D5">
        <w:rPr>
          <w:b/>
          <w:bCs/>
        </w:rPr>
        <w:t xml:space="preserve">s in accordance with the </w:t>
      </w:r>
      <w:r w:rsidR="00524B3E" w:rsidRPr="007565D5">
        <w:rPr>
          <w:b/>
          <w:bCs/>
        </w:rPr>
        <w:t>Indigenous Peoples Plan (</w:t>
      </w:r>
      <w:r w:rsidR="003D59A8" w:rsidRPr="007565D5">
        <w:rPr>
          <w:b/>
          <w:bCs/>
        </w:rPr>
        <w:t>IP</w:t>
      </w:r>
      <w:r w:rsidR="00B90D90" w:rsidRPr="007565D5">
        <w:rPr>
          <w:b/>
          <w:bCs/>
        </w:rPr>
        <w:t>P</w:t>
      </w:r>
      <w:r w:rsidR="00524B3E" w:rsidRPr="007565D5">
        <w:rPr>
          <w:b/>
          <w:bCs/>
        </w:rPr>
        <w:t>)</w:t>
      </w:r>
      <w:r w:rsidR="003D59A8" w:rsidRPr="007565D5">
        <w:rPr>
          <w:b/>
          <w:bCs/>
        </w:rPr>
        <w:t>.</w:t>
      </w:r>
      <w:r w:rsidR="003D59A8">
        <w:rPr>
          <w:bCs/>
        </w:rPr>
        <w:t xml:space="preserve"> </w:t>
      </w:r>
      <w:r w:rsidR="006D5AB8">
        <w:rPr>
          <w:bCs/>
        </w:rPr>
        <w:t>These</w:t>
      </w:r>
      <w:r w:rsidR="003D469C">
        <w:rPr>
          <w:bCs/>
        </w:rPr>
        <w:t xml:space="preserve"> provinces already counted </w:t>
      </w:r>
      <w:r w:rsidR="00111BD6">
        <w:rPr>
          <w:bCs/>
        </w:rPr>
        <w:t>with</w:t>
      </w:r>
      <w:r w:rsidR="003D469C">
        <w:rPr>
          <w:bCs/>
        </w:rPr>
        <w:t xml:space="preserve"> IPP</w:t>
      </w:r>
      <w:r w:rsidR="00CC69DD">
        <w:rPr>
          <w:bCs/>
        </w:rPr>
        <w:t>s</w:t>
      </w:r>
      <w:r w:rsidR="003D469C">
        <w:rPr>
          <w:bCs/>
        </w:rPr>
        <w:t>, pre</w:t>
      </w:r>
      <w:r w:rsidR="00B90D90" w:rsidRPr="00B90D90">
        <w:rPr>
          <w:bCs/>
        </w:rPr>
        <w:t xml:space="preserve">pared in consultation with the </w:t>
      </w:r>
      <w:r w:rsidR="00B90D90" w:rsidRPr="00B90D90">
        <w:t>I</w:t>
      </w:r>
      <w:r w:rsidR="00B90D90">
        <w:t>ndigenous Participation Council of the National Institute for Indigenous Affairs</w:t>
      </w:r>
      <w:r w:rsidR="003D469C">
        <w:t xml:space="preserve"> during FESP </w:t>
      </w:r>
      <w:r w:rsidR="00304C84">
        <w:t xml:space="preserve">I Project </w:t>
      </w:r>
      <w:r w:rsidR="003D469C">
        <w:t>preparation</w:t>
      </w:r>
      <w:r w:rsidR="00B90D90">
        <w:t>.</w:t>
      </w:r>
      <w:r w:rsidR="006D5AB8">
        <w:rPr>
          <w:rStyle w:val="FootnoteReference"/>
        </w:rPr>
        <w:footnoteReference w:id="16"/>
      </w:r>
      <w:r w:rsidR="00B90D90">
        <w:t xml:space="preserve"> IPPs contained activities designed to make the delivery of </w:t>
      </w:r>
      <w:r w:rsidR="00CC69DD">
        <w:t>Priority Public Health Programs (</w:t>
      </w:r>
      <w:r w:rsidR="00B90D90">
        <w:t>PPHPs</w:t>
      </w:r>
      <w:r w:rsidR="00CC69DD">
        <w:t>)</w:t>
      </w:r>
      <w:r w:rsidR="00B90D90">
        <w:t xml:space="preserve"> more culturally relevant and sensitive.</w:t>
      </w:r>
      <w:r w:rsidR="00216407">
        <w:t xml:space="preserve"> </w:t>
      </w:r>
      <w:r w:rsidR="00CC11AF" w:rsidRPr="006142B6">
        <w:rPr>
          <w:bCs/>
        </w:rPr>
        <w:t>T</w:t>
      </w:r>
      <w:r w:rsidR="003D59A8">
        <w:rPr>
          <w:bCs/>
        </w:rPr>
        <w:t>he P</w:t>
      </w:r>
      <w:r w:rsidR="00D76E7F">
        <w:rPr>
          <w:bCs/>
        </w:rPr>
        <w:t xml:space="preserve">roject </w:t>
      </w:r>
      <w:r w:rsidR="00111BD6">
        <w:rPr>
          <w:bCs/>
        </w:rPr>
        <w:t>disseminated</w:t>
      </w:r>
      <w:r w:rsidR="00D76E7F">
        <w:rPr>
          <w:bCs/>
        </w:rPr>
        <w:t xml:space="preserve"> </w:t>
      </w:r>
      <w:r w:rsidR="00CC11AF">
        <w:rPr>
          <w:bCs/>
        </w:rPr>
        <w:t>local</w:t>
      </w:r>
      <w:r w:rsidR="00111BD6">
        <w:rPr>
          <w:bCs/>
        </w:rPr>
        <w:t>ly</w:t>
      </w:r>
      <w:r w:rsidR="00994754">
        <w:rPr>
          <w:bCs/>
        </w:rPr>
        <w:t>-</w:t>
      </w:r>
      <w:r w:rsidR="00111BD6">
        <w:rPr>
          <w:bCs/>
        </w:rPr>
        <w:t>appropriate materials and</w:t>
      </w:r>
      <w:r w:rsidR="00CC11AF">
        <w:rPr>
          <w:bCs/>
        </w:rPr>
        <w:t xml:space="preserve"> in some cases indigenous language material</w:t>
      </w:r>
      <w:r w:rsidR="00111BD6">
        <w:rPr>
          <w:bCs/>
        </w:rPr>
        <w:t>s</w:t>
      </w:r>
      <w:r w:rsidR="00CC11AF">
        <w:rPr>
          <w:bCs/>
        </w:rPr>
        <w:t xml:space="preserve"> </w:t>
      </w:r>
      <w:r w:rsidR="00A01878">
        <w:rPr>
          <w:bCs/>
        </w:rPr>
        <w:t>prom</w:t>
      </w:r>
      <w:r w:rsidR="003D59A8">
        <w:rPr>
          <w:bCs/>
        </w:rPr>
        <w:t xml:space="preserve">oting vaccination against </w:t>
      </w:r>
      <w:r w:rsidR="00CC69DD">
        <w:rPr>
          <w:bCs/>
        </w:rPr>
        <w:t>A/</w:t>
      </w:r>
      <w:r w:rsidR="003D59A8">
        <w:rPr>
          <w:bCs/>
        </w:rPr>
        <w:t>H1N1</w:t>
      </w:r>
      <w:r w:rsidR="00A01878">
        <w:rPr>
          <w:bCs/>
        </w:rPr>
        <w:t xml:space="preserve">, </w:t>
      </w:r>
      <w:r w:rsidR="00304C84">
        <w:rPr>
          <w:bCs/>
        </w:rPr>
        <w:t xml:space="preserve">and </w:t>
      </w:r>
      <w:r w:rsidR="00A01878">
        <w:rPr>
          <w:bCs/>
        </w:rPr>
        <w:t>communication regarding self-</w:t>
      </w:r>
      <w:r w:rsidR="003D59A8">
        <w:rPr>
          <w:bCs/>
        </w:rPr>
        <w:t xml:space="preserve">care </w:t>
      </w:r>
      <w:r w:rsidR="00304C84">
        <w:rPr>
          <w:bCs/>
        </w:rPr>
        <w:t xml:space="preserve">and </w:t>
      </w:r>
      <w:r w:rsidR="003D59A8">
        <w:rPr>
          <w:bCs/>
        </w:rPr>
        <w:t xml:space="preserve">early </w:t>
      </w:r>
      <w:r w:rsidR="00304C84">
        <w:rPr>
          <w:bCs/>
        </w:rPr>
        <w:t xml:space="preserve">symptoms </w:t>
      </w:r>
      <w:r w:rsidR="003D59A8">
        <w:rPr>
          <w:bCs/>
        </w:rPr>
        <w:t xml:space="preserve">detection </w:t>
      </w:r>
      <w:r w:rsidR="00304C84">
        <w:rPr>
          <w:bCs/>
        </w:rPr>
        <w:t>v</w:t>
      </w:r>
      <w:r w:rsidR="003D59A8">
        <w:rPr>
          <w:bCs/>
        </w:rPr>
        <w:t xml:space="preserve">ia </w:t>
      </w:r>
      <w:r w:rsidR="00A01878">
        <w:rPr>
          <w:bCs/>
        </w:rPr>
        <w:t>the</w:t>
      </w:r>
      <w:r w:rsidR="003D59A8">
        <w:rPr>
          <w:bCs/>
        </w:rPr>
        <w:t xml:space="preserve"> </w:t>
      </w:r>
      <w:r w:rsidR="00A01878">
        <w:rPr>
          <w:bCs/>
        </w:rPr>
        <w:t>Social Communication Modules</w:t>
      </w:r>
      <w:r w:rsidR="003D59A8">
        <w:rPr>
          <w:bCs/>
        </w:rPr>
        <w:t xml:space="preserve">. </w:t>
      </w:r>
      <w:r w:rsidR="00111BD6">
        <w:rPr>
          <w:bCs/>
        </w:rPr>
        <w:t xml:space="preserve">Achievement of </w:t>
      </w:r>
      <w:r w:rsidR="00111BD6">
        <w:t>t</w:t>
      </w:r>
      <w:r w:rsidR="006142B6">
        <w:t>he IP safeguard was rated highly satisfactory in the last ISR.</w:t>
      </w:r>
    </w:p>
    <w:p w:rsidR="00F15CC1" w:rsidRDefault="00F15CC1" w:rsidP="00986BBD">
      <w:pPr>
        <w:autoSpaceDE w:val="0"/>
        <w:autoSpaceDN w:val="0"/>
        <w:adjustRightInd w:val="0"/>
        <w:rPr>
          <w:bCs/>
        </w:rPr>
      </w:pPr>
    </w:p>
    <w:p w:rsidR="00E12B30" w:rsidRPr="00455C32" w:rsidRDefault="00AB231D" w:rsidP="006142B6">
      <w:pPr>
        <w:pStyle w:val="HTMLPreformatted"/>
        <w:numPr>
          <w:ilvl w:val="0"/>
          <w:numId w:val="1"/>
        </w:numPr>
        <w:autoSpaceDE w:val="0"/>
        <w:autoSpaceDN w:val="0"/>
        <w:adjustRightInd w:val="0"/>
        <w:ind w:left="0" w:firstLine="0"/>
        <w:jc w:val="both"/>
      </w:pPr>
      <w:r w:rsidRPr="005B7C9D">
        <w:rPr>
          <w:b/>
        </w:rPr>
        <w:t xml:space="preserve">Financial Management (FM) arrangements in terms of accounting, budgeting, flow of </w:t>
      </w:r>
      <w:r w:rsidR="000813D9" w:rsidRPr="005B7C9D">
        <w:rPr>
          <w:b/>
        </w:rPr>
        <w:t>funds;</w:t>
      </w:r>
      <w:r w:rsidRPr="005B7C9D">
        <w:rPr>
          <w:b/>
        </w:rPr>
        <w:t xml:space="preserve"> internal control, external audit and financial reporting were performed </w:t>
      </w:r>
      <w:r w:rsidR="00E12B30" w:rsidRPr="005B7C9D">
        <w:rPr>
          <w:b/>
        </w:rPr>
        <w:t>s</w:t>
      </w:r>
      <w:r w:rsidRPr="005B7C9D">
        <w:rPr>
          <w:b/>
        </w:rPr>
        <w:t>atisfactor</w:t>
      </w:r>
      <w:r w:rsidR="00B15F45">
        <w:rPr>
          <w:b/>
        </w:rPr>
        <w:t>il</w:t>
      </w:r>
      <w:r w:rsidRPr="005B7C9D">
        <w:rPr>
          <w:b/>
        </w:rPr>
        <w:t>y in accordance with the last</w:t>
      </w:r>
      <w:r w:rsidR="00B73B43">
        <w:rPr>
          <w:b/>
        </w:rPr>
        <w:t xml:space="preserve"> ISR</w:t>
      </w:r>
      <w:r w:rsidRPr="005B7C9D">
        <w:rPr>
          <w:b/>
        </w:rPr>
        <w:t xml:space="preserve">. </w:t>
      </w:r>
      <w:r w:rsidRPr="00E12B30">
        <w:t>Overall Project FM ISR rating</w:t>
      </w:r>
      <w:r w:rsidR="0041606A">
        <w:t>s</w:t>
      </w:r>
      <w:r w:rsidRPr="00E12B30">
        <w:t xml:space="preserve"> ranged from moderately satisfactory to satisfactory during </w:t>
      </w:r>
      <w:r w:rsidR="001B4116">
        <w:t>P</w:t>
      </w:r>
      <w:r w:rsidR="001B4116" w:rsidRPr="00E12B30">
        <w:t xml:space="preserve">roject </w:t>
      </w:r>
      <w:r w:rsidRPr="00E12B30">
        <w:t>implementation</w:t>
      </w:r>
      <w:r>
        <w:t>.</w:t>
      </w:r>
      <w:r w:rsidR="00E12B30" w:rsidRPr="005B7C9D">
        <w:rPr>
          <w:b/>
        </w:rPr>
        <w:t xml:space="preserve"> </w:t>
      </w:r>
      <w:r w:rsidR="004F62AE">
        <w:t>The P</w:t>
      </w:r>
      <w:r w:rsidR="00E12B30" w:rsidRPr="00455C32">
        <w:t xml:space="preserve">roject team had a constructive engagement with the </w:t>
      </w:r>
      <w:r w:rsidR="001B4116">
        <w:t xml:space="preserve">World </w:t>
      </w:r>
      <w:r w:rsidR="00E12B30" w:rsidRPr="00455C32">
        <w:t xml:space="preserve">Bank on </w:t>
      </w:r>
      <w:r w:rsidR="004F62AE">
        <w:t xml:space="preserve">FM </w:t>
      </w:r>
      <w:r w:rsidR="00E12B30" w:rsidRPr="00455C32">
        <w:t xml:space="preserve">aspects throughout implementation. FM advice was provided </w:t>
      </w:r>
      <w:r w:rsidR="004F62AE">
        <w:t>i</w:t>
      </w:r>
      <w:r w:rsidR="00E12B30" w:rsidRPr="00455C32">
        <w:t>n a timely manner. Minor FM shortcomings identified during supervision missions were properly ad</w:t>
      </w:r>
      <w:r w:rsidR="00E12B30">
        <w:t>dressed by the P</w:t>
      </w:r>
      <w:r w:rsidR="00E12B30" w:rsidRPr="00455C32">
        <w:t xml:space="preserve">roject team and FM agreed actions were fully complied with. As a result of this effort, </w:t>
      </w:r>
      <w:r w:rsidR="00E12B30">
        <w:t xml:space="preserve">the </w:t>
      </w:r>
      <w:r w:rsidR="00E12B30" w:rsidRPr="00455C32">
        <w:t xml:space="preserve">quality </w:t>
      </w:r>
      <w:r w:rsidR="00E12B30">
        <w:t xml:space="preserve">and timeliness </w:t>
      </w:r>
      <w:r w:rsidR="00E12B30" w:rsidRPr="00455C32">
        <w:t xml:space="preserve">of </w:t>
      </w:r>
      <w:r w:rsidR="00E12B30">
        <w:t xml:space="preserve">the </w:t>
      </w:r>
      <w:r w:rsidR="00E12B30" w:rsidRPr="00455C32">
        <w:t>Interim</w:t>
      </w:r>
      <w:r w:rsidR="00E12B30" w:rsidRPr="005B7C9D">
        <w:rPr>
          <w:color w:val="000000"/>
        </w:rPr>
        <w:t xml:space="preserve"> Financial Reports (</w:t>
      </w:r>
      <w:r w:rsidR="00E12B30" w:rsidRPr="00455C32">
        <w:t>IFRs</w:t>
      </w:r>
      <w:r w:rsidR="00E12B30">
        <w:t>)</w:t>
      </w:r>
      <w:r w:rsidR="00E12B30" w:rsidRPr="00455C32">
        <w:t xml:space="preserve"> improved. Financial </w:t>
      </w:r>
      <w:r w:rsidR="00616838">
        <w:t>s</w:t>
      </w:r>
      <w:r w:rsidR="00E12B30" w:rsidRPr="00455C32">
        <w:t xml:space="preserve">tatements </w:t>
      </w:r>
      <w:r w:rsidR="00616838">
        <w:t>a</w:t>
      </w:r>
      <w:r w:rsidR="00E12B30" w:rsidRPr="00455C32">
        <w:t xml:space="preserve">udit </w:t>
      </w:r>
      <w:r w:rsidR="00616838">
        <w:t>r</w:t>
      </w:r>
      <w:r w:rsidR="00E12B30" w:rsidRPr="00455C32">
        <w:t xml:space="preserve">eports were submitted to the </w:t>
      </w:r>
      <w:r w:rsidR="00AC14AA">
        <w:t xml:space="preserve">World </w:t>
      </w:r>
      <w:r w:rsidR="00E12B30" w:rsidRPr="00455C32">
        <w:t xml:space="preserve">Bank with some delay; were reviewed and found acceptable. </w:t>
      </w:r>
      <w:r w:rsidR="00E12B30">
        <w:t>The f</w:t>
      </w:r>
      <w:r w:rsidR="00E12B30" w:rsidRPr="00455C32">
        <w:t xml:space="preserve">inal audit report is expected to be submitted on June 30, 2014. </w:t>
      </w:r>
      <w:r w:rsidR="00E12B30" w:rsidRPr="00455C32">
        <w:rPr>
          <w:color w:val="000000"/>
        </w:rPr>
        <w:t>In addition to financial audits, t</w:t>
      </w:r>
      <w:r w:rsidR="00FA76ED">
        <w:t>he P</w:t>
      </w:r>
      <w:r w:rsidR="00E12B30" w:rsidRPr="00455C32">
        <w:t>roject had independent technical audit</w:t>
      </w:r>
      <w:r w:rsidR="008A2568">
        <w:t>s</w:t>
      </w:r>
      <w:r w:rsidR="00E12B30" w:rsidRPr="00455C32">
        <w:t xml:space="preserve"> (I</w:t>
      </w:r>
      <w:r w:rsidR="00616838">
        <w:t>TA</w:t>
      </w:r>
      <w:r w:rsidR="00E12B30" w:rsidRPr="00455C32">
        <w:t xml:space="preserve">) carried out by the private firm </w:t>
      </w:r>
      <w:r w:rsidR="00E12B30" w:rsidRPr="0063364B">
        <w:t>"</w:t>
      </w:r>
      <w:r w:rsidR="00E12B30" w:rsidRPr="0063364B">
        <w:rPr>
          <w:i/>
        </w:rPr>
        <w:t>Bértora</w:t>
      </w:r>
      <w:r w:rsidR="00E12B30" w:rsidRPr="00455C32">
        <w:rPr>
          <w:i/>
        </w:rPr>
        <w:t xml:space="preserve"> y</w:t>
      </w:r>
      <w:r w:rsidR="00E12B30" w:rsidRPr="0063364B">
        <w:rPr>
          <w:i/>
        </w:rPr>
        <w:t xml:space="preserve"> Asociados</w:t>
      </w:r>
      <w:r w:rsidR="00E12B30" w:rsidRPr="00455C32">
        <w:t xml:space="preserve">", whose objective was to audit the veracity and reliability of </w:t>
      </w:r>
      <w:r w:rsidR="00E12B30">
        <w:t>health intervention</w:t>
      </w:r>
      <w:r w:rsidR="008C46D7">
        <w:t xml:space="preserve"> results linked to disbursements </w:t>
      </w:r>
      <w:r w:rsidR="008C46D7">
        <w:lastRenderedPageBreak/>
        <w:t>(</w:t>
      </w:r>
      <w:r w:rsidR="00E12B30" w:rsidRPr="00455C32">
        <w:t>outputs</w:t>
      </w:r>
      <w:r w:rsidR="008C46D7">
        <w:t>)</w:t>
      </w:r>
      <w:r w:rsidR="00E12B30" w:rsidRPr="00455C32">
        <w:t xml:space="preserve">. </w:t>
      </w:r>
      <w:r w:rsidR="00616838">
        <w:t>ITA</w:t>
      </w:r>
      <w:r w:rsidR="00E12B30" w:rsidRPr="00455C32">
        <w:t xml:space="preserve"> reports were reviewed whenever outputs were documented </w:t>
      </w:r>
      <w:r w:rsidR="008A2568">
        <w:t>with</w:t>
      </w:r>
      <w:r w:rsidR="00E12B30" w:rsidRPr="00455C32">
        <w:t xml:space="preserve"> IFR</w:t>
      </w:r>
      <w:r w:rsidR="008A2568">
        <w:t xml:space="preserve"> </w:t>
      </w:r>
      <w:r w:rsidR="008A2568" w:rsidRPr="00455C32">
        <w:t>submission</w:t>
      </w:r>
      <w:r w:rsidR="008A2568">
        <w:t>s.</w:t>
      </w:r>
    </w:p>
    <w:p w:rsidR="00AB231D" w:rsidRPr="00816C1F" w:rsidRDefault="00AB231D" w:rsidP="00AB231D">
      <w:pPr>
        <w:jc w:val="both"/>
        <w:rPr>
          <w:lang w:eastAsia="en-US"/>
        </w:rPr>
      </w:pPr>
    </w:p>
    <w:p w:rsidR="000420FE" w:rsidRPr="003D29D3" w:rsidRDefault="00AB231D" w:rsidP="0014083C">
      <w:pPr>
        <w:pStyle w:val="HTMLPreformatted"/>
        <w:numPr>
          <w:ilvl w:val="0"/>
          <w:numId w:val="1"/>
        </w:numPr>
        <w:autoSpaceDE w:val="0"/>
        <w:autoSpaceDN w:val="0"/>
        <w:adjustRightInd w:val="0"/>
        <w:ind w:left="0" w:firstLine="0"/>
        <w:jc w:val="both"/>
        <w:rPr>
          <w:color w:val="000000"/>
        </w:rPr>
      </w:pPr>
      <w:r w:rsidRPr="00B15F45">
        <w:rPr>
          <w:b/>
          <w:color w:val="000000"/>
        </w:rPr>
        <w:t>In May 2012 a</w:t>
      </w:r>
      <w:r w:rsidR="00F30031" w:rsidRPr="00B15F45">
        <w:rPr>
          <w:b/>
          <w:color w:val="000000"/>
        </w:rPr>
        <w:t>n</w:t>
      </w:r>
      <w:r w:rsidRPr="00B15F45">
        <w:rPr>
          <w:b/>
          <w:color w:val="000000"/>
        </w:rPr>
        <w:t xml:space="preserve"> Independent </w:t>
      </w:r>
      <w:r w:rsidR="00F30031" w:rsidRPr="00B15F45">
        <w:rPr>
          <w:b/>
          <w:color w:val="000000"/>
        </w:rPr>
        <w:t xml:space="preserve">Procurement </w:t>
      </w:r>
      <w:r w:rsidRPr="00B15F45">
        <w:rPr>
          <w:b/>
          <w:color w:val="000000"/>
        </w:rPr>
        <w:t>Review was conducted</w:t>
      </w:r>
      <w:r w:rsidR="00244CCB" w:rsidRPr="00B15F45">
        <w:rPr>
          <w:b/>
          <w:color w:val="000000"/>
        </w:rPr>
        <w:t>, which</w:t>
      </w:r>
      <w:r w:rsidRPr="00B15F45">
        <w:rPr>
          <w:b/>
          <w:color w:val="000000"/>
        </w:rPr>
        <w:t xml:space="preserve"> included a review of UFI</w:t>
      </w:r>
      <w:r w:rsidR="00E12B30" w:rsidRPr="00B15F45">
        <w:rPr>
          <w:b/>
          <w:color w:val="000000"/>
        </w:rPr>
        <w:t>-S</w:t>
      </w:r>
      <w:r w:rsidRPr="00B15F45">
        <w:rPr>
          <w:b/>
          <w:color w:val="000000"/>
        </w:rPr>
        <w:t xml:space="preserve"> capacity to handle procurement</w:t>
      </w:r>
      <w:r w:rsidR="005F346A" w:rsidRPr="00B15F45">
        <w:rPr>
          <w:b/>
          <w:color w:val="000000"/>
        </w:rPr>
        <w:t>,</w:t>
      </w:r>
      <w:r w:rsidRPr="00B15F45">
        <w:rPr>
          <w:b/>
          <w:color w:val="000000"/>
        </w:rPr>
        <w:t xml:space="preserve"> and of a sample of contracts.</w:t>
      </w:r>
      <w:r>
        <w:rPr>
          <w:color w:val="000000"/>
        </w:rPr>
        <w:t xml:space="preserve"> The findings showed </w:t>
      </w:r>
      <w:r w:rsidRPr="00D16F18">
        <w:rPr>
          <w:color w:val="000000"/>
        </w:rPr>
        <w:t xml:space="preserve">significant efforts </w:t>
      </w:r>
      <w:r>
        <w:rPr>
          <w:color w:val="000000"/>
        </w:rPr>
        <w:t xml:space="preserve">undertaken </w:t>
      </w:r>
      <w:r w:rsidRPr="00D16F18">
        <w:rPr>
          <w:color w:val="000000"/>
        </w:rPr>
        <w:t xml:space="preserve">by the UFI-S to maintain </w:t>
      </w:r>
      <w:r w:rsidR="00E12B30">
        <w:rPr>
          <w:color w:val="000000"/>
        </w:rPr>
        <w:t>and comply with</w:t>
      </w:r>
      <w:r w:rsidRPr="00D16F18">
        <w:rPr>
          <w:color w:val="000000"/>
        </w:rPr>
        <w:t xml:space="preserve"> </w:t>
      </w:r>
      <w:r w:rsidR="00E12B30">
        <w:rPr>
          <w:color w:val="000000"/>
        </w:rPr>
        <w:t>procurement</w:t>
      </w:r>
      <w:r w:rsidR="00244CCB">
        <w:rPr>
          <w:color w:val="000000"/>
        </w:rPr>
        <w:t xml:space="preserve"> regulations</w:t>
      </w:r>
      <w:r w:rsidRPr="00D16F18">
        <w:rPr>
          <w:color w:val="000000"/>
        </w:rPr>
        <w:t xml:space="preserve">, good internal control mechanisms and adequate </w:t>
      </w:r>
      <w:r>
        <w:rPr>
          <w:color w:val="000000"/>
        </w:rPr>
        <w:t xml:space="preserve">procurement </w:t>
      </w:r>
      <w:r w:rsidRPr="00D16F18">
        <w:rPr>
          <w:color w:val="000000"/>
        </w:rPr>
        <w:t>performance</w:t>
      </w:r>
      <w:r w:rsidR="00244CCB">
        <w:rPr>
          <w:color w:val="000000"/>
        </w:rPr>
        <w:t xml:space="preserve">, while </w:t>
      </w:r>
      <w:r w:rsidRPr="00D16F18">
        <w:rPr>
          <w:color w:val="000000"/>
        </w:rPr>
        <w:t>highlight</w:t>
      </w:r>
      <w:r w:rsidR="00244CCB">
        <w:rPr>
          <w:color w:val="000000"/>
        </w:rPr>
        <w:t>ing</w:t>
      </w:r>
      <w:r w:rsidRPr="00D16F18">
        <w:rPr>
          <w:color w:val="000000"/>
        </w:rPr>
        <w:t xml:space="preserve"> some </w:t>
      </w:r>
      <w:r w:rsidR="00477688">
        <w:rPr>
          <w:color w:val="000000"/>
        </w:rPr>
        <w:t xml:space="preserve">procurement </w:t>
      </w:r>
      <w:r w:rsidR="00477688" w:rsidRPr="00D16F18">
        <w:rPr>
          <w:color w:val="000000"/>
        </w:rPr>
        <w:t xml:space="preserve">management </w:t>
      </w:r>
      <w:r w:rsidRPr="00D16F18">
        <w:rPr>
          <w:color w:val="000000"/>
        </w:rPr>
        <w:t>weaknesses</w:t>
      </w:r>
      <w:r>
        <w:rPr>
          <w:color w:val="000000"/>
        </w:rPr>
        <w:t>.</w:t>
      </w:r>
      <w:r w:rsidR="00244CCB">
        <w:rPr>
          <w:b/>
          <w:color w:val="000000"/>
        </w:rPr>
        <w:t xml:space="preserve"> </w:t>
      </w:r>
      <w:r w:rsidR="005E4635" w:rsidRPr="00477688">
        <w:rPr>
          <w:color w:val="000000"/>
        </w:rPr>
        <w:t xml:space="preserve">Despite risks </w:t>
      </w:r>
      <w:r w:rsidR="00A01665">
        <w:rPr>
          <w:color w:val="000000"/>
        </w:rPr>
        <w:t xml:space="preserve">and characteristics of the vaccine market included in the PAD, </w:t>
      </w:r>
      <w:r w:rsidR="00A34793">
        <w:rPr>
          <w:color w:val="000000"/>
        </w:rPr>
        <w:t xml:space="preserve">the </w:t>
      </w:r>
      <w:r w:rsidR="00B77131" w:rsidRPr="00477688">
        <w:rPr>
          <w:color w:val="000000"/>
        </w:rPr>
        <w:t xml:space="preserve">World </w:t>
      </w:r>
      <w:r w:rsidR="007B57F3" w:rsidRPr="00477688">
        <w:rPr>
          <w:color w:val="000000"/>
        </w:rPr>
        <w:t xml:space="preserve">Bank </w:t>
      </w:r>
      <w:r w:rsidR="0027654F" w:rsidRPr="00477688">
        <w:rPr>
          <w:color w:val="000000"/>
        </w:rPr>
        <w:t>de</w:t>
      </w:r>
      <w:r w:rsidR="00304C84" w:rsidRPr="00477688">
        <w:rPr>
          <w:color w:val="000000"/>
        </w:rPr>
        <w:t>ci</w:t>
      </w:r>
      <w:r w:rsidR="00A34793">
        <w:rPr>
          <w:color w:val="000000"/>
        </w:rPr>
        <w:t>ded</w:t>
      </w:r>
      <w:r w:rsidR="00304C84" w:rsidRPr="00477688">
        <w:rPr>
          <w:color w:val="000000"/>
        </w:rPr>
        <w:t xml:space="preserve"> </w:t>
      </w:r>
      <w:r w:rsidR="00A34793">
        <w:rPr>
          <w:color w:val="000000"/>
        </w:rPr>
        <w:t xml:space="preserve">not to </w:t>
      </w:r>
      <w:r w:rsidR="00304C84" w:rsidRPr="00477688">
        <w:rPr>
          <w:color w:val="000000"/>
        </w:rPr>
        <w:t>financ</w:t>
      </w:r>
      <w:r w:rsidR="00A34793">
        <w:rPr>
          <w:color w:val="000000"/>
        </w:rPr>
        <w:t>e (retroactively) the purchase of vaccines</w:t>
      </w:r>
      <w:r w:rsidR="005E4635">
        <w:rPr>
          <w:color w:val="000000"/>
        </w:rPr>
        <w:t xml:space="preserve"> because</w:t>
      </w:r>
      <w:r w:rsidR="005E4635" w:rsidRPr="005E4635">
        <w:rPr>
          <w:color w:val="000000"/>
        </w:rPr>
        <w:t xml:space="preserve"> </w:t>
      </w:r>
      <w:r w:rsidR="005E4635" w:rsidRPr="00AE214D">
        <w:rPr>
          <w:color w:val="000000"/>
        </w:rPr>
        <w:t xml:space="preserve">the </w:t>
      </w:r>
      <w:r w:rsidR="00A01665">
        <w:rPr>
          <w:color w:val="000000"/>
        </w:rPr>
        <w:t xml:space="preserve">purchase </w:t>
      </w:r>
      <w:r w:rsidR="005E4635" w:rsidRPr="00AE214D">
        <w:rPr>
          <w:color w:val="000000"/>
        </w:rPr>
        <w:t xml:space="preserve">process </w:t>
      </w:r>
      <w:r w:rsidR="005E4635">
        <w:rPr>
          <w:color w:val="000000"/>
        </w:rPr>
        <w:t xml:space="preserve">carried out by the GOA </w:t>
      </w:r>
      <w:r w:rsidR="005E4635" w:rsidRPr="00AE214D">
        <w:rPr>
          <w:color w:val="000000"/>
        </w:rPr>
        <w:t>resulted in a single offer</w:t>
      </w:r>
      <w:r w:rsidR="00A34793">
        <w:rPr>
          <w:color w:val="000000"/>
        </w:rPr>
        <w:t>.</w:t>
      </w:r>
      <w:r w:rsidR="00A01665">
        <w:rPr>
          <w:color w:val="000000"/>
        </w:rPr>
        <w:t xml:space="preserve"> </w:t>
      </w:r>
      <w:r w:rsidR="00A34793">
        <w:rPr>
          <w:color w:val="000000"/>
        </w:rPr>
        <w:t>A</w:t>
      </w:r>
      <w:r w:rsidR="00A34793" w:rsidRPr="00477688">
        <w:rPr>
          <w:color w:val="000000"/>
        </w:rPr>
        <w:t xml:space="preserve">ccording to </w:t>
      </w:r>
      <w:r w:rsidR="00A34793">
        <w:rPr>
          <w:color w:val="000000"/>
        </w:rPr>
        <w:t>the Operations Procurement Review Committee</w:t>
      </w:r>
      <w:r w:rsidR="00A34793" w:rsidRPr="00477688">
        <w:rPr>
          <w:color w:val="000000"/>
        </w:rPr>
        <w:t xml:space="preserve"> </w:t>
      </w:r>
      <w:r w:rsidR="00A34793">
        <w:rPr>
          <w:color w:val="000000"/>
        </w:rPr>
        <w:t>(</w:t>
      </w:r>
      <w:r w:rsidR="00A34793" w:rsidRPr="00477688">
        <w:rPr>
          <w:color w:val="000000"/>
        </w:rPr>
        <w:t>OP</w:t>
      </w:r>
      <w:r w:rsidR="00A34793">
        <w:rPr>
          <w:color w:val="000000"/>
        </w:rPr>
        <w:t>R</w:t>
      </w:r>
      <w:r w:rsidR="00A34793" w:rsidRPr="00477688">
        <w:rPr>
          <w:color w:val="000000"/>
        </w:rPr>
        <w:t>C</w:t>
      </w:r>
      <w:r w:rsidR="00A34793">
        <w:rPr>
          <w:color w:val="000000"/>
        </w:rPr>
        <w:t xml:space="preserve">), the </w:t>
      </w:r>
      <w:r w:rsidR="005E4635">
        <w:rPr>
          <w:color w:val="000000"/>
        </w:rPr>
        <w:t xml:space="preserve">GOA </w:t>
      </w:r>
      <w:r w:rsidR="005E4635" w:rsidRPr="00716FC2">
        <w:rPr>
          <w:color w:val="000000"/>
        </w:rPr>
        <w:t>should have used an international competitive bidding</w:t>
      </w:r>
      <w:r w:rsidR="005E4635">
        <w:rPr>
          <w:color w:val="000000"/>
        </w:rPr>
        <w:t xml:space="preserve"> (ICB)</w:t>
      </w:r>
      <w:r w:rsidR="005E4635" w:rsidRPr="00716FC2">
        <w:rPr>
          <w:color w:val="000000"/>
        </w:rPr>
        <w:t xml:space="preserve"> me</w:t>
      </w:r>
      <w:r w:rsidR="005E4635">
        <w:rPr>
          <w:color w:val="000000"/>
        </w:rPr>
        <w:t>thod</w:t>
      </w:r>
      <w:r w:rsidR="005E4635" w:rsidRPr="00716FC2">
        <w:rPr>
          <w:color w:val="000000"/>
        </w:rPr>
        <w:t xml:space="preserve"> to attract more supplie</w:t>
      </w:r>
      <w:r w:rsidR="005E4635" w:rsidRPr="00AE214D">
        <w:rPr>
          <w:color w:val="000000"/>
        </w:rPr>
        <w:t>rs and obtain the best available market price</w:t>
      </w:r>
      <w:r w:rsidR="005E4635">
        <w:rPr>
          <w:color w:val="000000"/>
        </w:rPr>
        <w:t>. According to the GOA, the use of an ICB could have compromised the ability of the country to obtain the necessary vaccines and/or to obtain them in a timely manner</w:t>
      </w:r>
      <w:r w:rsidR="00A01665">
        <w:rPr>
          <w:color w:val="000000"/>
        </w:rPr>
        <w:t xml:space="preserve">. </w:t>
      </w:r>
      <w:r w:rsidR="005E4635">
        <w:rPr>
          <w:color w:val="000000"/>
        </w:rPr>
        <w:t xml:space="preserve">In addition, there was a Government's understanding that supply conditions were limited due to the high demand for vaccines from USA and </w:t>
      </w:r>
      <w:r w:rsidR="00A01665">
        <w:rPr>
          <w:color w:val="000000"/>
        </w:rPr>
        <w:t>European</w:t>
      </w:r>
      <w:r w:rsidR="005E4635">
        <w:rPr>
          <w:color w:val="000000"/>
        </w:rPr>
        <w:t xml:space="preserve"> countries</w:t>
      </w:r>
      <w:r w:rsidR="00A01665">
        <w:rPr>
          <w:color w:val="000000"/>
        </w:rPr>
        <w:t xml:space="preserve">. </w:t>
      </w:r>
      <w:r w:rsidRPr="009756A9">
        <w:rPr>
          <w:color w:val="000000"/>
        </w:rPr>
        <w:t>Procurement delays</w:t>
      </w:r>
      <w:r w:rsidR="0027654F" w:rsidRPr="009756A9">
        <w:rPr>
          <w:color w:val="000000"/>
        </w:rPr>
        <w:t xml:space="preserve"> emerged with</w:t>
      </w:r>
      <w:r w:rsidR="0027654F" w:rsidRPr="00DA2F6B">
        <w:rPr>
          <w:color w:val="000000"/>
        </w:rPr>
        <w:t xml:space="preserve"> the </w:t>
      </w:r>
      <w:r w:rsidR="00C16EC2" w:rsidRPr="00DA2F6B">
        <w:rPr>
          <w:color w:val="000000"/>
        </w:rPr>
        <w:t>purchase of other goods eligible under the Project, such as antivi</w:t>
      </w:r>
      <w:r w:rsidR="00F37D54" w:rsidRPr="009625CA">
        <w:rPr>
          <w:color w:val="000000"/>
        </w:rPr>
        <w:t>ral treatments</w:t>
      </w:r>
      <w:r w:rsidR="00C16EC2" w:rsidRPr="009625CA">
        <w:rPr>
          <w:color w:val="000000"/>
        </w:rPr>
        <w:t xml:space="preserve"> (Oseltamivir and Zanamivir), oximeters and ambulances.</w:t>
      </w:r>
      <w:r w:rsidR="005B7C9D">
        <w:rPr>
          <w:rStyle w:val="FootnoteReference"/>
          <w:color w:val="000000"/>
        </w:rPr>
        <w:footnoteReference w:id="17"/>
      </w:r>
      <w:r w:rsidR="00C16EC2" w:rsidRPr="009625CA">
        <w:rPr>
          <w:color w:val="000000"/>
        </w:rPr>
        <w:t xml:space="preserve"> </w:t>
      </w:r>
    </w:p>
    <w:p w:rsidR="00892046" w:rsidRPr="00CC69DD" w:rsidRDefault="00244442" w:rsidP="00244442">
      <w:pPr>
        <w:tabs>
          <w:tab w:val="left" w:pos="6412"/>
        </w:tabs>
        <w:rPr>
          <w:color w:val="000000"/>
        </w:rPr>
      </w:pPr>
      <w:r>
        <w:rPr>
          <w:color w:val="000000"/>
        </w:rPr>
        <w:tab/>
      </w:r>
    </w:p>
    <w:p w:rsidR="00C67D43" w:rsidRPr="00816C1F" w:rsidRDefault="00C67D43" w:rsidP="00CE0333">
      <w:pPr>
        <w:pStyle w:val="Heading3"/>
        <w:spacing w:before="0" w:beforeAutospacing="0"/>
        <w:jc w:val="both"/>
        <w:rPr>
          <w:sz w:val="24"/>
          <w:szCs w:val="24"/>
        </w:rPr>
      </w:pPr>
      <w:r w:rsidRPr="00816C1F">
        <w:rPr>
          <w:sz w:val="24"/>
          <w:szCs w:val="24"/>
        </w:rPr>
        <w:t>2.5 Post-completion Operation/Next Phase</w:t>
      </w:r>
    </w:p>
    <w:p w:rsidR="00C67D43" w:rsidRPr="00816C1F" w:rsidRDefault="00C67D43" w:rsidP="003262E3">
      <w:pPr>
        <w:jc w:val="both"/>
      </w:pPr>
      <w:bookmarkStart w:id="138" w:name="SEC75"/>
      <w:bookmarkEnd w:id="138"/>
    </w:p>
    <w:p w:rsidR="0056190D" w:rsidRDefault="00150A4C" w:rsidP="00305FBA">
      <w:pPr>
        <w:pStyle w:val="HTMLPreformatted"/>
        <w:numPr>
          <w:ilvl w:val="0"/>
          <w:numId w:val="1"/>
        </w:numPr>
        <w:autoSpaceDE w:val="0"/>
        <w:autoSpaceDN w:val="0"/>
        <w:adjustRightInd w:val="0"/>
        <w:ind w:left="0" w:firstLine="0"/>
        <w:jc w:val="both"/>
      </w:pPr>
      <w:r w:rsidRPr="00816C1F">
        <w:rPr>
          <w:b/>
        </w:rPr>
        <w:t xml:space="preserve">The </w:t>
      </w:r>
      <w:r w:rsidR="0062093C" w:rsidRPr="00816C1F">
        <w:rPr>
          <w:b/>
        </w:rPr>
        <w:t xml:space="preserve">current administration continues to prioritize </w:t>
      </w:r>
      <w:r w:rsidR="00FA76ED">
        <w:rPr>
          <w:b/>
        </w:rPr>
        <w:t>a reduction in a</w:t>
      </w:r>
      <w:r w:rsidR="0052539A">
        <w:rPr>
          <w:b/>
        </w:rPr>
        <w:t xml:space="preserve">cute respiratory </w:t>
      </w:r>
      <w:r w:rsidR="007D5E3C">
        <w:rPr>
          <w:b/>
        </w:rPr>
        <w:t>infections</w:t>
      </w:r>
      <w:r w:rsidR="0052539A">
        <w:rPr>
          <w:b/>
        </w:rPr>
        <w:t xml:space="preserve"> (A</w:t>
      </w:r>
      <w:r w:rsidR="00E0705D" w:rsidRPr="00816C1F">
        <w:rPr>
          <w:b/>
        </w:rPr>
        <w:t>RI</w:t>
      </w:r>
      <w:r w:rsidR="0052539A">
        <w:rPr>
          <w:b/>
        </w:rPr>
        <w:t>)</w:t>
      </w:r>
      <w:r w:rsidR="00E0705D" w:rsidRPr="00816C1F">
        <w:rPr>
          <w:b/>
        </w:rPr>
        <w:t xml:space="preserve"> and </w:t>
      </w:r>
      <w:r w:rsidR="00CC4429">
        <w:rPr>
          <w:b/>
        </w:rPr>
        <w:t>sustain</w:t>
      </w:r>
      <w:r w:rsidR="00E0705D" w:rsidRPr="00816C1F">
        <w:rPr>
          <w:b/>
        </w:rPr>
        <w:t xml:space="preserve"> the advances achieved in the A/H1N1 </w:t>
      </w:r>
      <w:r w:rsidR="00CC4429">
        <w:rPr>
          <w:b/>
        </w:rPr>
        <w:t>vaccination campaign</w:t>
      </w:r>
      <w:r w:rsidR="00E0705D" w:rsidRPr="00816C1F">
        <w:rPr>
          <w:b/>
        </w:rPr>
        <w:t>.</w:t>
      </w:r>
      <w:r w:rsidR="00E0705D" w:rsidRPr="00816C1F">
        <w:t xml:space="preserve"> </w:t>
      </w:r>
      <w:r w:rsidR="003D469C">
        <w:t>In 2011 the</w:t>
      </w:r>
      <w:r w:rsidR="00E0705D" w:rsidRPr="00816C1F">
        <w:t xml:space="preserve"> </w:t>
      </w:r>
      <w:r w:rsidR="003D469C">
        <w:t>A/H1N1</w:t>
      </w:r>
      <w:r w:rsidR="00CC69DD">
        <w:t xml:space="preserve"> vaccine</w:t>
      </w:r>
      <w:r w:rsidR="004114D9">
        <w:t xml:space="preserve"> </w:t>
      </w:r>
      <w:r w:rsidR="005B7C9D">
        <w:t xml:space="preserve">for high-risk individuals and on January 1, 2012 the </w:t>
      </w:r>
      <w:r w:rsidR="005B7C9D" w:rsidRPr="00816C1F">
        <w:t>pneumococcal vaccine for chil</w:t>
      </w:r>
      <w:r w:rsidR="005B7C9D">
        <w:t xml:space="preserve">dren under two years of age </w:t>
      </w:r>
      <w:r w:rsidR="004114D9">
        <w:t>w</w:t>
      </w:r>
      <w:r w:rsidR="005B7C9D">
        <w:t>ere</w:t>
      </w:r>
      <w:r w:rsidR="000A3502">
        <w:t xml:space="preserve"> introduced into the N</w:t>
      </w:r>
      <w:r w:rsidR="003D469C">
        <w:t xml:space="preserve">ational </w:t>
      </w:r>
      <w:r w:rsidR="000A3502">
        <w:t>C</w:t>
      </w:r>
      <w:r w:rsidR="007D5E3C">
        <w:t>alendar</w:t>
      </w:r>
      <w:r w:rsidR="003D469C">
        <w:t xml:space="preserve"> schedule</w:t>
      </w:r>
      <w:r w:rsidR="00E0705D" w:rsidRPr="00816C1F">
        <w:t>.</w:t>
      </w:r>
      <w:r w:rsidR="0056190D" w:rsidRPr="0056190D">
        <w:t xml:space="preserve"> </w:t>
      </w:r>
      <w:r w:rsidR="007D5E3C">
        <w:t>According to the National Program for the Control of Inmunopreventable Diseases (</w:t>
      </w:r>
      <w:r w:rsidR="007D5E3C" w:rsidRPr="00AE6D01">
        <w:rPr>
          <w:i/>
        </w:rPr>
        <w:t>Programa Nacional</w:t>
      </w:r>
      <w:r w:rsidR="007D5E3C" w:rsidRPr="004114D9">
        <w:rPr>
          <w:i/>
        </w:rPr>
        <w:t xml:space="preserve"> de Control de</w:t>
      </w:r>
      <w:r w:rsidR="007D5E3C" w:rsidRPr="00AE6D01">
        <w:rPr>
          <w:i/>
        </w:rPr>
        <w:t xml:space="preserve"> Enfermedades Inmunoprevenibles</w:t>
      </w:r>
      <w:r w:rsidR="00F84DDF" w:rsidRPr="00F84DDF">
        <w:t xml:space="preserve"> </w:t>
      </w:r>
      <w:r w:rsidR="00F84DDF">
        <w:t>-- PRONACEI</w:t>
      </w:r>
      <w:r w:rsidR="007D5E3C">
        <w:rPr>
          <w:i/>
        </w:rPr>
        <w:t>)</w:t>
      </w:r>
      <w:r w:rsidR="007D5E3C">
        <w:t xml:space="preserve"> reports, A/H1N1 and pneumococcal coverage remained high</w:t>
      </w:r>
      <w:r w:rsidR="005B7C9D">
        <w:t xml:space="preserve"> following Project completion</w:t>
      </w:r>
      <w:r w:rsidR="007D5E3C">
        <w:t xml:space="preserve">, at 90 percent and 82.4 percent in 2013, respectively. </w:t>
      </w:r>
      <w:r w:rsidR="00D76E7F">
        <w:t>T</w:t>
      </w:r>
      <w:r w:rsidR="00D64A30">
        <w:t xml:space="preserve">he </w:t>
      </w:r>
      <w:r w:rsidR="0052539A">
        <w:t xml:space="preserve">recent </w:t>
      </w:r>
      <w:r w:rsidR="007D5E3C">
        <w:t>construction</w:t>
      </w:r>
      <w:r w:rsidR="00D64A30">
        <w:t xml:space="preserve"> of a</w:t>
      </w:r>
      <w:r w:rsidR="0052539A">
        <w:t>n</w:t>
      </w:r>
      <w:r w:rsidR="00D64A30">
        <w:t xml:space="preserve"> </w:t>
      </w:r>
      <w:r w:rsidR="00602DA3">
        <w:t>influenza</w:t>
      </w:r>
      <w:r w:rsidR="00D64A30">
        <w:t xml:space="preserve"> vaccine </w:t>
      </w:r>
      <w:r w:rsidR="003D469C">
        <w:t>plant</w:t>
      </w:r>
      <w:r w:rsidR="00D64A30">
        <w:t xml:space="preserve"> in </w:t>
      </w:r>
      <w:r w:rsidR="00621D7F">
        <w:t>Buenos Aires province</w:t>
      </w:r>
      <w:r w:rsidR="00D64A30">
        <w:t xml:space="preserve"> will allow the country to produce and export seasonal and pandemic influenza vaccines. </w:t>
      </w:r>
    </w:p>
    <w:p w:rsidR="00455C32" w:rsidRDefault="00455C32" w:rsidP="008B7815">
      <w:pPr>
        <w:jc w:val="both"/>
        <w:rPr>
          <w:b/>
        </w:rPr>
      </w:pPr>
    </w:p>
    <w:p w:rsidR="008B7815" w:rsidRDefault="00621D7F" w:rsidP="00305FBA">
      <w:pPr>
        <w:pStyle w:val="HTMLPreformatted"/>
        <w:numPr>
          <w:ilvl w:val="0"/>
          <w:numId w:val="1"/>
        </w:numPr>
        <w:autoSpaceDE w:val="0"/>
        <w:autoSpaceDN w:val="0"/>
        <w:adjustRightInd w:val="0"/>
        <w:ind w:left="0" w:firstLine="0"/>
        <w:jc w:val="both"/>
      </w:pPr>
      <w:r w:rsidRPr="00621D7F">
        <w:rPr>
          <w:b/>
        </w:rPr>
        <w:t xml:space="preserve">The </w:t>
      </w:r>
      <w:r w:rsidR="00AC14AA">
        <w:rPr>
          <w:b/>
        </w:rPr>
        <w:t xml:space="preserve">World </w:t>
      </w:r>
      <w:r w:rsidRPr="00621D7F">
        <w:rPr>
          <w:b/>
        </w:rPr>
        <w:t>Bank continues to have a strong presence in the Argentine health sector.</w:t>
      </w:r>
      <w:r>
        <w:t xml:space="preserve"> </w:t>
      </w:r>
      <w:r w:rsidR="00CC4429" w:rsidRPr="00816C1F">
        <w:t>The Essential Public Health Functions and Programs II Project (FESP II, L</w:t>
      </w:r>
      <w:r w:rsidR="0052539A">
        <w:t>oa</w:t>
      </w:r>
      <w:r w:rsidR="00CC4429" w:rsidRPr="00816C1F">
        <w:t>n. 7412-AR</w:t>
      </w:r>
      <w:r w:rsidR="004E1D0E" w:rsidRPr="004E1D0E">
        <w:rPr>
          <w:rFonts w:cs="Times New Roman"/>
          <w:szCs w:val="24"/>
        </w:rPr>
        <w:t>, P110599</w:t>
      </w:r>
      <w:r w:rsidR="00CC4429" w:rsidRPr="004E1D0E">
        <w:rPr>
          <w:rFonts w:cs="Times New Roman"/>
          <w:szCs w:val="24"/>
        </w:rPr>
        <w:t>),</w:t>
      </w:r>
      <w:r w:rsidR="00CC4429" w:rsidRPr="00816C1F">
        <w:t xml:space="preserve"> in the amount of US$</w:t>
      </w:r>
      <w:r w:rsidR="00B666BF">
        <w:t xml:space="preserve"> </w:t>
      </w:r>
      <w:r w:rsidR="00CC4429" w:rsidRPr="00816C1F">
        <w:t>461 million was approved by the Board on Decem</w:t>
      </w:r>
      <w:r w:rsidR="003D469C">
        <w:t xml:space="preserve">ber 20, 2010. The five-year </w:t>
      </w:r>
      <w:r w:rsidR="00616838">
        <w:t>p</w:t>
      </w:r>
      <w:r w:rsidR="003D469C">
        <w:t>ro</w:t>
      </w:r>
      <w:r w:rsidR="00CC4429" w:rsidRPr="00816C1F">
        <w:t>j</w:t>
      </w:r>
      <w:r w:rsidR="003D469C">
        <w:t>ect has two PDOs: (i</w:t>
      </w:r>
      <w:r w:rsidR="00CC4429" w:rsidRPr="00816C1F">
        <w:t>) improve the stewardship role of the federal public health system, through the str</w:t>
      </w:r>
      <w:r w:rsidR="003D469C">
        <w:t xml:space="preserve">engthening of </w:t>
      </w:r>
      <w:r w:rsidR="007D5E3C">
        <w:t>Essential</w:t>
      </w:r>
      <w:r w:rsidR="00CC69DD">
        <w:t xml:space="preserve"> Public Health Functions (</w:t>
      </w:r>
      <w:r w:rsidR="003D469C">
        <w:t>EPHFs</w:t>
      </w:r>
      <w:r w:rsidR="00CC69DD">
        <w:t>)</w:t>
      </w:r>
      <w:r w:rsidR="003D469C">
        <w:t>, and (i</w:t>
      </w:r>
      <w:r w:rsidR="00D76E7F">
        <w:t>i</w:t>
      </w:r>
      <w:r w:rsidR="00CC4429" w:rsidRPr="00816C1F">
        <w:t xml:space="preserve">) increase the coverage and clinical governance of </w:t>
      </w:r>
      <w:r w:rsidR="00D76E7F">
        <w:t>priority public health programs (</w:t>
      </w:r>
      <w:r w:rsidR="00CC4429" w:rsidRPr="00816C1F">
        <w:t>PPHPs</w:t>
      </w:r>
      <w:r w:rsidR="00D76E7F">
        <w:t>)</w:t>
      </w:r>
      <w:r w:rsidR="00CC4429" w:rsidRPr="00816C1F">
        <w:t>.</w:t>
      </w:r>
      <w:r w:rsidR="00716FC2">
        <w:t xml:space="preserve"> </w:t>
      </w:r>
      <w:r w:rsidR="00602DA3">
        <w:t xml:space="preserve">In addition to FESP II and </w:t>
      </w:r>
      <w:r w:rsidR="00244442" w:rsidRPr="00244442">
        <w:rPr>
          <w:rFonts w:cs="Times New Roman"/>
          <w:szCs w:val="24"/>
        </w:rPr>
        <w:t>Provincial Maternal-Child Health Investment Project</w:t>
      </w:r>
      <w:r w:rsidR="00602DA3" w:rsidRPr="00602DA3">
        <w:t xml:space="preserve">, the </w:t>
      </w:r>
      <w:r w:rsidR="00AC14AA">
        <w:t xml:space="preserve">World </w:t>
      </w:r>
      <w:r w:rsidR="00602DA3" w:rsidRPr="00602DA3">
        <w:t xml:space="preserve">Bank is currently </w:t>
      </w:r>
      <w:r w:rsidR="00CD70E1">
        <w:t xml:space="preserve">assisting the GOA to </w:t>
      </w:r>
      <w:r w:rsidR="00CD70E1">
        <w:lastRenderedPageBreak/>
        <w:t>prepare</w:t>
      </w:r>
      <w:r w:rsidR="00B77131" w:rsidRPr="00602DA3">
        <w:t xml:space="preserve"> </w:t>
      </w:r>
      <w:r w:rsidR="00602DA3" w:rsidRPr="00602DA3">
        <w:t xml:space="preserve">a </w:t>
      </w:r>
      <w:r w:rsidR="0052539A">
        <w:t>project supporting the prevention and control of chronic conditions and illnesses,</w:t>
      </w:r>
      <w:r w:rsidR="00602DA3" w:rsidRPr="00602DA3">
        <w:t xml:space="preserve"> which would </w:t>
      </w:r>
      <w:r w:rsidR="00602DA3">
        <w:t>reproduce the Project</w:t>
      </w:r>
      <w:r w:rsidR="0052539A">
        <w:t>’s</w:t>
      </w:r>
      <w:r w:rsidR="00602DA3">
        <w:t xml:space="preserve"> </w:t>
      </w:r>
      <w:r w:rsidR="007D5E3C">
        <w:t>execution</w:t>
      </w:r>
      <w:r w:rsidR="00602DA3">
        <w:t xml:space="preserve"> mechanism. </w:t>
      </w:r>
    </w:p>
    <w:p w:rsidR="00C67D43" w:rsidRPr="00816C1F" w:rsidRDefault="00C67D43" w:rsidP="003262E3">
      <w:pPr>
        <w:pStyle w:val="Heading2"/>
        <w:jc w:val="both"/>
        <w:rPr>
          <w:sz w:val="24"/>
          <w:szCs w:val="24"/>
        </w:rPr>
      </w:pPr>
      <w:bookmarkStart w:id="139" w:name="_IL8"/>
      <w:bookmarkStart w:id="140" w:name="_Toc158019372"/>
      <w:bookmarkStart w:id="141" w:name="_Toc384896512"/>
      <w:r w:rsidRPr="00816C1F">
        <w:rPr>
          <w:sz w:val="24"/>
          <w:szCs w:val="24"/>
        </w:rPr>
        <w:t>3. Assessment of Outcomes</w:t>
      </w:r>
      <w:bookmarkEnd w:id="139"/>
      <w:bookmarkEnd w:id="140"/>
      <w:bookmarkEnd w:id="141"/>
      <w:r w:rsidRPr="00816C1F">
        <w:rPr>
          <w:sz w:val="24"/>
          <w:szCs w:val="24"/>
        </w:rPr>
        <w:t xml:space="preserve"> </w:t>
      </w:r>
    </w:p>
    <w:p w:rsidR="00706CAB" w:rsidRPr="00816C1F" w:rsidRDefault="00C67D43" w:rsidP="00FC5D23">
      <w:pPr>
        <w:pStyle w:val="Heading3"/>
        <w:jc w:val="both"/>
      </w:pPr>
      <w:r w:rsidRPr="00816C1F">
        <w:rPr>
          <w:sz w:val="24"/>
          <w:szCs w:val="24"/>
        </w:rPr>
        <w:t>3.1 Relevance of Objectives, Design and Implementation</w:t>
      </w:r>
      <w:bookmarkStart w:id="142" w:name="SEC81"/>
      <w:bookmarkEnd w:id="142"/>
    </w:p>
    <w:p w:rsidR="00FC5D23" w:rsidRPr="00816C1F" w:rsidRDefault="00FC5D23" w:rsidP="003262E3">
      <w:pPr>
        <w:jc w:val="both"/>
      </w:pPr>
    </w:p>
    <w:p w:rsidR="007D3EF0" w:rsidRPr="000A3502" w:rsidRDefault="00F85DAD" w:rsidP="00F84DDF">
      <w:pPr>
        <w:pStyle w:val="HTMLPreformatted"/>
        <w:numPr>
          <w:ilvl w:val="0"/>
          <w:numId w:val="1"/>
        </w:numPr>
        <w:autoSpaceDE w:val="0"/>
        <w:autoSpaceDN w:val="0"/>
        <w:adjustRightInd w:val="0"/>
        <w:ind w:left="0" w:firstLine="0"/>
        <w:jc w:val="both"/>
        <w:rPr>
          <w:b/>
          <w:bCs/>
        </w:rPr>
      </w:pPr>
      <w:r w:rsidRPr="00E9686E">
        <w:rPr>
          <w:b/>
        </w:rPr>
        <w:t>Project</w:t>
      </w:r>
      <w:r w:rsidR="005C745A" w:rsidRPr="00E9686E">
        <w:rPr>
          <w:b/>
        </w:rPr>
        <w:t xml:space="preserve"> objectives, design and implementation remain highly relevant. </w:t>
      </w:r>
      <w:r w:rsidR="00300516">
        <w:t>The Project’s objectives are</w:t>
      </w:r>
      <w:r w:rsidR="008B7815" w:rsidRPr="00816C1F">
        <w:t xml:space="preserve"> consistent with the GOA’s </w:t>
      </w:r>
      <w:r w:rsidR="0089791B">
        <w:t>F</w:t>
      </w:r>
      <w:r w:rsidR="007A396F">
        <w:t>HP</w:t>
      </w:r>
      <w:r w:rsidR="00300516">
        <w:t xml:space="preserve"> 2011-2016</w:t>
      </w:r>
      <w:r w:rsidR="00602DA3">
        <w:t xml:space="preserve"> and with </w:t>
      </w:r>
      <w:r w:rsidR="000A3502">
        <w:t>national</w:t>
      </w:r>
      <w:r w:rsidR="003A7E96">
        <w:t xml:space="preserve"> health system </w:t>
      </w:r>
      <w:r w:rsidR="00602DA3">
        <w:t>strengthening</w:t>
      </w:r>
      <w:r w:rsidR="00AB231D">
        <w:t>.</w:t>
      </w:r>
      <w:r w:rsidR="00130CAE">
        <w:t xml:space="preserve"> </w:t>
      </w:r>
      <w:r w:rsidR="000A3502">
        <w:t>The emphasis on s</w:t>
      </w:r>
      <w:r w:rsidR="00130CAE">
        <w:t>urveillance and laboratory system</w:t>
      </w:r>
      <w:r w:rsidR="003B3AC3">
        <w:t xml:space="preserve">s </w:t>
      </w:r>
      <w:r w:rsidR="000A3502">
        <w:t>is</w:t>
      </w:r>
      <w:r w:rsidR="003B3AC3">
        <w:t xml:space="preserve"> important </w:t>
      </w:r>
      <w:r w:rsidR="00130CAE">
        <w:t>since they</w:t>
      </w:r>
      <w:r w:rsidR="0052539A">
        <w:t xml:space="preserve"> </w:t>
      </w:r>
      <w:r w:rsidR="000E0E81">
        <w:t xml:space="preserve">provide crucial input on </w:t>
      </w:r>
      <w:r w:rsidR="00130CAE">
        <w:t xml:space="preserve">seasonal </w:t>
      </w:r>
      <w:r w:rsidR="000E0E81">
        <w:t xml:space="preserve">virus </w:t>
      </w:r>
      <w:r w:rsidR="00130CAE">
        <w:t xml:space="preserve">fluctuations </w:t>
      </w:r>
      <w:r w:rsidR="003A7E96">
        <w:t xml:space="preserve">and on </w:t>
      </w:r>
      <w:r w:rsidR="00130CAE">
        <w:t>possible health epidemic</w:t>
      </w:r>
      <w:r w:rsidR="003A7E96">
        <w:t>s</w:t>
      </w:r>
      <w:r w:rsidR="00130CAE">
        <w:t>.</w:t>
      </w:r>
      <w:r w:rsidR="00130CAE">
        <w:rPr>
          <w:rStyle w:val="FootnoteReference"/>
        </w:rPr>
        <w:footnoteReference w:id="18"/>
      </w:r>
      <w:r w:rsidR="00130CAE">
        <w:t xml:space="preserve"> </w:t>
      </w:r>
    </w:p>
    <w:p w:rsidR="000A3502" w:rsidRPr="007D3EF0" w:rsidRDefault="000A3502" w:rsidP="000A3502">
      <w:pPr>
        <w:pStyle w:val="HTMLPreformatted"/>
        <w:autoSpaceDE w:val="0"/>
        <w:autoSpaceDN w:val="0"/>
        <w:adjustRightInd w:val="0"/>
        <w:jc w:val="both"/>
        <w:rPr>
          <w:b/>
          <w:bCs/>
        </w:rPr>
      </w:pPr>
    </w:p>
    <w:p w:rsidR="000A3502" w:rsidRDefault="000A3502" w:rsidP="000A3502">
      <w:pPr>
        <w:pStyle w:val="HTMLPreformatted"/>
        <w:numPr>
          <w:ilvl w:val="0"/>
          <w:numId w:val="1"/>
        </w:numPr>
        <w:autoSpaceDE w:val="0"/>
        <w:autoSpaceDN w:val="0"/>
        <w:adjustRightInd w:val="0"/>
        <w:ind w:left="0" w:firstLine="0"/>
        <w:jc w:val="both"/>
      </w:pPr>
      <w:r w:rsidRPr="0075411E">
        <w:rPr>
          <w:b/>
        </w:rPr>
        <w:t xml:space="preserve">The Project produced </w:t>
      </w:r>
      <w:r>
        <w:rPr>
          <w:b/>
        </w:rPr>
        <w:t xml:space="preserve">concrete </w:t>
      </w:r>
      <w:r w:rsidRPr="0075411E">
        <w:rPr>
          <w:b/>
        </w:rPr>
        <w:t>strategic and operational advances in the monitoring and control of the A/H1N1 flu epidemic in Argentina</w:t>
      </w:r>
      <w:r w:rsidRPr="0014083C">
        <w:rPr>
          <w:b/>
        </w:rPr>
        <w:t>, transforming the crisis into an opportunity and contributing significantly to improvements in public health using a RBF approach.</w:t>
      </w:r>
      <w:r w:rsidRPr="000D5D7A">
        <w:t xml:space="preserve"> Currently</w:t>
      </w:r>
      <w:r w:rsidR="006125AD">
        <w:t>,</w:t>
      </w:r>
      <w:r w:rsidRPr="000D5D7A">
        <w:t xml:space="preserve"> all hospitalized individuals have samples taken (for clinical and epidemiological </w:t>
      </w:r>
      <w:r w:rsidR="00B15F45">
        <w:t xml:space="preserve">surveillance </w:t>
      </w:r>
      <w:r w:rsidRPr="000D5D7A">
        <w:t xml:space="preserve">reasons), while random samples taken in ambulatory centers serve for epidemiological </w:t>
      </w:r>
      <w:r w:rsidR="00B15F45">
        <w:t xml:space="preserve">surveillance </w:t>
      </w:r>
      <w:r w:rsidRPr="000D5D7A">
        <w:t xml:space="preserve">purposes. Some of these samples are sent to the </w:t>
      </w:r>
      <w:r w:rsidRPr="00816C1F">
        <w:t>Center</w:t>
      </w:r>
      <w:r w:rsidR="00994754">
        <w:t>s</w:t>
      </w:r>
      <w:r w:rsidRPr="00816C1F">
        <w:t xml:space="preserve"> for Disease Control and Prevention</w:t>
      </w:r>
      <w:r w:rsidRPr="000D5D7A">
        <w:t xml:space="preserve"> </w:t>
      </w:r>
      <w:r>
        <w:t>(</w:t>
      </w:r>
      <w:r w:rsidRPr="000D5D7A">
        <w:t>CDC</w:t>
      </w:r>
      <w:r>
        <w:t>)</w:t>
      </w:r>
      <w:r w:rsidRPr="000D5D7A">
        <w:t xml:space="preserve"> in Atlanta, contributing to the formulation of the sout</w:t>
      </w:r>
      <w:r>
        <w:t xml:space="preserve">hern hemisphere’s flu vaccine. </w:t>
      </w:r>
      <w:r w:rsidRPr="000D5D7A">
        <w:t xml:space="preserve">The use of Argentine samples for the formulation of the vaccine has </w:t>
      </w:r>
      <w:r>
        <w:t>clear</w:t>
      </w:r>
      <w:r w:rsidRPr="000D5D7A">
        <w:t xml:space="preserve"> benefits for the population since the vaccine will more closely resemble the virus strains circulating in the country the prior year.</w:t>
      </w:r>
      <w:r>
        <w:t xml:space="preserve">  </w:t>
      </w:r>
    </w:p>
    <w:p w:rsidR="0089791B" w:rsidRPr="00E9686E" w:rsidRDefault="0089791B" w:rsidP="007D3EF0">
      <w:pPr>
        <w:pStyle w:val="HTMLPreformatted"/>
        <w:autoSpaceDE w:val="0"/>
        <w:autoSpaceDN w:val="0"/>
        <w:adjustRightInd w:val="0"/>
        <w:jc w:val="both"/>
        <w:rPr>
          <w:b/>
          <w:bCs/>
        </w:rPr>
      </w:pPr>
    </w:p>
    <w:p w:rsidR="00E31AC4" w:rsidRPr="00816C1F" w:rsidRDefault="007D5E3C" w:rsidP="00305FBA">
      <w:pPr>
        <w:pStyle w:val="HTMLPreformatted"/>
        <w:numPr>
          <w:ilvl w:val="0"/>
          <w:numId w:val="1"/>
        </w:numPr>
        <w:autoSpaceDE w:val="0"/>
        <w:autoSpaceDN w:val="0"/>
        <w:adjustRightInd w:val="0"/>
        <w:ind w:left="0" w:firstLine="0"/>
        <w:jc w:val="both"/>
        <w:rPr>
          <w:rFonts w:cs="Times New Roman"/>
        </w:rPr>
      </w:pPr>
      <w:r w:rsidRPr="00DD0357">
        <w:rPr>
          <w:rFonts w:cs="Times New Roman"/>
          <w:b/>
        </w:rPr>
        <w:t>Strengthening</w:t>
      </w:r>
      <w:r w:rsidR="00DD0357" w:rsidRPr="00DD0357">
        <w:rPr>
          <w:rFonts w:cs="Times New Roman"/>
          <w:b/>
        </w:rPr>
        <w:t xml:space="preserve"> </w:t>
      </w:r>
      <w:r w:rsidR="00800622">
        <w:rPr>
          <w:rFonts w:cs="Times New Roman"/>
          <w:b/>
        </w:rPr>
        <w:t xml:space="preserve">the </w:t>
      </w:r>
      <w:r w:rsidR="00DD0357" w:rsidRPr="00DD0357">
        <w:rPr>
          <w:rFonts w:cs="Times New Roman"/>
          <w:b/>
        </w:rPr>
        <w:t xml:space="preserve">GOA’s </w:t>
      </w:r>
      <w:r w:rsidR="003A7E96">
        <w:rPr>
          <w:rFonts w:cs="Times New Roman"/>
          <w:b/>
        </w:rPr>
        <w:t xml:space="preserve">health pandemic </w:t>
      </w:r>
      <w:r w:rsidRPr="00DD0357">
        <w:rPr>
          <w:rFonts w:cs="Times New Roman"/>
          <w:b/>
        </w:rPr>
        <w:t>preparedness</w:t>
      </w:r>
      <w:r w:rsidR="00DD0357" w:rsidRPr="00DD0357">
        <w:rPr>
          <w:rFonts w:cs="Times New Roman"/>
          <w:b/>
        </w:rPr>
        <w:t xml:space="preserve"> </w:t>
      </w:r>
      <w:r w:rsidR="00DD0357">
        <w:rPr>
          <w:rFonts w:cs="Times New Roman"/>
          <w:b/>
        </w:rPr>
        <w:t xml:space="preserve">is </w:t>
      </w:r>
      <w:r w:rsidR="00DD0357" w:rsidRPr="00DD0357">
        <w:rPr>
          <w:rFonts w:cs="Times New Roman"/>
          <w:b/>
        </w:rPr>
        <w:t xml:space="preserve">a </w:t>
      </w:r>
      <w:r w:rsidR="00DD0357">
        <w:rPr>
          <w:rFonts w:cs="Times New Roman"/>
          <w:b/>
        </w:rPr>
        <w:t>building block towards the establishment of a robust</w:t>
      </w:r>
      <w:r w:rsidR="00DD0357" w:rsidRPr="00DD0357">
        <w:rPr>
          <w:rFonts w:cs="Times New Roman"/>
          <w:b/>
        </w:rPr>
        <w:t xml:space="preserve"> fiscal</w:t>
      </w:r>
      <w:r w:rsidR="006D16CB">
        <w:rPr>
          <w:rFonts w:cs="Times New Roman"/>
          <w:b/>
        </w:rPr>
        <w:t xml:space="preserve"> </w:t>
      </w:r>
      <w:r w:rsidR="00DD0357" w:rsidRPr="00DD0357">
        <w:rPr>
          <w:rFonts w:cs="Times New Roman"/>
          <w:b/>
        </w:rPr>
        <w:t>risk management strategy</w:t>
      </w:r>
      <w:r w:rsidR="00DD0357">
        <w:rPr>
          <w:rFonts w:cs="Times New Roman"/>
        </w:rPr>
        <w:t xml:space="preserve">. </w:t>
      </w:r>
      <w:r w:rsidR="0001160D">
        <w:t>I</w:t>
      </w:r>
      <w:r w:rsidR="0056411D">
        <w:rPr>
          <w:rFonts w:cs="Times New Roman"/>
        </w:rPr>
        <w:t>n addition to reducing morbidy and mortality</w:t>
      </w:r>
      <w:r w:rsidR="00994754">
        <w:rPr>
          <w:rFonts w:cs="Times New Roman"/>
        </w:rPr>
        <w:t>,</w:t>
      </w:r>
      <w:r w:rsidR="0056411D">
        <w:rPr>
          <w:rFonts w:cs="Times New Roman"/>
        </w:rPr>
        <w:t xml:space="preserve"> minimizing societal disruptions </w:t>
      </w:r>
      <w:r w:rsidR="005A43C0">
        <w:rPr>
          <w:rFonts w:cs="Times New Roman"/>
        </w:rPr>
        <w:t xml:space="preserve">and therefore economic costs </w:t>
      </w:r>
      <w:r w:rsidR="0001160D">
        <w:rPr>
          <w:rFonts w:cs="Times New Roman"/>
        </w:rPr>
        <w:t>are</w:t>
      </w:r>
      <w:r w:rsidR="0056411D">
        <w:rPr>
          <w:rFonts w:cs="Times New Roman"/>
        </w:rPr>
        <w:t xml:space="preserve"> worthwhile</w:t>
      </w:r>
      <w:r w:rsidR="0001160D">
        <w:rPr>
          <w:rFonts w:cs="Times New Roman"/>
        </w:rPr>
        <w:t xml:space="preserve"> objectives</w:t>
      </w:r>
      <w:r w:rsidR="0056411D">
        <w:rPr>
          <w:rFonts w:cs="Times New Roman"/>
        </w:rPr>
        <w:t xml:space="preserve"> of vaccination strategies.</w:t>
      </w:r>
      <w:r w:rsidR="0056411D">
        <w:rPr>
          <w:rStyle w:val="FootnoteReference"/>
          <w:rFonts w:cs="Times New Roman"/>
        </w:rPr>
        <w:footnoteReference w:id="19"/>
      </w:r>
      <w:r w:rsidR="0056411D">
        <w:rPr>
          <w:rFonts w:cs="Times New Roman"/>
        </w:rPr>
        <w:t xml:space="preserve"> </w:t>
      </w:r>
      <w:r w:rsidR="006D16CB">
        <w:rPr>
          <w:rFonts w:cs="Times New Roman"/>
        </w:rPr>
        <w:t xml:space="preserve">Support for zoonotic disease control </w:t>
      </w:r>
      <w:r w:rsidR="005A43C0">
        <w:rPr>
          <w:rFonts w:cs="Times New Roman"/>
        </w:rPr>
        <w:t>within a comprehensive p</w:t>
      </w:r>
      <w:r w:rsidR="006D16CB">
        <w:rPr>
          <w:rFonts w:cs="Times New Roman"/>
        </w:rPr>
        <w:t xml:space="preserve">andemic preparedness </w:t>
      </w:r>
      <w:r w:rsidR="003A7E96">
        <w:rPr>
          <w:rFonts w:cs="Times New Roman"/>
        </w:rPr>
        <w:t xml:space="preserve">plan </w:t>
      </w:r>
      <w:r w:rsidR="006D16CB" w:rsidRPr="00821552">
        <w:rPr>
          <w:rFonts w:cs="Times New Roman"/>
        </w:rPr>
        <w:t xml:space="preserve">would bolster </w:t>
      </w:r>
      <w:r w:rsidR="005A43C0" w:rsidRPr="00821552">
        <w:rPr>
          <w:rFonts w:cs="Times New Roman"/>
        </w:rPr>
        <w:t xml:space="preserve">the </w:t>
      </w:r>
      <w:r w:rsidR="006D16CB" w:rsidRPr="00821552">
        <w:rPr>
          <w:rFonts w:cs="Times New Roman"/>
        </w:rPr>
        <w:t xml:space="preserve">risk management agenda, in particular due to </w:t>
      </w:r>
      <w:r w:rsidR="005A43C0" w:rsidRPr="00821552">
        <w:rPr>
          <w:rFonts w:cs="Times New Roman"/>
        </w:rPr>
        <w:t xml:space="preserve">the </w:t>
      </w:r>
      <w:r w:rsidR="006D16CB" w:rsidRPr="00821552">
        <w:rPr>
          <w:rFonts w:cs="Times New Roman"/>
        </w:rPr>
        <w:t>significant role</w:t>
      </w:r>
      <w:r w:rsidR="006D16CB" w:rsidRPr="004315BC">
        <w:rPr>
          <w:rFonts w:cs="Times New Roman"/>
          <w:b/>
        </w:rPr>
        <w:t xml:space="preserve"> </w:t>
      </w:r>
      <w:r w:rsidR="006D16CB">
        <w:rPr>
          <w:rFonts w:cs="Times New Roman"/>
        </w:rPr>
        <w:t>of agri</w:t>
      </w:r>
      <w:r w:rsidR="005A43C0">
        <w:rPr>
          <w:rFonts w:cs="Times New Roman"/>
        </w:rPr>
        <w:t>culture in Argentina</w:t>
      </w:r>
      <w:r w:rsidR="006D16CB">
        <w:rPr>
          <w:rFonts w:cs="Times New Roman"/>
        </w:rPr>
        <w:t xml:space="preserve">. </w:t>
      </w:r>
      <w:r w:rsidR="005A43C0">
        <w:rPr>
          <w:rFonts w:cs="Times New Roman"/>
        </w:rPr>
        <w:t xml:space="preserve">This requires </w:t>
      </w:r>
      <w:r w:rsidR="006D16CB">
        <w:rPr>
          <w:rFonts w:cs="Times New Roman"/>
        </w:rPr>
        <w:t>cooperation and coordination between animal and human health secto</w:t>
      </w:r>
      <w:r w:rsidR="00C42EEF">
        <w:rPr>
          <w:rFonts w:cs="Times New Roman"/>
        </w:rPr>
        <w:t>r</w:t>
      </w:r>
      <w:r w:rsidR="006D16CB">
        <w:rPr>
          <w:rFonts w:cs="Times New Roman"/>
        </w:rPr>
        <w:t xml:space="preserve">s, </w:t>
      </w:r>
      <w:r w:rsidR="005A43C0">
        <w:rPr>
          <w:rFonts w:cs="Times New Roman"/>
        </w:rPr>
        <w:t xml:space="preserve">both </w:t>
      </w:r>
      <w:r w:rsidR="006D16CB">
        <w:rPr>
          <w:rFonts w:cs="Times New Roman"/>
        </w:rPr>
        <w:t xml:space="preserve">at the strategic level and during </w:t>
      </w:r>
      <w:r w:rsidR="005A43C0">
        <w:rPr>
          <w:rFonts w:cs="Times New Roman"/>
        </w:rPr>
        <w:t xml:space="preserve">pandemic </w:t>
      </w:r>
      <w:r w:rsidR="00E179B3">
        <w:rPr>
          <w:rFonts w:cs="Times New Roman"/>
        </w:rPr>
        <w:t>preparedness</w:t>
      </w:r>
      <w:r w:rsidR="005A43C0">
        <w:rPr>
          <w:rFonts w:cs="Times New Roman"/>
        </w:rPr>
        <w:t xml:space="preserve"> </w:t>
      </w:r>
      <w:r w:rsidR="006D16CB">
        <w:rPr>
          <w:rFonts w:cs="Times New Roman"/>
        </w:rPr>
        <w:t>impl</w:t>
      </w:r>
      <w:r w:rsidR="005A43C0">
        <w:rPr>
          <w:rFonts w:cs="Times New Roman"/>
        </w:rPr>
        <w:t>e</w:t>
      </w:r>
      <w:r w:rsidR="006D16CB">
        <w:rPr>
          <w:rFonts w:cs="Times New Roman"/>
        </w:rPr>
        <w:t>men</w:t>
      </w:r>
      <w:r w:rsidR="005A43C0">
        <w:rPr>
          <w:rFonts w:cs="Times New Roman"/>
        </w:rPr>
        <w:t>t</w:t>
      </w:r>
      <w:r w:rsidR="006D16CB">
        <w:rPr>
          <w:rFonts w:cs="Times New Roman"/>
        </w:rPr>
        <w:t xml:space="preserve">ation.  </w:t>
      </w:r>
    </w:p>
    <w:p w:rsidR="00FC5D23" w:rsidRDefault="00FC5D23" w:rsidP="00FC5D23">
      <w:pPr>
        <w:pStyle w:val="HTMLPreformatted"/>
        <w:jc w:val="both"/>
        <w:rPr>
          <w:rFonts w:cs="Times New Roman"/>
        </w:rPr>
      </w:pPr>
    </w:p>
    <w:p w:rsidR="00C67D43" w:rsidRPr="00816C1F" w:rsidRDefault="00C67D43" w:rsidP="00AE21C0">
      <w:pPr>
        <w:pStyle w:val="Heading3"/>
        <w:spacing w:before="0" w:beforeAutospacing="0"/>
        <w:jc w:val="both"/>
        <w:rPr>
          <w:sz w:val="24"/>
          <w:szCs w:val="24"/>
        </w:rPr>
      </w:pPr>
      <w:r w:rsidRPr="00816C1F">
        <w:rPr>
          <w:sz w:val="24"/>
          <w:szCs w:val="24"/>
        </w:rPr>
        <w:t xml:space="preserve">3.2 Achievement of </w:t>
      </w:r>
      <w:r w:rsidR="00F85DAD" w:rsidRPr="00816C1F">
        <w:rPr>
          <w:sz w:val="24"/>
          <w:szCs w:val="24"/>
        </w:rPr>
        <w:t>Project</w:t>
      </w:r>
      <w:r w:rsidRPr="00816C1F">
        <w:rPr>
          <w:sz w:val="24"/>
          <w:szCs w:val="24"/>
        </w:rPr>
        <w:t xml:space="preserve"> Development Objective</w:t>
      </w:r>
    </w:p>
    <w:p w:rsidR="002C7DA5" w:rsidRPr="00816C1F" w:rsidRDefault="002C7DA5" w:rsidP="002C7DA5">
      <w:pPr>
        <w:autoSpaceDE w:val="0"/>
        <w:autoSpaceDN w:val="0"/>
        <w:adjustRightInd w:val="0"/>
        <w:jc w:val="both"/>
        <w:rPr>
          <w:b/>
          <w:bCs/>
          <w:iCs/>
          <w:lang w:eastAsia="en-US"/>
        </w:rPr>
      </w:pPr>
      <w:bookmarkStart w:id="143" w:name="SEC82"/>
      <w:bookmarkEnd w:id="143"/>
    </w:p>
    <w:p w:rsidR="00D24AA7" w:rsidRPr="0022713A" w:rsidRDefault="00D24AA7" w:rsidP="00D24AA7">
      <w:pPr>
        <w:pStyle w:val="HTMLPreformatted"/>
        <w:numPr>
          <w:ilvl w:val="0"/>
          <w:numId w:val="1"/>
        </w:numPr>
        <w:ind w:left="0" w:firstLine="0"/>
        <w:jc w:val="both"/>
        <w:rPr>
          <w:b/>
        </w:rPr>
      </w:pPr>
      <w:r>
        <w:rPr>
          <w:b/>
        </w:rPr>
        <w:t xml:space="preserve">In general, the Project was successful in achieving expected results. </w:t>
      </w:r>
      <w:r>
        <w:t>Four of the five key indicators were achieved. The rema</w:t>
      </w:r>
      <w:r w:rsidR="0070392D">
        <w:t>ining indicator (</w:t>
      </w:r>
      <w:r w:rsidR="009F6F6C">
        <w:t xml:space="preserve">key </w:t>
      </w:r>
      <w:r w:rsidR="0070392D">
        <w:t>indicator 1) was</w:t>
      </w:r>
      <w:r>
        <w:t xml:space="preserve"> </w:t>
      </w:r>
      <w:r w:rsidR="00B65E28">
        <w:lastRenderedPageBreak/>
        <w:t>largely</w:t>
      </w:r>
      <w:r w:rsidR="0070392D">
        <w:t xml:space="preserve"> </w:t>
      </w:r>
      <w:r>
        <w:t xml:space="preserve">achieved, </w:t>
      </w:r>
      <w:r w:rsidR="0070392D">
        <w:t xml:space="preserve">with </w:t>
      </w:r>
      <w:r>
        <w:t xml:space="preserve">results substantially higher than the baseline and </w:t>
      </w:r>
      <w:r w:rsidR="00B65E28">
        <w:t xml:space="preserve">with the </w:t>
      </w:r>
      <w:r>
        <w:t xml:space="preserve">actual level of accomplishment </w:t>
      </w:r>
      <w:r w:rsidR="00A908FB">
        <w:t xml:space="preserve">at </w:t>
      </w:r>
      <w:r w:rsidR="00B65E28">
        <w:t xml:space="preserve">95 </w:t>
      </w:r>
      <w:r>
        <w:t xml:space="preserve">percent of the expected target. The following paragraphs analyze efficacy of each of the </w:t>
      </w:r>
      <w:r w:rsidR="00B65E28">
        <w:t xml:space="preserve">Project </w:t>
      </w:r>
      <w:r>
        <w:t xml:space="preserve">sub-objectives.  </w:t>
      </w:r>
    </w:p>
    <w:p w:rsidR="00D24AA7" w:rsidRPr="00D24AA7" w:rsidRDefault="00D24AA7" w:rsidP="008B5F1A">
      <w:pPr>
        <w:pStyle w:val="HTMLPreformatted"/>
        <w:jc w:val="both"/>
        <w:rPr>
          <w:b/>
        </w:rPr>
      </w:pPr>
    </w:p>
    <w:p w:rsidR="00566B2F" w:rsidRDefault="008D13B2" w:rsidP="00830E4E">
      <w:pPr>
        <w:pStyle w:val="HTMLPreformatted"/>
        <w:numPr>
          <w:ilvl w:val="0"/>
          <w:numId w:val="1"/>
        </w:numPr>
        <w:ind w:left="0" w:firstLine="0"/>
        <w:jc w:val="both"/>
        <w:rPr>
          <w:b/>
        </w:rPr>
      </w:pPr>
      <w:r>
        <w:rPr>
          <w:rFonts w:cs="Times New Roman"/>
          <w:b/>
          <w:bCs/>
          <w:iCs/>
        </w:rPr>
        <w:t xml:space="preserve">The </w:t>
      </w:r>
      <w:r w:rsidR="008D75CA">
        <w:rPr>
          <w:rFonts w:cs="Times New Roman"/>
          <w:b/>
          <w:bCs/>
          <w:iCs/>
        </w:rPr>
        <w:t xml:space="preserve">Project’s </w:t>
      </w:r>
      <w:r w:rsidR="00EC5E7F">
        <w:rPr>
          <w:rFonts w:cs="Times New Roman"/>
          <w:b/>
          <w:bCs/>
          <w:iCs/>
        </w:rPr>
        <w:t xml:space="preserve">efficacy was </w:t>
      </w:r>
      <w:r w:rsidR="00566B2F">
        <w:rPr>
          <w:rFonts w:cs="Times New Roman"/>
          <w:b/>
          <w:bCs/>
          <w:iCs/>
        </w:rPr>
        <w:t>substantial</w:t>
      </w:r>
      <w:r w:rsidR="00EC5E7F">
        <w:rPr>
          <w:rFonts w:cs="Times New Roman"/>
          <w:b/>
          <w:bCs/>
          <w:iCs/>
        </w:rPr>
        <w:t xml:space="preserve"> in its objective to</w:t>
      </w:r>
      <w:r>
        <w:rPr>
          <w:rFonts w:cs="Times New Roman"/>
          <w:b/>
          <w:bCs/>
          <w:iCs/>
        </w:rPr>
        <w:t xml:space="preserve"> </w:t>
      </w:r>
      <w:r w:rsidR="00E405DC">
        <w:rPr>
          <w:rFonts w:cs="Times New Roman"/>
          <w:b/>
          <w:bCs/>
          <w:iCs/>
        </w:rPr>
        <w:t>strengthen Argent</w:t>
      </w:r>
      <w:r w:rsidR="00EC5E7F">
        <w:rPr>
          <w:rFonts w:cs="Times New Roman"/>
          <w:b/>
          <w:bCs/>
          <w:iCs/>
        </w:rPr>
        <w:t>ina’s epidemiological health surveillance system to prevent, monitor and evaluate influenza activity</w:t>
      </w:r>
      <w:r w:rsidR="00E405DC">
        <w:rPr>
          <w:rFonts w:cs="Times New Roman"/>
          <w:b/>
          <w:bCs/>
          <w:iCs/>
        </w:rPr>
        <w:t xml:space="preserve">. </w:t>
      </w:r>
      <w:r w:rsidR="00EE0AB5" w:rsidRPr="00994754">
        <w:rPr>
          <w:rFonts w:cs="Times New Roman"/>
          <w:bCs/>
          <w:iCs/>
        </w:rPr>
        <w:t>Achievement of</w:t>
      </w:r>
      <w:r w:rsidR="00EE0AB5">
        <w:rPr>
          <w:rFonts w:cs="Times New Roman"/>
          <w:b/>
          <w:bCs/>
          <w:iCs/>
        </w:rPr>
        <w:t xml:space="preserve"> s</w:t>
      </w:r>
      <w:r w:rsidR="00EC5E7F" w:rsidRPr="00615529">
        <w:t xml:space="preserve">ub-objective 1 was </w:t>
      </w:r>
      <w:r w:rsidR="00B65E28">
        <w:t xml:space="preserve">to be </w:t>
      </w:r>
      <w:r w:rsidR="00EE0AB5">
        <w:t>evaluated</w:t>
      </w:r>
      <w:r w:rsidR="00EE0AB5" w:rsidRPr="00615529">
        <w:t xml:space="preserve"> </w:t>
      </w:r>
      <w:r w:rsidR="00EC5E7F" w:rsidRPr="00615529">
        <w:t xml:space="preserve">through two </w:t>
      </w:r>
      <w:r w:rsidR="00E405DC" w:rsidRPr="00615529">
        <w:t>key</w:t>
      </w:r>
      <w:r w:rsidR="00EC5E7F" w:rsidRPr="00615529">
        <w:t xml:space="preserve"> indicators, measuring the strengthening of epidemiological surveillance situation rooms in every province (</w:t>
      </w:r>
      <w:r w:rsidR="00E405DC" w:rsidRPr="00615529">
        <w:t>key indicato</w:t>
      </w:r>
      <w:r w:rsidR="00680AC2" w:rsidRPr="00615529">
        <w:t>r</w:t>
      </w:r>
      <w:r w:rsidR="00EC5E7F" w:rsidRPr="00615529">
        <w:t xml:space="preserve"> 1), and implementation of social communication (MOCS) modules (</w:t>
      </w:r>
      <w:r w:rsidR="00E405DC" w:rsidRPr="00615529">
        <w:t xml:space="preserve">key </w:t>
      </w:r>
      <w:r w:rsidR="00680AC2" w:rsidRPr="00615529">
        <w:t>indicator</w:t>
      </w:r>
      <w:r w:rsidR="00EC5E7F" w:rsidRPr="00615529">
        <w:t xml:space="preserve"> 3).</w:t>
      </w:r>
      <w:r w:rsidR="0088282F">
        <w:t xml:space="preserve"> </w:t>
      </w:r>
      <w:r w:rsidR="00B65E28">
        <w:t xml:space="preserve">Although not included as part of the </w:t>
      </w:r>
      <w:r w:rsidR="009F24C5">
        <w:t xml:space="preserve">key </w:t>
      </w:r>
      <w:r w:rsidR="00B65E28">
        <w:t xml:space="preserve">indicators to </w:t>
      </w:r>
      <w:r w:rsidR="00007E92">
        <w:t>measure</w:t>
      </w:r>
      <w:r w:rsidR="00B65E28">
        <w:t xml:space="preserve"> this first sub-objective, indicator 2 – Health Situation Rooms </w:t>
      </w:r>
      <w:r w:rsidR="00146401">
        <w:t>(</w:t>
      </w:r>
      <w:r w:rsidR="00B65E28">
        <w:t>Level II accredited</w:t>
      </w:r>
      <w:r w:rsidR="00146401">
        <w:t>)</w:t>
      </w:r>
      <w:r w:rsidR="00B65E28">
        <w:t xml:space="preserve">, is a natural continuation </w:t>
      </w:r>
      <w:r w:rsidR="009F24C5">
        <w:t xml:space="preserve">of </w:t>
      </w:r>
      <w:r w:rsidR="005753F6">
        <w:t xml:space="preserve">key </w:t>
      </w:r>
      <w:r w:rsidR="009F24C5">
        <w:t>indicator 1 and even more complex</w:t>
      </w:r>
      <w:r w:rsidR="005753F6">
        <w:t>,</w:t>
      </w:r>
      <w:r w:rsidR="009F24C5">
        <w:t xml:space="preserve"> </w:t>
      </w:r>
      <w:r w:rsidR="00146401">
        <w:t>and</w:t>
      </w:r>
      <w:r w:rsidR="005753F6">
        <w:t xml:space="preserve"> as such could </w:t>
      </w:r>
      <w:r w:rsidR="009F24C5">
        <w:t>also be taken into account for that purpose</w:t>
      </w:r>
      <w:r w:rsidR="001331BD">
        <w:t>.</w:t>
      </w:r>
      <w:r w:rsidR="0088282F">
        <w:t xml:space="preserve">  </w:t>
      </w:r>
    </w:p>
    <w:p w:rsidR="00455C32" w:rsidRDefault="00455C32" w:rsidP="00455C32">
      <w:pPr>
        <w:pStyle w:val="HTMLPreformatted"/>
        <w:autoSpaceDE w:val="0"/>
        <w:autoSpaceDN w:val="0"/>
        <w:adjustRightInd w:val="0"/>
        <w:jc w:val="both"/>
      </w:pPr>
    </w:p>
    <w:p w:rsidR="00F53F2E" w:rsidRPr="00830E4E" w:rsidRDefault="00566B2F" w:rsidP="00616E07">
      <w:pPr>
        <w:pStyle w:val="HTMLPreformatted"/>
        <w:numPr>
          <w:ilvl w:val="0"/>
          <w:numId w:val="1"/>
        </w:numPr>
        <w:autoSpaceDE w:val="0"/>
        <w:autoSpaceDN w:val="0"/>
        <w:adjustRightInd w:val="0"/>
        <w:ind w:left="0" w:firstLine="0"/>
        <w:jc w:val="both"/>
      </w:pPr>
      <w:r>
        <w:rPr>
          <w:rFonts w:cs="Times New Roman"/>
          <w:b/>
          <w:bCs/>
          <w:iCs/>
        </w:rPr>
        <w:t>By Project completion, 36</w:t>
      </w:r>
      <w:r w:rsidR="005F6840">
        <w:t xml:space="preserve"> </w:t>
      </w:r>
      <w:r w:rsidR="005F6840" w:rsidRPr="006C7195">
        <w:rPr>
          <w:b/>
        </w:rPr>
        <w:t>situation rooms in 22 national jurisdictions c</w:t>
      </w:r>
      <w:r w:rsidRPr="006C7195">
        <w:rPr>
          <w:b/>
        </w:rPr>
        <w:t>ould</w:t>
      </w:r>
      <w:r w:rsidR="005F6840" w:rsidRPr="006C7195">
        <w:rPr>
          <w:b/>
        </w:rPr>
        <w:t xml:space="preserve"> </w:t>
      </w:r>
      <w:r w:rsidR="000E6F41" w:rsidRPr="006C7195">
        <w:rPr>
          <w:b/>
        </w:rPr>
        <w:t>generate</w:t>
      </w:r>
      <w:r w:rsidR="005F6840" w:rsidRPr="006C7195">
        <w:rPr>
          <w:b/>
        </w:rPr>
        <w:t xml:space="preserve"> </w:t>
      </w:r>
      <w:r w:rsidR="007C408D">
        <w:rPr>
          <w:b/>
        </w:rPr>
        <w:t>health</w:t>
      </w:r>
      <w:r w:rsidR="000E6F41" w:rsidRPr="006C7195">
        <w:rPr>
          <w:b/>
        </w:rPr>
        <w:t xml:space="preserve"> information at the provincial and departmental level </w:t>
      </w:r>
      <w:r w:rsidR="005F6840" w:rsidRPr="006C7195">
        <w:rPr>
          <w:b/>
        </w:rPr>
        <w:t>in a systemic and timely manner.</w:t>
      </w:r>
      <w:r w:rsidR="005F6840">
        <w:t xml:space="preserve"> </w:t>
      </w:r>
      <w:r w:rsidR="000E6F41">
        <w:t>Health</w:t>
      </w:r>
      <w:r w:rsidR="0056411D">
        <w:t xml:space="preserve"> </w:t>
      </w:r>
      <w:r w:rsidR="000E6F41">
        <w:t>related decision</w:t>
      </w:r>
      <w:r w:rsidR="0056411D">
        <w:t>-</w:t>
      </w:r>
      <w:r w:rsidR="000E6F41">
        <w:t xml:space="preserve">making </w:t>
      </w:r>
      <w:r>
        <w:t>was</w:t>
      </w:r>
      <w:r w:rsidR="000E6F41">
        <w:t xml:space="preserve"> strengthened </w:t>
      </w:r>
      <w:r w:rsidR="002E0C1C">
        <w:t xml:space="preserve">and </w:t>
      </w:r>
      <w:r w:rsidR="007D5E3C">
        <w:t>systematized</w:t>
      </w:r>
      <w:r w:rsidR="002E0C1C">
        <w:t xml:space="preserve"> </w:t>
      </w:r>
      <w:r w:rsidR="000E6F41">
        <w:t xml:space="preserve">by the situation rooms improved ability </w:t>
      </w:r>
      <w:r w:rsidR="005F6840">
        <w:t xml:space="preserve">to </w:t>
      </w:r>
      <w:r w:rsidR="00D7031F">
        <w:t>collect and analyze informati</w:t>
      </w:r>
      <w:r w:rsidR="00252E39">
        <w:t>on</w:t>
      </w:r>
      <w:r w:rsidR="000E6F41">
        <w:t xml:space="preserve"> </w:t>
      </w:r>
      <w:r w:rsidR="00D7031F">
        <w:t>t</w:t>
      </w:r>
      <w:r w:rsidR="005F6840">
        <w:t xml:space="preserve">o </w:t>
      </w:r>
      <w:r w:rsidR="00D7031F">
        <w:t>descri</w:t>
      </w:r>
      <w:r w:rsidR="005F6840">
        <w:t xml:space="preserve">be </w:t>
      </w:r>
      <w:r w:rsidR="00D7031F">
        <w:t>health s</w:t>
      </w:r>
      <w:r w:rsidR="007C408D">
        <w:t>tatus</w:t>
      </w:r>
      <w:r w:rsidR="00D7031F">
        <w:t xml:space="preserve"> and prioritize </w:t>
      </w:r>
      <w:r w:rsidR="002E0C1C">
        <w:t xml:space="preserve">health </w:t>
      </w:r>
      <w:r w:rsidR="00D7031F">
        <w:t>problems.</w:t>
      </w:r>
      <w:r w:rsidR="005F6840">
        <w:rPr>
          <w:rStyle w:val="FootnoteReference"/>
        </w:rPr>
        <w:footnoteReference w:id="20"/>
      </w:r>
      <w:r w:rsidR="0056411D">
        <w:t xml:space="preserve"> </w:t>
      </w:r>
      <w:r w:rsidR="00680AC2" w:rsidRPr="00680AC2">
        <w:t>Surveillance capacity was strengthened through the reinforcement of human and capital resources in the HSRs</w:t>
      </w:r>
      <w:r w:rsidR="00BE2E03">
        <w:t>.</w:t>
      </w:r>
      <w:r w:rsidR="00680AC2" w:rsidRPr="00680AC2">
        <w:t xml:space="preserve"> </w:t>
      </w:r>
      <w:r w:rsidR="00FB5EDD" w:rsidRPr="00733D69">
        <w:t>During Project implementation</w:t>
      </w:r>
      <w:r w:rsidR="00BE2E03">
        <w:t>,</w:t>
      </w:r>
      <w:r w:rsidR="00FB5EDD" w:rsidRPr="00733D69">
        <w:t xml:space="preserve"> it was decided to </w:t>
      </w:r>
      <w:r w:rsidR="00616E07">
        <w:t xml:space="preserve">extend the certification </w:t>
      </w:r>
      <w:r w:rsidR="00FB5EDD" w:rsidRPr="00733D69">
        <w:t xml:space="preserve">process </w:t>
      </w:r>
      <w:r w:rsidR="00616E07">
        <w:t>for two additional years</w:t>
      </w:r>
      <w:r w:rsidR="00FB5EDD" w:rsidRPr="00733D69">
        <w:t>,</w:t>
      </w:r>
      <w:r w:rsidR="00203A47" w:rsidRPr="00733D69">
        <w:t xml:space="preserve"> and apply a more in depth</w:t>
      </w:r>
      <w:r w:rsidR="00696792" w:rsidRPr="00733D69">
        <w:t xml:space="preserve"> and complex </w:t>
      </w:r>
      <w:r w:rsidR="00203A47" w:rsidRPr="00733D69">
        <w:t xml:space="preserve">certification process in </w:t>
      </w:r>
      <w:r w:rsidR="00A84CE9">
        <w:t>the third year</w:t>
      </w:r>
      <w:r w:rsidR="00203A47" w:rsidRPr="00733D69">
        <w:t xml:space="preserve"> to promote institutionalization and </w:t>
      </w:r>
      <w:r w:rsidR="00A84CE9">
        <w:t xml:space="preserve">improve </w:t>
      </w:r>
      <w:r w:rsidR="00203A47" w:rsidRPr="00733D69">
        <w:t>the quality of generated information.</w:t>
      </w:r>
      <w:r w:rsidR="00166029">
        <w:t xml:space="preserve"> </w:t>
      </w:r>
      <w:r w:rsidR="00203A47">
        <w:t xml:space="preserve">Thirty-seven of the 38 </w:t>
      </w:r>
      <w:r w:rsidR="00A84CE9">
        <w:t>HSRs</w:t>
      </w:r>
      <w:r w:rsidR="00203A47">
        <w:t xml:space="preserve"> were certified in 2010 and 2011 and 36 in 2012 by an </w:t>
      </w:r>
      <w:r w:rsidR="00C42EEF">
        <w:t>I</w:t>
      </w:r>
      <w:r w:rsidR="00203A47">
        <w:t>T</w:t>
      </w:r>
      <w:r w:rsidR="00C42EEF">
        <w:t>A</w:t>
      </w:r>
      <w:r>
        <w:t xml:space="preserve">, </w:t>
      </w:r>
      <w:r w:rsidR="007C408D">
        <w:t>almost</w:t>
      </w:r>
      <w:r w:rsidR="00FB18DC">
        <w:t xml:space="preserve"> </w:t>
      </w:r>
      <w:r>
        <w:t>achieving the target for key indicator 1</w:t>
      </w:r>
      <w:r w:rsidR="00203A47">
        <w:t>.</w:t>
      </w:r>
      <w:r w:rsidR="00203A47">
        <w:rPr>
          <w:rStyle w:val="FootnoteReference"/>
        </w:rPr>
        <w:footnoteReference w:id="21"/>
      </w:r>
      <w:r w:rsidR="0014083C">
        <w:t xml:space="preserve"> </w:t>
      </w:r>
      <w:r w:rsidR="00C42EEF" w:rsidRPr="00C42EEF">
        <w:rPr>
          <w:szCs w:val="24"/>
        </w:rPr>
        <w:t xml:space="preserve">The HSR certification </w:t>
      </w:r>
      <w:r w:rsidR="00A84CE9" w:rsidRPr="00C42EEF">
        <w:rPr>
          <w:szCs w:val="24"/>
        </w:rPr>
        <w:t xml:space="preserve">criteria </w:t>
      </w:r>
      <w:r w:rsidR="00C42EEF" w:rsidRPr="00C42EEF">
        <w:rPr>
          <w:szCs w:val="24"/>
        </w:rPr>
        <w:t>w</w:t>
      </w:r>
      <w:r w:rsidR="0041606A">
        <w:rPr>
          <w:szCs w:val="24"/>
        </w:rPr>
        <w:t>as</w:t>
      </w:r>
      <w:r w:rsidR="00C42EEF" w:rsidRPr="00C42EEF">
        <w:rPr>
          <w:szCs w:val="24"/>
        </w:rPr>
        <w:t xml:space="preserve"> based on the following: (i) institutional mechanisms for the integration and diffusion of information, (ii) </w:t>
      </w:r>
      <w:r w:rsidR="007C408D">
        <w:rPr>
          <w:szCs w:val="24"/>
        </w:rPr>
        <w:t>health</w:t>
      </w:r>
      <w:r w:rsidR="00C42EEF" w:rsidRPr="00C42EEF">
        <w:rPr>
          <w:szCs w:val="24"/>
        </w:rPr>
        <w:t xml:space="preserve"> quality improvements, (iii) improvements in the technical quality of </w:t>
      </w:r>
      <w:r w:rsidR="007C408D">
        <w:rPr>
          <w:szCs w:val="24"/>
        </w:rPr>
        <w:t>the</w:t>
      </w:r>
      <w:r w:rsidR="00C42EEF" w:rsidRPr="00C42EEF">
        <w:rPr>
          <w:szCs w:val="24"/>
        </w:rPr>
        <w:t xml:space="preserve"> analysis, and (iv) HSR functioning</w:t>
      </w:r>
      <w:r w:rsidR="009359E1">
        <w:t xml:space="preserve">. </w:t>
      </w:r>
      <w:r w:rsidR="00800622">
        <w:t xml:space="preserve">The target </w:t>
      </w:r>
      <w:r w:rsidR="00255FC2">
        <w:t xml:space="preserve">for </w:t>
      </w:r>
      <w:r w:rsidR="00294744">
        <w:t>the</w:t>
      </w:r>
      <w:r w:rsidR="00395135">
        <w:t xml:space="preserve"> </w:t>
      </w:r>
      <w:r w:rsidR="00EC0877" w:rsidRPr="00816C1F">
        <w:t>Level II accreditation</w:t>
      </w:r>
      <w:r w:rsidR="00F41AA2">
        <w:t xml:space="preserve"> </w:t>
      </w:r>
      <w:r w:rsidR="00294744">
        <w:t xml:space="preserve">(indicator 2) </w:t>
      </w:r>
      <w:r w:rsidR="00F41AA2">
        <w:t xml:space="preserve">was </w:t>
      </w:r>
      <w:r w:rsidR="00EC0877">
        <w:t>surpassed</w:t>
      </w:r>
      <w:r w:rsidR="004558CD">
        <w:t xml:space="preserve">, with </w:t>
      </w:r>
      <w:r w:rsidR="0031174D">
        <w:t>28</w:t>
      </w:r>
      <w:r w:rsidR="004558CD">
        <w:t xml:space="preserve"> situation rooms </w:t>
      </w:r>
      <w:r w:rsidR="00D24AA7">
        <w:t xml:space="preserve">(compared to a target of 16) </w:t>
      </w:r>
      <w:r w:rsidR="004558CD">
        <w:t>reaching a very high level of certification</w:t>
      </w:r>
      <w:r w:rsidR="00C42EEF">
        <w:t>.</w:t>
      </w:r>
      <w:r w:rsidR="00255FC2">
        <w:rPr>
          <w:rStyle w:val="FootnoteReference"/>
        </w:rPr>
        <w:footnoteReference w:id="22"/>
      </w:r>
      <w:r w:rsidR="004A4BD0" w:rsidRPr="00816C1F">
        <w:t xml:space="preserve"> </w:t>
      </w:r>
      <w:r w:rsidR="00FA12D6">
        <w:t xml:space="preserve">Financing of the situation rooms was related with </w:t>
      </w:r>
      <w:r w:rsidR="005A6F91">
        <w:t xml:space="preserve">disbursements and </w:t>
      </w:r>
      <w:r w:rsidR="00FA12D6">
        <w:t>the annual certification process.</w:t>
      </w:r>
      <w:r w:rsidR="008F4600">
        <w:rPr>
          <w:b/>
        </w:rPr>
        <w:t xml:space="preserve"> </w:t>
      </w:r>
    </w:p>
    <w:p w:rsidR="00830E4E" w:rsidRDefault="00830E4E" w:rsidP="00830E4E">
      <w:pPr>
        <w:pStyle w:val="HTMLPreformatted"/>
        <w:autoSpaceDE w:val="0"/>
        <w:autoSpaceDN w:val="0"/>
        <w:adjustRightInd w:val="0"/>
        <w:jc w:val="both"/>
      </w:pPr>
    </w:p>
    <w:p w:rsidR="005A6F91" w:rsidRDefault="00566B2F" w:rsidP="0033017E">
      <w:pPr>
        <w:pStyle w:val="HTMLPreformatted"/>
        <w:numPr>
          <w:ilvl w:val="0"/>
          <w:numId w:val="1"/>
        </w:numPr>
        <w:autoSpaceDE w:val="0"/>
        <w:autoSpaceDN w:val="0"/>
        <w:adjustRightInd w:val="0"/>
        <w:ind w:left="0" w:firstLine="0"/>
        <w:jc w:val="both"/>
      </w:pPr>
      <w:r>
        <w:rPr>
          <w:b/>
        </w:rPr>
        <w:t>Key</w:t>
      </w:r>
      <w:r w:rsidR="003902DC">
        <w:rPr>
          <w:b/>
        </w:rPr>
        <w:t xml:space="preserve"> </w:t>
      </w:r>
      <w:r w:rsidR="00D66DF5">
        <w:rPr>
          <w:b/>
        </w:rPr>
        <w:t>i</w:t>
      </w:r>
      <w:r w:rsidR="00900512" w:rsidRPr="00816C1F">
        <w:rPr>
          <w:b/>
        </w:rPr>
        <w:t xml:space="preserve">ndicator </w:t>
      </w:r>
      <w:r w:rsidR="00F9302D">
        <w:rPr>
          <w:b/>
        </w:rPr>
        <w:t>3</w:t>
      </w:r>
      <w:r w:rsidR="006864E0">
        <w:rPr>
          <w:b/>
        </w:rPr>
        <w:t>,</w:t>
      </w:r>
      <w:r w:rsidR="00BB2F89">
        <w:rPr>
          <w:b/>
        </w:rPr>
        <w:t xml:space="preserve"> implementation of the Operational M</w:t>
      </w:r>
      <w:r w:rsidR="00900512" w:rsidRPr="00816C1F">
        <w:rPr>
          <w:b/>
        </w:rPr>
        <w:t>odules of Social Communication, w</w:t>
      </w:r>
      <w:r w:rsidR="006864E0">
        <w:rPr>
          <w:b/>
        </w:rPr>
        <w:t>as</w:t>
      </w:r>
      <w:r w:rsidR="00900512" w:rsidRPr="00816C1F">
        <w:rPr>
          <w:b/>
        </w:rPr>
        <w:t xml:space="preserve"> achieved. </w:t>
      </w:r>
      <w:r w:rsidR="009B7C03">
        <w:t xml:space="preserve">The </w:t>
      </w:r>
      <w:r w:rsidR="00D66DF5">
        <w:t xml:space="preserve">objective of the MOCS was to </w:t>
      </w:r>
      <w:r w:rsidR="00167EBD">
        <w:t xml:space="preserve">create local communication campaigns </w:t>
      </w:r>
      <w:r w:rsidR="00F41AA2">
        <w:t xml:space="preserve">that </w:t>
      </w:r>
      <w:r w:rsidR="00F41AA2" w:rsidRPr="00816C1F">
        <w:t>increase</w:t>
      </w:r>
      <w:r w:rsidR="00F41AA2">
        <w:t>d</w:t>
      </w:r>
      <w:r w:rsidR="00F41AA2" w:rsidRPr="00816C1F">
        <w:t xml:space="preserve"> public </w:t>
      </w:r>
      <w:r w:rsidR="00312EEF">
        <w:t xml:space="preserve">influenza </w:t>
      </w:r>
      <w:r w:rsidR="00F41AA2" w:rsidRPr="00816C1F">
        <w:t>awareness, encourage</w:t>
      </w:r>
      <w:r w:rsidR="00F41AA2">
        <w:t>d</w:t>
      </w:r>
      <w:r w:rsidR="00F41AA2" w:rsidRPr="00816C1F">
        <w:t xml:space="preserve"> prevention through vaccination, and promote</w:t>
      </w:r>
      <w:r w:rsidR="00F41AA2">
        <w:t>d</w:t>
      </w:r>
      <w:r w:rsidR="00F41AA2" w:rsidRPr="00816C1F">
        <w:t xml:space="preserve"> self-care against the transmission of infectious diseases</w:t>
      </w:r>
      <w:r w:rsidR="00F41AA2">
        <w:t xml:space="preserve">, by </w:t>
      </w:r>
      <w:r w:rsidR="00167EBD">
        <w:t xml:space="preserve">focusing on </w:t>
      </w:r>
      <w:r w:rsidR="00D66DF5">
        <w:t xml:space="preserve">prevention measures </w:t>
      </w:r>
      <w:r w:rsidR="00167EBD">
        <w:t xml:space="preserve">for respiratory diseases, and </w:t>
      </w:r>
      <w:r w:rsidR="00167EBD">
        <w:lastRenderedPageBreak/>
        <w:t xml:space="preserve">promotion of </w:t>
      </w:r>
      <w:r w:rsidR="00D66DF5">
        <w:t xml:space="preserve">early doctor </w:t>
      </w:r>
      <w:r w:rsidR="00167EBD">
        <w:t>visits.</w:t>
      </w:r>
      <w:r w:rsidR="00167EBD">
        <w:rPr>
          <w:rStyle w:val="FootnoteReference"/>
        </w:rPr>
        <w:footnoteReference w:id="23"/>
      </w:r>
      <w:r w:rsidR="00167EBD">
        <w:t xml:space="preserve"> </w:t>
      </w:r>
      <w:r w:rsidR="00DD0298">
        <w:t>Achievement of indicators</w:t>
      </w:r>
      <w:r w:rsidR="00294744">
        <w:t xml:space="preserve"> was measured according to MOCS</w:t>
      </w:r>
      <w:r w:rsidR="00DD0298">
        <w:t xml:space="preserve"> reports approved</w:t>
      </w:r>
      <w:r w:rsidR="00294744">
        <w:t xml:space="preserve"> by the MSN, </w:t>
      </w:r>
      <w:r w:rsidR="00DD0298">
        <w:t>although</w:t>
      </w:r>
      <w:r w:rsidR="00294744">
        <w:t xml:space="preserve"> </w:t>
      </w:r>
      <w:r w:rsidR="00D37982">
        <w:t xml:space="preserve">ITA validation was </w:t>
      </w:r>
      <w:r w:rsidR="00DD0298">
        <w:t>required</w:t>
      </w:r>
      <w:r w:rsidR="00D37982">
        <w:t xml:space="preserve"> </w:t>
      </w:r>
      <w:r w:rsidR="00DD0298">
        <w:t>for</w:t>
      </w:r>
      <w:r w:rsidR="00294744">
        <w:t xml:space="preserve"> </w:t>
      </w:r>
      <w:r w:rsidR="00D37982">
        <w:t xml:space="preserve">disbursements. </w:t>
      </w:r>
      <w:r w:rsidR="006864E0">
        <w:t>Ninety</w:t>
      </w:r>
      <w:r w:rsidR="00167EBD" w:rsidRPr="00D37982">
        <w:t xml:space="preserve"> percent </w:t>
      </w:r>
      <w:r w:rsidR="006864E0">
        <w:t xml:space="preserve">were implemented and approved by the MSN, </w:t>
      </w:r>
      <w:r w:rsidR="00F61B72">
        <w:t xml:space="preserve">and </w:t>
      </w:r>
      <w:r w:rsidR="006864E0">
        <w:t xml:space="preserve">83 percent </w:t>
      </w:r>
      <w:r w:rsidR="00DD0298">
        <w:t>were validated by ITA</w:t>
      </w:r>
      <w:r w:rsidR="00F41AA2" w:rsidRPr="00D37982">
        <w:t>. Likewise, 90 percent of the 45 MOCS adapted for indigenous populations were implemented</w:t>
      </w:r>
      <w:r w:rsidR="006864E0">
        <w:t xml:space="preserve"> (indicator 4)</w:t>
      </w:r>
      <w:r w:rsidR="00F41AA2" w:rsidRPr="00D37982">
        <w:t xml:space="preserve">, </w:t>
      </w:r>
      <w:r w:rsidR="00F61B72">
        <w:t xml:space="preserve">and </w:t>
      </w:r>
      <w:r w:rsidR="00F41AA2" w:rsidRPr="00D37982">
        <w:t xml:space="preserve">80 percent </w:t>
      </w:r>
      <w:r w:rsidR="00DD0298" w:rsidRPr="00D37982">
        <w:t>were validated</w:t>
      </w:r>
      <w:r w:rsidR="00DD0298">
        <w:t xml:space="preserve"> by ITA.</w:t>
      </w:r>
      <w:r w:rsidR="00B553D8" w:rsidRPr="00D37982">
        <w:rPr>
          <w:rStyle w:val="FootnoteReference"/>
        </w:rPr>
        <w:footnoteReference w:id="24"/>
      </w:r>
      <w:r w:rsidR="00167EBD" w:rsidRPr="00D37982">
        <w:t xml:space="preserve"> </w:t>
      </w:r>
      <w:r w:rsidR="00BB2F89" w:rsidRPr="00D37982">
        <w:t>A survey carried out in September 2011</w:t>
      </w:r>
      <w:r w:rsidR="00D53909" w:rsidRPr="00D37982">
        <w:t xml:space="preserve"> </w:t>
      </w:r>
      <w:r w:rsidR="00BB2F89" w:rsidRPr="00D37982">
        <w:t xml:space="preserve">to evaluate the experience of MOCS in terms of </w:t>
      </w:r>
      <w:r w:rsidR="00696792" w:rsidRPr="00D37982">
        <w:t xml:space="preserve">vaccine prevention </w:t>
      </w:r>
      <w:r w:rsidR="00BB2F89" w:rsidRPr="00D37982">
        <w:t>promotion and improvement of inter institutional relations had positive results</w:t>
      </w:r>
      <w:r w:rsidR="0021535F">
        <w:t>.</w:t>
      </w:r>
      <w:r w:rsidR="0021535F">
        <w:rPr>
          <w:rStyle w:val="FootnoteReference"/>
        </w:rPr>
        <w:footnoteReference w:id="25"/>
      </w:r>
      <w:r w:rsidR="0021535F">
        <w:t xml:space="preserve"> </w:t>
      </w:r>
    </w:p>
    <w:p w:rsidR="005A6F91" w:rsidRDefault="005A6F91" w:rsidP="005A6F91">
      <w:pPr>
        <w:pStyle w:val="ListParagraph"/>
        <w:rPr>
          <w:b/>
          <w:bCs/>
          <w:i/>
        </w:rPr>
      </w:pPr>
    </w:p>
    <w:p w:rsidR="00566B2F" w:rsidRDefault="0041606A" w:rsidP="00566B2F">
      <w:pPr>
        <w:pStyle w:val="HTMLPreformatted"/>
        <w:numPr>
          <w:ilvl w:val="0"/>
          <w:numId w:val="1"/>
        </w:numPr>
        <w:autoSpaceDE w:val="0"/>
        <w:autoSpaceDN w:val="0"/>
        <w:adjustRightInd w:val="0"/>
        <w:ind w:left="0" w:firstLine="0"/>
        <w:jc w:val="both"/>
        <w:rPr>
          <w:rFonts w:cs="Times New Roman"/>
        </w:rPr>
      </w:pPr>
      <w:r>
        <w:rPr>
          <w:noProof/>
        </w:rPr>
        <w:drawing>
          <wp:anchor distT="0" distB="0" distL="114300" distR="114300" simplePos="0" relativeHeight="251664384" behindDoc="0" locked="0" layoutInCell="1" allowOverlap="1" wp14:anchorId="5C2A7217" wp14:editId="6367BAEA">
            <wp:simplePos x="0" y="0"/>
            <wp:positionH relativeFrom="column">
              <wp:posOffset>-22860</wp:posOffset>
            </wp:positionH>
            <wp:positionV relativeFrom="paragraph">
              <wp:posOffset>1504950</wp:posOffset>
            </wp:positionV>
            <wp:extent cx="3886200" cy="2256155"/>
            <wp:effectExtent l="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886200" cy="2256155"/>
                    </a:xfrm>
                    <a:prstGeom prst="rect">
                      <a:avLst/>
                    </a:prstGeom>
                  </pic:spPr>
                </pic:pic>
              </a:graphicData>
            </a:graphic>
            <wp14:sizeRelH relativeFrom="margin">
              <wp14:pctWidth>0</wp14:pctWidth>
            </wp14:sizeRelH>
            <wp14:sizeRelV relativeFrom="margin">
              <wp14:pctHeight>0</wp14:pctHeight>
            </wp14:sizeRelV>
          </wp:anchor>
        </w:drawing>
      </w:r>
      <w:r w:rsidR="00566B2F">
        <w:rPr>
          <w:rFonts w:cs="Times New Roman"/>
          <w:b/>
          <w:bCs/>
        </w:rPr>
        <w:t xml:space="preserve">The Project’s </w:t>
      </w:r>
      <w:r w:rsidR="002C22A9">
        <w:rPr>
          <w:rFonts w:cs="Times New Roman"/>
          <w:b/>
          <w:bCs/>
        </w:rPr>
        <w:t xml:space="preserve">efficacy </w:t>
      </w:r>
      <w:r w:rsidR="00566B2F">
        <w:rPr>
          <w:rFonts w:cs="Times New Roman"/>
          <w:b/>
          <w:bCs/>
        </w:rPr>
        <w:t xml:space="preserve">was </w:t>
      </w:r>
      <w:r w:rsidR="00D24AA7">
        <w:rPr>
          <w:rFonts w:cs="Times New Roman"/>
          <w:b/>
          <w:bCs/>
        </w:rPr>
        <w:t xml:space="preserve">high </w:t>
      </w:r>
      <w:r w:rsidR="00566B2F">
        <w:rPr>
          <w:rFonts w:cs="Times New Roman"/>
          <w:b/>
          <w:bCs/>
        </w:rPr>
        <w:t xml:space="preserve">in its capacity to </w:t>
      </w:r>
      <w:r w:rsidR="00D37982">
        <w:rPr>
          <w:rFonts w:cs="Times New Roman"/>
          <w:b/>
          <w:bCs/>
        </w:rPr>
        <w:t xml:space="preserve">strengthen </w:t>
      </w:r>
      <w:r w:rsidR="00D37982" w:rsidRPr="00B435CF">
        <w:rPr>
          <w:rFonts w:cs="Times New Roman"/>
          <w:b/>
          <w:bCs/>
          <w:iCs/>
        </w:rPr>
        <w:t>the response capacity of the health system to control</w:t>
      </w:r>
      <w:r w:rsidR="00D37982">
        <w:rPr>
          <w:rFonts w:cs="Times New Roman"/>
          <w:bCs/>
          <w:iCs/>
        </w:rPr>
        <w:t xml:space="preserve"> </w:t>
      </w:r>
      <w:r w:rsidR="002C22A9" w:rsidRPr="00A34BBB">
        <w:rPr>
          <w:rFonts w:cs="Times New Roman"/>
          <w:b/>
          <w:bCs/>
          <w:iCs/>
        </w:rPr>
        <w:t xml:space="preserve">epidemic waves of the </w:t>
      </w:r>
      <w:r w:rsidR="00D37982" w:rsidRPr="00A34BBB">
        <w:rPr>
          <w:rFonts w:cs="Times New Roman"/>
          <w:b/>
          <w:bCs/>
        </w:rPr>
        <w:t>A/H1N1</w:t>
      </w:r>
      <w:r w:rsidR="00D37982">
        <w:rPr>
          <w:rFonts w:cs="Times New Roman"/>
          <w:b/>
          <w:bCs/>
        </w:rPr>
        <w:t xml:space="preserve"> </w:t>
      </w:r>
      <w:r w:rsidR="002C22A9">
        <w:rPr>
          <w:rFonts w:cs="Times New Roman"/>
          <w:b/>
          <w:bCs/>
        </w:rPr>
        <w:t>influenza</w:t>
      </w:r>
      <w:r w:rsidR="00566B2F">
        <w:rPr>
          <w:rFonts w:cs="Times New Roman"/>
          <w:b/>
          <w:bCs/>
        </w:rPr>
        <w:t xml:space="preserve">. </w:t>
      </w:r>
      <w:r w:rsidR="00566B2F" w:rsidRPr="00AB4C4F">
        <w:rPr>
          <w:rFonts w:cs="Times New Roman"/>
          <w:bCs/>
        </w:rPr>
        <w:t xml:space="preserve">This sub-objective was </w:t>
      </w:r>
      <w:r w:rsidR="009F24C5">
        <w:rPr>
          <w:rFonts w:cs="Times New Roman"/>
          <w:bCs/>
        </w:rPr>
        <w:t xml:space="preserve">to be </w:t>
      </w:r>
      <w:r w:rsidR="006864E0" w:rsidRPr="00AB4C4F">
        <w:rPr>
          <w:rFonts w:cs="Times New Roman"/>
          <w:bCs/>
        </w:rPr>
        <w:t xml:space="preserve">measured by </w:t>
      </w:r>
      <w:r w:rsidR="00F61B72">
        <w:rPr>
          <w:rFonts w:cs="Times New Roman"/>
          <w:bCs/>
        </w:rPr>
        <w:t>three</w:t>
      </w:r>
      <w:r w:rsidR="00F61B72" w:rsidRPr="00AB4C4F">
        <w:rPr>
          <w:rFonts w:cs="Times New Roman"/>
          <w:bCs/>
        </w:rPr>
        <w:t xml:space="preserve"> </w:t>
      </w:r>
      <w:r w:rsidR="00566B2F" w:rsidRPr="00AB4C4F">
        <w:rPr>
          <w:rFonts w:cs="Times New Roman"/>
          <w:bCs/>
        </w:rPr>
        <w:t>key</w:t>
      </w:r>
      <w:r w:rsidR="006864E0" w:rsidRPr="00AB4C4F">
        <w:rPr>
          <w:rFonts w:cs="Times New Roman"/>
          <w:bCs/>
        </w:rPr>
        <w:t xml:space="preserve"> indicators</w:t>
      </w:r>
      <w:r w:rsidR="00566B2F" w:rsidRPr="00AB4C4F">
        <w:rPr>
          <w:rFonts w:cs="Times New Roman"/>
          <w:bCs/>
        </w:rPr>
        <w:t>: Dose of</w:t>
      </w:r>
      <w:r w:rsidR="006864E0" w:rsidRPr="00AB4C4F">
        <w:rPr>
          <w:rFonts w:cs="Times New Roman"/>
        </w:rPr>
        <w:t xml:space="preserve"> A/H1N1 vaccine applied</w:t>
      </w:r>
      <w:r w:rsidR="00566B2F" w:rsidRPr="00AB4C4F">
        <w:rPr>
          <w:rFonts w:cs="Times New Roman"/>
        </w:rPr>
        <w:t xml:space="preserve"> (key indicator 5), </w:t>
      </w:r>
      <w:r w:rsidR="00C15A06" w:rsidRPr="00AB4C4F">
        <w:t>dose of pneumococcal vaccine applied</w:t>
      </w:r>
      <w:r w:rsidR="00566B2F" w:rsidRPr="00AB4C4F">
        <w:t xml:space="preserve"> (key indicator 6) and </w:t>
      </w:r>
      <w:r w:rsidR="00C15A06" w:rsidRPr="00AB4C4F">
        <w:t>influenza diagnostic laboratory tests carried out in 2010 and 2011</w:t>
      </w:r>
      <w:r w:rsidR="00566B2F" w:rsidRPr="00AB4C4F">
        <w:t xml:space="preserve"> (key indicator 13</w:t>
      </w:r>
      <w:r w:rsidR="00C15A06" w:rsidRPr="00AB4C4F">
        <w:t>)</w:t>
      </w:r>
      <w:r w:rsidR="00B658AE" w:rsidRPr="00AB4C4F">
        <w:rPr>
          <w:rFonts w:cs="Times New Roman"/>
          <w:bCs/>
        </w:rPr>
        <w:t xml:space="preserve">. </w:t>
      </w:r>
      <w:r w:rsidR="00C15A06" w:rsidRPr="00AB4C4F">
        <w:t>Achievement of th</w:t>
      </w:r>
      <w:r w:rsidR="008B6A69">
        <w:t>is</w:t>
      </w:r>
      <w:r w:rsidR="00C15A06" w:rsidRPr="00AB4C4F">
        <w:t xml:space="preserve"> sub-objective was </w:t>
      </w:r>
      <w:r w:rsidR="00D24AA7">
        <w:t>high</w:t>
      </w:r>
      <w:r w:rsidR="00D24AA7" w:rsidRPr="00AB4C4F">
        <w:t xml:space="preserve"> </w:t>
      </w:r>
      <w:r w:rsidR="00566B2F">
        <w:t>as reflected in</w:t>
      </w:r>
      <w:r w:rsidR="00680AC2">
        <w:t xml:space="preserve"> </w:t>
      </w:r>
      <w:r w:rsidR="00AB4C4F">
        <w:t xml:space="preserve">high </w:t>
      </w:r>
      <w:r w:rsidR="006F51EC">
        <w:t xml:space="preserve">vaccination </w:t>
      </w:r>
      <w:r w:rsidR="00AB4C4F">
        <w:t>coverage</w:t>
      </w:r>
      <w:r w:rsidR="00A34BBB">
        <w:t xml:space="preserve"> rates</w:t>
      </w:r>
      <w:r w:rsidR="00AB4C4F">
        <w:t xml:space="preserve"> and low mortality in 2010 and 2011. </w:t>
      </w:r>
      <w:r w:rsidR="00566B2F" w:rsidRPr="00566B2F">
        <w:rPr>
          <w:rFonts w:cs="Times New Roman"/>
        </w:rPr>
        <w:t>Coordination</w:t>
      </w:r>
      <w:r w:rsidR="00566B2F" w:rsidRPr="00E40526">
        <w:rPr>
          <w:rFonts w:cs="Times New Roman"/>
        </w:rPr>
        <w:t xml:space="preserve"> between the National Government and the provinces for the control and prevention </w:t>
      </w:r>
      <w:r w:rsidR="00AB4C4F">
        <w:rPr>
          <w:rFonts w:cs="Times New Roman"/>
        </w:rPr>
        <w:t>of i</w:t>
      </w:r>
      <w:r w:rsidR="00566B2F">
        <w:rPr>
          <w:rFonts w:cs="Times New Roman"/>
        </w:rPr>
        <w:t>nfluenza</w:t>
      </w:r>
      <w:r w:rsidR="00AB4C4F">
        <w:rPr>
          <w:rFonts w:cs="Times New Roman"/>
        </w:rPr>
        <w:t>-like i</w:t>
      </w:r>
      <w:r w:rsidR="00566B2F">
        <w:rPr>
          <w:rFonts w:cs="Times New Roman"/>
        </w:rPr>
        <w:t>llnesses was</w:t>
      </w:r>
      <w:r w:rsidR="00AB4C4F">
        <w:rPr>
          <w:rFonts w:cs="Times New Roman"/>
        </w:rPr>
        <w:t xml:space="preserve"> highly effective</w:t>
      </w:r>
      <w:r w:rsidR="00566B2F">
        <w:rPr>
          <w:rFonts w:cs="Times New Roman"/>
        </w:rPr>
        <w:t xml:space="preserve">. </w:t>
      </w:r>
      <w:r w:rsidR="00AD72F0" w:rsidRPr="00E40526">
        <w:rPr>
          <w:rFonts w:cs="Times New Roman"/>
        </w:rPr>
        <w:t xml:space="preserve">The infection rate </w:t>
      </w:r>
      <w:r w:rsidR="00AD72F0">
        <w:rPr>
          <w:rFonts w:cs="Times New Roman"/>
        </w:rPr>
        <w:t>for</w:t>
      </w:r>
      <w:r w:rsidR="00AD72F0" w:rsidRPr="00E40526">
        <w:rPr>
          <w:rFonts w:cs="Times New Roman"/>
        </w:rPr>
        <w:t xml:space="preserve"> all kinds of influenza w</w:t>
      </w:r>
      <w:r w:rsidR="00AD72F0">
        <w:rPr>
          <w:rFonts w:cs="Times New Roman"/>
        </w:rPr>
        <w:t>as</w:t>
      </w:r>
      <w:r w:rsidR="00AD72F0" w:rsidRPr="00E40526">
        <w:rPr>
          <w:rFonts w:cs="Times New Roman"/>
        </w:rPr>
        <w:t xml:space="preserve"> 49 percent lower in 2010 than in the same period in 2009</w:t>
      </w:r>
      <w:r w:rsidR="00AD72F0">
        <w:rPr>
          <w:rFonts w:cs="Times New Roman"/>
        </w:rPr>
        <w:t>, with only two deaths being attributed to A/H1N1 (neither a high-risk individual)</w:t>
      </w:r>
      <w:r w:rsidR="00AD72F0" w:rsidRPr="00E40526">
        <w:rPr>
          <w:rFonts w:cs="Times New Roman"/>
        </w:rPr>
        <w:t>.</w:t>
      </w:r>
      <w:r w:rsidR="00AD72F0">
        <w:rPr>
          <w:rFonts w:cs="Times New Roman"/>
        </w:rPr>
        <w:t xml:space="preserve"> </w:t>
      </w:r>
      <w:r w:rsidR="00566B2F">
        <w:rPr>
          <w:rFonts w:cs="Times New Roman"/>
        </w:rPr>
        <w:t xml:space="preserve">Graph 1 displays the difference between 2009 and 2010 in weekly cases of individuals with </w:t>
      </w:r>
      <w:r w:rsidR="00680AC2">
        <w:rPr>
          <w:rFonts w:cs="Times New Roman"/>
        </w:rPr>
        <w:t>i</w:t>
      </w:r>
      <w:r w:rsidR="00566B2F">
        <w:rPr>
          <w:rFonts w:cs="Times New Roman"/>
        </w:rPr>
        <w:t>nfluenza-like symptoms.</w:t>
      </w:r>
      <w:r w:rsidR="00566B2F">
        <w:rPr>
          <w:rStyle w:val="FootnoteReference"/>
          <w:rFonts w:cs="Times New Roman"/>
        </w:rPr>
        <w:footnoteReference w:id="26"/>
      </w:r>
      <w:r w:rsidR="00566B2F">
        <w:rPr>
          <w:rFonts w:cs="Times New Roman"/>
        </w:rPr>
        <w:t xml:space="preserve">  </w:t>
      </w:r>
    </w:p>
    <w:p w:rsidR="00830A58" w:rsidRDefault="00830A58" w:rsidP="00AB4C4F">
      <w:pPr>
        <w:pStyle w:val="HTMLPreformatted"/>
        <w:autoSpaceDE w:val="0"/>
        <w:autoSpaceDN w:val="0"/>
        <w:adjustRightInd w:val="0"/>
        <w:jc w:val="both"/>
        <w:rPr>
          <w:rFonts w:cs="Times New Roman"/>
          <w:b/>
        </w:rPr>
      </w:pPr>
    </w:p>
    <w:p w:rsidR="00F17AC2" w:rsidRPr="00AB4C4F" w:rsidRDefault="00F17AC2" w:rsidP="00AB4C4F">
      <w:pPr>
        <w:pStyle w:val="HTMLPreformatted"/>
        <w:autoSpaceDE w:val="0"/>
        <w:autoSpaceDN w:val="0"/>
        <w:adjustRightInd w:val="0"/>
        <w:jc w:val="both"/>
        <w:rPr>
          <w:rFonts w:cs="Times New Roman"/>
          <w:b/>
        </w:rPr>
      </w:pPr>
    </w:p>
    <w:p w:rsidR="00812C1F" w:rsidRDefault="00680AC2" w:rsidP="00305FBA">
      <w:pPr>
        <w:pStyle w:val="HTMLPreformatted"/>
        <w:numPr>
          <w:ilvl w:val="0"/>
          <w:numId w:val="1"/>
        </w:numPr>
        <w:autoSpaceDE w:val="0"/>
        <w:autoSpaceDN w:val="0"/>
        <w:adjustRightInd w:val="0"/>
        <w:ind w:left="0" w:firstLine="0"/>
        <w:jc w:val="both"/>
        <w:rPr>
          <w:rFonts w:cs="Times New Roman"/>
        </w:rPr>
      </w:pPr>
      <w:r>
        <w:rPr>
          <w:rFonts w:cs="Times New Roman"/>
          <w:b/>
        </w:rPr>
        <w:t xml:space="preserve">Key </w:t>
      </w:r>
      <w:r w:rsidR="00812C1F">
        <w:rPr>
          <w:rFonts w:cs="Times New Roman"/>
          <w:b/>
        </w:rPr>
        <w:t>indicator 5, dose of A/H1N1 vaccine applied</w:t>
      </w:r>
      <w:r w:rsidR="00BE549D">
        <w:rPr>
          <w:rFonts w:cs="Times New Roman"/>
          <w:b/>
        </w:rPr>
        <w:t xml:space="preserve"> </w:t>
      </w:r>
      <w:r w:rsidR="00812C1F">
        <w:rPr>
          <w:rFonts w:cs="Times New Roman"/>
          <w:b/>
        </w:rPr>
        <w:t xml:space="preserve">was achieved. </w:t>
      </w:r>
      <w:r w:rsidR="00812C1F">
        <w:rPr>
          <w:rFonts w:cs="Times New Roman"/>
        </w:rPr>
        <w:t>The GOA began the A/H1N1 vaccination campaign in February 2010</w:t>
      </w:r>
      <w:r w:rsidR="005A6F91">
        <w:rPr>
          <w:rFonts w:cs="Times New Roman"/>
        </w:rPr>
        <w:t>,</w:t>
      </w:r>
      <w:r w:rsidR="00812C1F">
        <w:rPr>
          <w:rFonts w:cs="Times New Roman"/>
        </w:rPr>
        <w:t xml:space="preserve"> and 14 days before the </w:t>
      </w:r>
      <w:r w:rsidR="00EA1C2E">
        <w:rPr>
          <w:rFonts w:cs="Times New Roman"/>
        </w:rPr>
        <w:t>beginning</w:t>
      </w:r>
      <w:r w:rsidR="00812C1F">
        <w:rPr>
          <w:rFonts w:cs="Times New Roman"/>
        </w:rPr>
        <w:t xml:space="preserve"> of winter had reached 80 percent </w:t>
      </w:r>
      <w:r w:rsidR="00AE6D01">
        <w:rPr>
          <w:rFonts w:cs="Times New Roman"/>
        </w:rPr>
        <w:t xml:space="preserve">vaccination </w:t>
      </w:r>
      <w:r w:rsidR="00812C1F">
        <w:rPr>
          <w:rFonts w:cs="Times New Roman"/>
        </w:rPr>
        <w:t xml:space="preserve">coverage. Coverage was aimed at </w:t>
      </w:r>
      <w:r w:rsidR="00812C1F">
        <w:rPr>
          <w:rFonts w:cs="Times New Roman"/>
        </w:rPr>
        <w:lastRenderedPageBreak/>
        <w:t>those most at risk,</w:t>
      </w:r>
      <w:r w:rsidR="00C14D32">
        <w:rPr>
          <w:rFonts w:cs="Times New Roman"/>
        </w:rPr>
        <w:t xml:space="preserve"> </w:t>
      </w:r>
      <w:r w:rsidR="00812C1F">
        <w:rPr>
          <w:rFonts w:cs="Times New Roman"/>
        </w:rPr>
        <w:t>and reached 9</w:t>
      </w:r>
      <w:r w:rsidR="00C14D32">
        <w:rPr>
          <w:rFonts w:cs="Times New Roman"/>
        </w:rPr>
        <w:t>3</w:t>
      </w:r>
      <w:r w:rsidR="00812C1F">
        <w:rPr>
          <w:rFonts w:cs="Times New Roman"/>
        </w:rPr>
        <w:t xml:space="preserve"> percent and 108 percent </w:t>
      </w:r>
      <w:r w:rsidR="00812C1F" w:rsidRPr="005700AC">
        <w:rPr>
          <w:rFonts w:cs="Times New Roman"/>
          <w:szCs w:val="24"/>
        </w:rPr>
        <w:t>coverage, respectively in 2010 and 2011, surpassing the 90 percent Project target</w:t>
      </w:r>
      <w:r w:rsidR="00B435CF" w:rsidRPr="005700AC">
        <w:rPr>
          <w:rFonts w:cs="Times New Roman"/>
          <w:szCs w:val="24"/>
        </w:rPr>
        <w:t xml:space="preserve"> for each year</w:t>
      </w:r>
      <w:r w:rsidR="00812C1F" w:rsidRPr="005700AC">
        <w:rPr>
          <w:rFonts w:cs="Times New Roman"/>
          <w:szCs w:val="24"/>
        </w:rPr>
        <w:t xml:space="preserve">. </w:t>
      </w:r>
      <w:r w:rsidR="005700AC" w:rsidRPr="005700AC">
        <w:rPr>
          <w:szCs w:val="24"/>
        </w:rPr>
        <w:t>This account</w:t>
      </w:r>
      <w:r w:rsidR="00DC450A">
        <w:rPr>
          <w:szCs w:val="24"/>
        </w:rPr>
        <w:t>ed</w:t>
      </w:r>
      <w:r w:rsidR="005700AC" w:rsidRPr="005700AC">
        <w:rPr>
          <w:szCs w:val="24"/>
        </w:rPr>
        <w:t xml:space="preserve"> for the highest </w:t>
      </w:r>
      <w:r w:rsidR="00B05ACD" w:rsidRPr="005700AC">
        <w:rPr>
          <w:szCs w:val="24"/>
        </w:rPr>
        <w:t xml:space="preserve">eligible population </w:t>
      </w:r>
      <w:r w:rsidR="00B05ACD">
        <w:rPr>
          <w:szCs w:val="24"/>
        </w:rPr>
        <w:t xml:space="preserve">coverage rate </w:t>
      </w:r>
      <w:r w:rsidR="005700AC" w:rsidRPr="005700AC">
        <w:rPr>
          <w:szCs w:val="24"/>
        </w:rPr>
        <w:t>in Latin America for the winter season. The vaccination campaigns in 2010 and 2011 offered free vaccination in all hospitals and vaccination centers to high</w:t>
      </w:r>
      <w:r w:rsidR="00DC450A">
        <w:rPr>
          <w:szCs w:val="24"/>
        </w:rPr>
        <w:t>-</w:t>
      </w:r>
      <w:r w:rsidR="005700AC" w:rsidRPr="005700AC">
        <w:rPr>
          <w:szCs w:val="24"/>
        </w:rPr>
        <w:t>risk individuals.</w:t>
      </w:r>
      <w:r w:rsidR="00DC450A">
        <w:rPr>
          <w:rStyle w:val="FootnoteReference"/>
          <w:szCs w:val="24"/>
        </w:rPr>
        <w:footnoteReference w:id="27"/>
      </w:r>
      <w:r w:rsidR="005700AC">
        <w:rPr>
          <w:sz w:val="18"/>
          <w:szCs w:val="18"/>
        </w:rPr>
        <w:t xml:space="preserve"> </w:t>
      </w:r>
      <w:r w:rsidR="00812C1F">
        <w:rPr>
          <w:rFonts w:cs="Times New Roman"/>
        </w:rPr>
        <w:t xml:space="preserve">Though the </w:t>
      </w:r>
      <w:r w:rsidR="00744CDD">
        <w:rPr>
          <w:rFonts w:cs="Times New Roman"/>
        </w:rPr>
        <w:t>GOA</w:t>
      </w:r>
      <w:r w:rsidR="00812C1F">
        <w:rPr>
          <w:rFonts w:cs="Times New Roman"/>
        </w:rPr>
        <w:t xml:space="preserve"> covered the cost of the vaccines, the </w:t>
      </w:r>
      <w:r w:rsidR="00B365DA">
        <w:rPr>
          <w:rFonts w:cs="Times New Roman"/>
        </w:rPr>
        <w:t xml:space="preserve">World </w:t>
      </w:r>
      <w:r w:rsidR="00812C1F">
        <w:rPr>
          <w:rFonts w:cs="Times New Roman"/>
        </w:rPr>
        <w:t xml:space="preserve">Bank </w:t>
      </w:r>
      <w:r w:rsidR="00975788">
        <w:rPr>
          <w:rFonts w:cs="Times New Roman"/>
        </w:rPr>
        <w:t xml:space="preserve">loan </w:t>
      </w:r>
      <w:r w:rsidR="00812C1F">
        <w:rPr>
          <w:rFonts w:cs="Times New Roman"/>
        </w:rPr>
        <w:t xml:space="preserve">covered the costs associated with vaccine </w:t>
      </w:r>
      <w:r w:rsidR="00AE6D01">
        <w:rPr>
          <w:rFonts w:cs="Times New Roman"/>
        </w:rPr>
        <w:t>application</w:t>
      </w:r>
      <w:r w:rsidR="00812C1F">
        <w:rPr>
          <w:rFonts w:cs="Times New Roman"/>
        </w:rPr>
        <w:t xml:space="preserve">, with the latter </w:t>
      </w:r>
      <w:r w:rsidR="00EA1C2E">
        <w:rPr>
          <w:rFonts w:cs="Times New Roman"/>
        </w:rPr>
        <w:t>transferring</w:t>
      </w:r>
      <w:r w:rsidR="00812C1F">
        <w:rPr>
          <w:rFonts w:cs="Times New Roman"/>
        </w:rPr>
        <w:t xml:space="preserve"> to the provinces a set amount per vaccine applied. </w:t>
      </w:r>
      <w:r w:rsidR="00AB4C4F">
        <w:rPr>
          <w:rFonts w:cs="Times New Roman"/>
        </w:rPr>
        <w:t xml:space="preserve">Due to the success of the vaccination campaign, the GOA decided to include the vaccine in the national calendar vaccination schedule starting in 2011. Indicator 7, dose of A/H1N1 vaccine included in the national calendar applied, </w:t>
      </w:r>
      <w:r w:rsidR="00AB4C4F" w:rsidRPr="00786038">
        <w:t xml:space="preserve">surpassed the </w:t>
      </w:r>
      <w:r w:rsidR="00E179B3">
        <w:t xml:space="preserve">established </w:t>
      </w:r>
      <w:r w:rsidR="00AB4C4F" w:rsidRPr="00786038">
        <w:t>target (80 percent) in 2011</w:t>
      </w:r>
      <w:r w:rsidR="00AB4C4F">
        <w:t xml:space="preserve"> and</w:t>
      </w:r>
      <w:r w:rsidR="00AB4C4F" w:rsidRPr="00786038">
        <w:t xml:space="preserve"> 2012</w:t>
      </w:r>
      <w:r w:rsidR="00AB4C4F">
        <w:t>.</w:t>
      </w:r>
    </w:p>
    <w:p w:rsidR="004B18C3" w:rsidRDefault="004B18C3" w:rsidP="00441974">
      <w:pPr>
        <w:pStyle w:val="HTMLPreformatted"/>
        <w:autoSpaceDE w:val="0"/>
        <w:autoSpaceDN w:val="0"/>
        <w:adjustRightInd w:val="0"/>
        <w:jc w:val="both"/>
        <w:rPr>
          <w:rFonts w:cs="Times New Roman"/>
          <w:b/>
        </w:rPr>
      </w:pPr>
    </w:p>
    <w:p w:rsidR="00B435CF" w:rsidRPr="006F51EC" w:rsidRDefault="00AB4C4F" w:rsidP="00F061C8">
      <w:pPr>
        <w:pStyle w:val="HTMLPreformatted"/>
        <w:numPr>
          <w:ilvl w:val="0"/>
          <w:numId w:val="1"/>
        </w:numPr>
        <w:autoSpaceDE w:val="0"/>
        <w:autoSpaceDN w:val="0"/>
        <w:adjustRightInd w:val="0"/>
        <w:ind w:left="0" w:firstLine="0"/>
        <w:jc w:val="both"/>
        <w:rPr>
          <w:rFonts w:ascii="Times" w:hAnsi="Times" w:cs="Times"/>
        </w:rPr>
      </w:pPr>
      <w:r>
        <w:rPr>
          <w:rFonts w:cs="Times New Roman"/>
          <w:b/>
        </w:rPr>
        <w:t>Key</w:t>
      </w:r>
      <w:r w:rsidR="00B435CF">
        <w:rPr>
          <w:rFonts w:cs="Times New Roman"/>
          <w:b/>
        </w:rPr>
        <w:t xml:space="preserve"> indicator </w:t>
      </w:r>
      <w:r w:rsidR="00812C1F">
        <w:rPr>
          <w:b/>
        </w:rPr>
        <w:t xml:space="preserve">6, dose of </w:t>
      </w:r>
      <w:r w:rsidR="00680AC2" w:rsidRPr="0004627C">
        <w:rPr>
          <w:b/>
        </w:rPr>
        <w:t>pneumococcal vaccine applied</w:t>
      </w:r>
      <w:r w:rsidR="00680AC2">
        <w:t xml:space="preserve"> </w:t>
      </w:r>
      <w:r w:rsidR="00C97A28">
        <w:rPr>
          <w:b/>
        </w:rPr>
        <w:t xml:space="preserve">successfully </w:t>
      </w:r>
      <w:r w:rsidR="00441974" w:rsidRPr="00441974">
        <w:rPr>
          <w:b/>
        </w:rPr>
        <w:t>reached its target in 2011.</w:t>
      </w:r>
      <w:r w:rsidR="0014083C">
        <w:t xml:space="preserve"> </w:t>
      </w:r>
      <w:r w:rsidR="00441974">
        <w:t xml:space="preserve">Insufficient coverage in 2010 (36 percent coverage) likely resulted from </w:t>
      </w:r>
      <w:r w:rsidR="00EB5794">
        <w:t xml:space="preserve">an initial focus on the influenza campaign due to the fear of a subsequent A/H1N1 wave, </w:t>
      </w:r>
      <w:r w:rsidR="00441974" w:rsidRPr="00816C1F">
        <w:t>an initial overestimation of the target</w:t>
      </w:r>
      <w:r w:rsidR="00441974">
        <w:t xml:space="preserve">, lack of registration and notification by health personnel of applied </w:t>
      </w:r>
      <w:r w:rsidR="00EA1C2E">
        <w:t>doses</w:t>
      </w:r>
      <w:r w:rsidR="00441974">
        <w:t xml:space="preserve">, and ambiguousness </w:t>
      </w:r>
      <w:r w:rsidR="00643D65">
        <w:t>regarding the target population</w:t>
      </w:r>
      <w:r w:rsidR="00441974">
        <w:t xml:space="preserve">. Once these factors were </w:t>
      </w:r>
      <w:r w:rsidR="00EA1C2E">
        <w:t>addressed</w:t>
      </w:r>
      <w:r w:rsidR="00441974">
        <w:t xml:space="preserve">, and information regarding applied </w:t>
      </w:r>
      <w:r w:rsidR="00EA1C2E">
        <w:t>doses</w:t>
      </w:r>
      <w:r w:rsidR="00441974">
        <w:t xml:space="preserve"> was included in the </w:t>
      </w:r>
      <w:r w:rsidR="00DC450A">
        <w:t xml:space="preserve">National Health Surveillance System </w:t>
      </w:r>
      <w:r w:rsidR="00DC450A" w:rsidRPr="00540B57">
        <w:rPr>
          <w:lang w:val="pt-BR"/>
        </w:rPr>
        <w:t>(</w:t>
      </w:r>
      <w:r w:rsidR="00DC450A" w:rsidRPr="00540B57">
        <w:rPr>
          <w:i/>
          <w:lang w:val="pt-BR"/>
        </w:rPr>
        <w:t>Sistema</w:t>
      </w:r>
      <w:r w:rsidR="00DC450A" w:rsidRPr="00733D69">
        <w:rPr>
          <w:i/>
        </w:rPr>
        <w:t xml:space="preserve"> Nacional de</w:t>
      </w:r>
      <w:r w:rsidR="00DC450A" w:rsidRPr="0063364B">
        <w:rPr>
          <w:i/>
        </w:rPr>
        <w:t xml:space="preserve"> Vigilancia</w:t>
      </w:r>
      <w:r w:rsidR="00DC450A" w:rsidRPr="00733D69">
        <w:rPr>
          <w:i/>
        </w:rPr>
        <w:t xml:space="preserve"> de Salud</w:t>
      </w:r>
      <w:r w:rsidR="00DC450A">
        <w:t xml:space="preserve"> - </w:t>
      </w:r>
      <w:r w:rsidR="00441974">
        <w:t>SNVS</w:t>
      </w:r>
      <w:r w:rsidR="00DC450A">
        <w:t>)</w:t>
      </w:r>
      <w:r w:rsidR="00812C1F">
        <w:t>,</w:t>
      </w:r>
      <w:r w:rsidR="00441974">
        <w:t xml:space="preserve"> coverage climbed to 99.3 percent by 2011. </w:t>
      </w:r>
      <w:r>
        <w:t xml:space="preserve">Starting in January 2012, the vaccine </w:t>
      </w:r>
      <w:r w:rsidRPr="00F061C8">
        <w:t>was introduced in the national calendar vaccination schedule</w:t>
      </w:r>
      <w:r w:rsidR="00680AC2" w:rsidRPr="00680AC2">
        <w:t xml:space="preserve"> </w:t>
      </w:r>
      <w:r w:rsidR="00680AC2" w:rsidRPr="00786038">
        <w:t xml:space="preserve">for children </w:t>
      </w:r>
      <w:r w:rsidR="00E179B3" w:rsidRPr="00786038">
        <w:t>less than</w:t>
      </w:r>
      <w:r w:rsidR="00680AC2" w:rsidRPr="00786038">
        <w:t xml:space="preserve"> two years of </w:t>
      </w:r>
      <w:r w:rsidR="00680AC2" w:rsidRPr="00F061C8">
        <w:t>age</w:t>
      </w:r>
      <w:r w:rsidRPr="00F061C8">
        <w:t xml:space="preserve">. Indicator 8, dose of pneumococcal vaccine included in the national </w:t>
      </w:r>
      <w:r w:rsidR="00E179B3" w:rsidRPr="00F061C8">
        <w:t>calendar</w:t>
      </w:r>
      <w:r w:rsidRPr="00F061C8">
        <w:t xml:space="preserve"> applied surpassed the target (80 percent) in 201</w:t>
      </w:r>
      <w:r w:rsidR="00F061C8" w:rsidRPr="00F061C8">
        <w:t>2.</w:t>
      </w:r>
    </w:p>
    <w:p w:rsidR="006F51EC" w:rsidRDefault="006F51EC" w:rsidP="006F51EC">
      <w:pPr>
        <w:pStyle w:val="ListParagraph"/>
        <w:rPr>
          <w:rFonts w:ascii="Times" w:hAnsi="Times" w:cs="Times"/>
        </w:rPr>
      </w:pPr>
    </w:p>
    <w:p w:rsidR="004E6923" w:rsidRDefault="006F51EC" w:rsidP="006F51EC">
      <w:pPr>
        <w:pStyle w:val="HTMLPreformatted"/>
        <w:numPr>
          <w:ilvl w:val="0"/>
          <w:numId w:val="1"/>
        </w:numPr>
        <w:autoSpaceDE w:val="0"/>
        <w:autoSpaceDN w:val="0"/>
        <w:adjustRightInd w:val="0"/>
        <w:ind w:left="0" w:firstLine="0"/>
        <w:jc w:val="both"/>
        <w:rPr>
          <w:rFonts w:ascii="Times" w:hAnsi="Times" w:cs="Times"/>
        </w:rPr>
      </w:pPr>
      <w:r w:rsidRPr="006F51EC">
        <w:rPr>
          <w:rFonts w:ascii="Times" w:hAnsi="Times" w:cs="Times"/>
          <w:b/>
        </w:rPr>
        <w:t xml:space="preserve">Key indicator 13, influenza diagnostic laboratory tests carried out in 2010 and 2011, was </w:t>
      </w:r>
      <w:r w:rsidR="00D24AA7">
        <w:rPr>
          <w:rFonts w:ascii="Times" w:hAnsi="Times" w:cs="Times"/>
          <w:b/>
        </w:rPr>
        <w:t>surpassed</w:t>
      </w:r>
      <w:r w:rsidRPr="006F51EC">
        <w:rPr>
          <w:rFonts w:ascii="Times" w:hAnsi="Times" w:cs="Times"/>
          <w:b/>
        </w:rPr>
        <w:t>.</w:t>
      </w:r>
      <w:r w:rsidRPr="006F51EC">
        <w:rPr>
          <w:rFonts w:ascii="Times" w:hAnsi="Times" w:cs="Times"/>
        </w:rPr>
        <w:t xml:space="preserve"> Surveillance of ARI’s via laboratory tests provides information regarding the frequency and distribution of the main respiratory viruses, the virus subtypes and characteristics of the affected population in order to adopt prevention measures and policies to control and manage public health. </w:t>
      </w:r>
      <w:r w:rsidR="008B6A69">
        <w:rPr>
          <w:rFonts w:ascii="Times" w:hAnsi="Times" w:cs="Times"/>
        </w:rPr>
        <w:t xml:space="preserve">The cumulative number of </w:t>
      </w:r>
      <w:r w:rsidR="008B6A69" w:rsidRPr="006F51EC">
        <w:rPr>
          <w:rFonts w:ascii="Times" w:hAnsi="Times" w:cs="Times"/>
        </w:rPr>
        <w:t xml:space="preserve">laboratory tests </w:t>
      </w:r>
      <w:r w:rsidR="008B6A69">
        <w:rPr>
          <w:rFonts w:ascii="Times" w:hAnsi="Times" w:cs="Times"/>
        </w:rPr>
        <w:t>performed in 2010 and 2011 was 65,341</w:t>
      </w:r>
      <w:r w:rsidRPr="006F51EC">
        <w:rPr>
          <w:rFonts w:ascii="Times" w:hAnsi="Times" w:cs="Times"/>
        </w:rPr>
        <w:t xml:space="preserve">, </w:t>
      </w:r>
      <w:r w:rsidR="00BE783D">
        <w:rPr>
          <w:rFonts w:ascii="Times" w:hAnsi="Times" w:cs="Times"/>
        </w:rPr>
        <w:t>surpassing</w:t>
      </w:r>
      <w:r w:rsidRPr="006F51EC">
        <w:rPr>
          <w:rFonts w:ascii="Times" w:hAnsi="Times" w:cs="Times"/>
        </w:rPr>
        <w:t xml:space="preserve"> the 54,000 target. The number of influenza samples analyzed </w:t>
      </w:r>
      <w:r w:rsidR="0078326B">
        <w:rPr>
          <w:rFonts w:ascii="Times" w:hAnsi="Times" w:cs="Times"/>
        </w:rPr>
        <w:t>in 2013</w:t>
      </w:r>
      <w:r w:rsidRPr="006F51EC">
        <w:rPr>
          <w:rFonts w:ascii="Times" w:hAnsi="Times" w:cs="Times"/>
        </w:rPr>
        <w:t xml:space="preserve"> increased 11.5 percent with respect to the average in 2010-2012</w:t>
      </w:r>
      <w:r w:rsidR="0078326B">
        <w:rPr>
          <w:rFonts w:ascii="Times" w:hAnsi="Times" w:cs="Times"/>
        </w:rPr>
        <w:t xml:space="preserve">, with </w:t>
      </w:r>
      <w:r w:rsidRPr="006F51EC">
        <w:rPr>
          <w:rFonts w:ascii="Times" w:hAnsi="Times" w:cs="Times"/>
        </w:rPr>
        <w:t>all the provinces submitt</w:t>
      </w:r>
      <w:r w:rsidR="0078326B">
        <w:rPr>
          <w:rFonts w:ascii="Times" w:hAnsi="Times" w:cs="Times"/>
        </w:rPr>
        <w:t>ing</w:t>
      </w:r>
      <w:r w:rsidRPr="006F51EC">
        <w:rPr>
          <w:rFonts w:ascii="Times" w:hAnsi="Times" w:cs="Times"/>
        </w:rPr>
        <w:t xml:space="preserve"> samples for respiratory viruses</w:t>
      </w:r>
      <w:r w:rsidR="0078326B">
        <w:rPr>
          <w:rFonts w:ascii="Times" w:hAnsi="Times" w:cs="Times"/>
        </w:rPr>
        <w:t xml:space="preserve"> that year</w:t>
      </w:r>
      <w:r w:rsidRPr="006F51EC">
        <w:rPr>
          <w:rFonts w:ascii="Times" w:hAnsi="Times" w:cs="Times"/>
        </w:rPr>
        <w:t xml:space="preserve">, </w:t>
      </w:r>
      <w:r w:rsidR="0078326B">
        <w:rPr>
          <w:rFonts w:ascii="Times" w:hAnsi="Times" w:cs="Times"/>
        </w:rPr>
        <w:t>and</w:t>
      </w:r>
      <w:r w:rsidR="0078326B" w:rsidRPr="006F51EC">
        <w:rPr>
          <w:rFonts w:ascii="Times" w:hAnsi="Times" w:cs="Times"/>
        </w:rPr>
        <w:t xml:space="preserve"> </w:t>
      </w:r>
      <w:r w:rsidRPr="006F51EC">
        <w:rPr>
          <w:rFonts w:ascii="Times" w:hAnsi="Times" w:cs="Times"/>
        </w:rPr>
        <w:t xml:space="preserve">111 laboratories providing samples of hospitalized patients and 45 of ambulatory patients.  </w:t>
      </w:r>
    </w:p>
    <w:p w:rsidR="006F51EC" w:rsidRPr="00786038" w:rsidRDefault="006F51EC" w:rsidP="006F51EC">
      <w:pPr>
        <w:pStyle w:val="HTMLPreformatted"/>
        <w:autoSpaceDE w:val="0"/>
        <w:autoSpaceDN w:val="0"/>
        <w:adjustRightInd w:val="0"/>
        <w:jc w:val="both"/>
        <w:rPr>
          <w:rFonts w:ascii="Times" w:hAnsi="Times" w:cs="Times"/>
        </w:rPr>
      </w:pPr>
    </w:p>
    <w:p w:rsidR="00C97A28" w:rsidRDefault="00C97A28" w:rsidP="00305FBA">
      <w:pPr>
        <w:pStyle w:val="HTMLPreformatted"/>
        <w:numPr>
          <w:ilvl w:val="0"/>
          <w:numId w:val="1"/>
        </w:numPr>
        <w:autoSpaceDE w:val="0"/>
        <w:autoSpaceDN w:val="0"/>
        <w:adjustRightInd w:val="0"/>
        <w:ind w:left="0" w:firstLine="0"/>
        <w:jc w:val="both"/>
      </w:pPr>
      <w:r w:rsidRPr="00C14D32">
        <w:rPr>
          <w:b/>
        </w:rPr>
        <w:t xml:space="preserve">In addition to </w:t>
      </w:r>
      <w:r w:rsidRPr="00F061C8">
        <w:rPr>
          <w:b/>
        </w:rPr>
        <w:t>prevention</w:t>
      </w:r>
      <w:r w:rsidR="00975788">
        <w:rPr>
          <w:b/>
        </w:rPr>
        <w:t xml:space="preserve"> of influenza</w:t>
      </w:r>
      <w:r w:rsidR="0030249C" w:rsidRPr="00F061C8">
        <w:rPr>
          <w:b/>
        </w:rPr>
        <w:t>,</w:t>
      </w:r>
      <w:r w:rsidRPr="00F061C8">
        <w:rPr>
          <w:b/>
        </w:rPr>
        <w:t xml:space="preserve"> </w:t>
      </w:r>
      <w:r w:rsidR="00F061C8" w:rsidRPr="00F061C8">
        <w:rPr>
          <w:b/>
        </w:rPr>
        <w:t>th</w:t>
      </w:r>
      <w:r w:rsidRPr="000E5DB7">
        <w:rPr>
          <w:b/>
        </w:rPr>
        <w:t xml:space="preserve">e Project sought to improve </w:t>
      </w:r>
      <w:r w:rsidR="00975788">
        <w:rPr>
          <w:b/>
        </w:rPr>
        <w:t>health care</w:t>
      </w:r>
      <w:r w:rsidRPr="000E5DB7">
        <w:rPr>
          <w:b/>
        </w:rPr>
        <w:t xml:space="preserve"> in hospitals by financing the provision of antiviral treatments as well as hospital equipment</w:t>
      </w:r>
      <w:r w:rsidR="00975788">
        <w:rPr>
          <w:b/>
        </w:rPr>
        <w:t xml:space="preserve"> and other inputs</w:t>
      </w:r>
      <w:r w:rsidRPr="00C14D32">
        <w:t>. The target</w:t>
      </w:r>
      <w:r w:rsidR="00812C1F" w:rsidRPr="00C14D32">
        <w:t>s</w:t>
      </w:r>
      <w:r w:rsidRPr="00C14D32">
        <w:t xml:space="preserve"> for </w:t>
      </w:r>
      <w:r w:rsidR="00786038">
        <w:t>indicators</w:t>
      </w:r>
      <w:r w:rsidR="00812C1F" w:rsidRPr="00C14D32">
        <w:t xml:space="preserve"> 9 and 11</w:t>
      </w:r>
      <w:r w:rsidRPr="00C14D32">
        <w:t xml:space="preserve"> </w:t>
      </w:r>
      <w:r w:rsidR="00812C1F" w:rsidRPr="00C14D32">
        <w:t>were achieved.</w:t>
      </w:r>
      <w:r w:rsidR="00812C1F" w:rsidRPr="00C14D32">
        <w:rPr>
          <w:b/>
        </w:rPr>
        <w:t xml:space="preserve"> </w:t>
      </w:r>
      <w:r w:rsidR="00812C1F" w:rsidRPr="00812C1F">
        <w:t>The target for indicator 9</w:t>
      </w:r>
      <w:r w:rsidRPr="00812C1F">
        <w:t xml:space="preserve">, </w:t>
      </w:r>
      <w:r w:rsidR="005C3E41" w:rsidRPr="00812C1F">
        <w:t>outp</w:t>
      </w:r>
      <w:r w:rsidR="005C3E41">
        <w:t>atient</w:t>
      </w:r>
      <w:r w:rsidR="005C3E41" w:rsidRPr="00812C1F">
        <w:t xml:space="preserve"> </w:t>
      </w:r>
      <w:r w:rsidRPr="00812C1F">
        <w:t>treatment provided, was surpassed in both 2010 and 2011 as revealed in the SNVS.</w:t>
      </w:r>
      <w:r w:rsidR="002E34B0" w:rsidRPr="00C14D32">
        <w:rPr>
          <w:b/>
        </w:rPr>
        <w:t xml:space="preserve"> </w:t>
      </w:r>
      <w:r w:rsidR="002E34B0" w:rsidRPr="002E34B0">
        <w:t xml:space="preserve">Over 100 percent of the registered cases of </w:t>
      </w:r>
      <w:r w:rsidR="00816858">
        <w:t>i</w:t>
      </w:r>
      <w:r w:rsidR="002E34B0" w:rsidRPr="002E34B0">
        <w:t xml:space="preserve">nfluenza-type illnesses were treated in 2010, and 99 percent in 2011. In addition to improving </w:t>
      </w:r>
      <w:r w:rsidR="0075411E">
        <w:t>virus</w:t>
      </w:r>
      <w:r w:rsidR="002E34B0" w:rsidRPr="002E34B0">
        <w:t xml:space="preserve"> registration, th</w:t>
      </w:r>
      <w:r w:rsidR="00975788">
        <w:t>is</w:t>
      </w:r>
      <w:r w:rsidR="002E34B0" w:rsidRPr="002E34B0">
        <w:t xml:space="preserve"> </w:t>
      </w:r>
      <w:r w:rsidR="00975788">
        <w:t>result</w:t>
      </w:r>
      <w:r w:rsidR="002E34B0" w:rsidRPr="002E34B0">
        <w:t xml:space="preserve"> also contributed to the </w:t>
      </w:r>
      <w:r w:rsidR="008067FB" w:rsidRPr="002E34B0">
        <w:t xml:space="preserve">strengthening </w:t>
      </w:r>
      <w:r w:rsidR="008067FB">
        <w:t xml:space="preserve">and </w:t>
      </w:r>
      <w:r w:rsidR="002E34B0" w:rsidRPr="002E34B0">
        <w:lastRenderedPageBreak/>
        <w:t>legitimiz</w:t>
      </w:r>
      <w:r w:rsidR="008067FB">
        <w:t xml:space="preserve">ation </w:t>
      </w:r>
      <w:r w:rsidR="002E34B0" w:rsidRPr="002E34B0">
        <w:t>of the SNVS system</w:t>
      </w:r>
      <w:r w:rsidR="002E34B0" w:rsidRPr="00812C1F">
        <w:t xml:space="preserve">. </w:t>
      </w:r>
      <w:r w:rsidR="00812C1F" w:rsidRPr="00812C1F">
        <w:t xml:space="preserve">Indicator 11, inpatient treatment provided in hospital due to ARI was achieved with 40,936 individuals receiving treatment (10,000 individuals over the target). </w:t>
      </w:r>
    </w:p>
    <w:p w:rsidR="00455C32" w:rsidRDefault="00455C32" w:rsidP="00455C32">
      <w:pPr>
        <w:pStyle w:val="ListParagraph"/>
      </w:pPr>
    </w:p>
    <w:p w:rsidR="00C67D43" w:rsidRDefault="00C67D43" w:rsidP="00AE21C0">
      <w:pPr>
        <w:pStyle w:val="Heading3"/>
        <w:spacing w:before="0" w:beforeAutospacing="0"/>
        <w:jc w:val="both"/>
        <w:rPr>
          <w:sz w:val="24"/>
          <w:szCs w:val="24"/>
        </w:rPr>
      </w:pPr>
      <w:r w:rsidRPr="00816C1F">
        <w:rPr>
          <w:sz w:val="24"/>
          <w:szCs w:val="24"/>
        </w:rPr>
        <w:t>3.3 Efficiency</w:t>
      </w:r>
    </w:p>
    <w:p w:rsidR="00744CDD" w:rsidRPr="00816C1F" w:rsidRDefault="00744CDD" w:rsidP="00AE21C0">
      <w:pPr>
        <w:pStyle w:val="Heading3"/>
        <w:spacing w:before="0" w:beforeAutospacing="0"/>
        <w:jc w:val="both"/>
        <w:rPr>
          <w:sz w:val="24"/>
          <w:szCs w:val="24"/>
        </w:rPr>
      </w:pPr>
    </w:p>
    <w:p w:rsidR="00AB02DF" w:rsidRPr="00816C1F" w:rsidRDefault="00F061C8" w:rsidP="00F061C8">
      <w:pPr>
        <w:pStyle w:val="HTMLPreformatted"/>
        <w:numPr>
          <w:ilvl w:val="0"/>
          <w:numId w:val="1"/>
        </w:numPr>
        <w:autoSpaceDE w:val="0"/>
        <w:autoSpaceDN w:val="0"/>
        <w:adjustRightInd w:val="0"/>
        <w:ind w:left="0" w:firstLine="0"/>
        <w:jc w:val="both"/>
      </w:pPr>
      <w:r>
        <w:rPr>
          <w:rFonts w:cs="Times New Roman"/>
          <w:b/>
          <w:szCs w:val="24"/>
        </w:rPr>
        <w:t xml:space="preserve">Project efficiency was </w:t>
      </w:r>
      <w:r w:rsidR="00D24AA7">
        <w:rPr>
          <w:rFonts w:cs="Times New Roman"/>
          <w:b/>
          <w:szCs w:val="24"/>
        </w:rPr>
        <w:t>substantial</w:t>
      </w:r>
      <w:r>
        <w:rPr>
          <w:rFonts w:cs="Times New Roman"/>
          <w:b/>
          <w:szCs w:val="24"/>
        </w:rPr>
        <w:t>, with t</w:t>
      </w:r>
      <w:r w:rsidR="00AB02DF" w:rsidRPr="00F50D5B">
        <w:rPr>
          <w:rFonts w:cs="Times New Roman"/>
          <w:b/>
          <w:szCs w:val="24"/>
        </w:rPr>
        <w:t xml:space="preserve">he </w:t>
      </w:r>
      <w:r w:rsidR="00C833C1" w:rsidRPr="00F50D5B">
        <w:rPr>
          <w:rFonts w:cs="Times New Roman"/>
          <w:b/>
          <w:szCs w:val="24"/>
        </w:rPr>
        <w:t xml:space="preserve">social and economic benefits of the Project </w:t>
      </w:r>
      <w:r w:rsidR="00EA1C2E" w:rsidRPr="00F50D5B">
        <w:rPr>
          <w:rFonts w:cs="Times New Roman"/>
          <w:b/>
          <w:szCs w:val="24"/>
        </w:rPr>
        <w:t>outweigh</w:t>
      </w:r>
      <w:r>
        <w:rPr>
          <w:rFonts w:cs="Times New Roman"/>
          <w:b/>
          <w:szCs w:val="24"/>
        </w:rPr>
        <w:t>ing</w:t>
      </w:r>
      <w:r w:rsidR="00C833C1" w:rsidRPr="00F50D5B">
        <w:rPr>
          <w:rFonts w:cs="Times New Roman"/>
          <w:b/>
          <w:szCs w:val="24"/>
        </w:rPr>
        <w:t xml:space="preserve"> the costs.</w:t>
      </w:r>
      <w:r w:rsidR="00AE6D01">
        <w:rPr>
          <w:rFonts w:cs="Times New Roman"/>
          <w:szCs w:val="24"/>
        </w:rPr>
        <w:t xml:space="preserve"> </w:t>
      </w:r>
      <w:r w:rsidR="00AB02DF" w:rsidRPr="00F061C8">
        <w:rPr>
          <w:rFonts w:cs="Times New Roman"/>
          <w:szCs w:val="24"/>
        </w:rPr>
        <w:t>Considering as a benefit the direct costs avoided (costs associated with the pandemic and infected people) one obtains a net cost bene</w:t>
      </w:r>
      <w:r w:rsidR="00AA0307" w:rsidRPr="00F061C8">
        <w:rPr>
          <w:rFonts w:cs="Times New Roman"/>
          <w:szCs w:val="24"/>
        </w:rPr>
        <w:t>fit of US$</w:t>
      </w:r>
      <w:r w:rsidR="00816858">
        <w:rPr>
          <w:rFonts w:cs="Times New Roman"/>
          <w:szCs w:val="24"/>
        </w:rPr>
        <w:t xml:space="preserve"> </w:t>
      </w:r>
      <w:r w:rsidR="00E066D4" w:rsidRPr="00F061C8">
        <w:rPr>
          <w:rFonts w:cs="Times New Roman"/>
          <w:szCs w:val="24"/>
        </w:rPr>
        <w:t>535</w:t>
      </w:r>
      <w:r w:rsidR="00AB02DF" w:rsidRPr="00F061C8">
        <w:rPr>
          <w:rFonts w:cs="Times New Roman"/>
          <w:szCs w:val="24"/>
        </w:rPr>
        <w:t xml:space="preserve"> million discounted at a rate of 3 percent and a reasonable cost benefit of 1.7.</w:t>
      </w:r>
      <w:r w:rsidR="00C42EEF" w:rsidRPr="00F061C8">
        <w:rPr>
          <w:rStyle w:val="FootnoteReference"/>
          <w:rFonts w:cs="Times New Roman"/>
          <w:szCs w:val="24"/>
        </w:rPr>
        <w:footnoteReference w:id="28"/>
      </w:r>
      <w:r w:rsidR="00AB02DF" w:rsidRPr="00F061C8">
        <w:rPr>
          <w:rFonts w:cs="Times New Roman"/>
          <w:szCs w:val="24"/>
        </w:rPr>
        <w:t xml:space="preserve"> However, the economic benefits of the adopted measures </w:t>
      </w:r>
      <w:r w:rsidR="00B05ACD">
        <w:rPr>
          <w:rFonts w:cs="Times New Roman"/>
          <w:szCs w:val="24"/>
        </w:rPr>
        <w:t xml:space="preserve">are likely </w:t>
      </w:r>
      <w:r w:rsidR="00AB02DF" w:rsidRPr="00F061C8">
        <w:rPr>
          <w:rFonts w:cs="Times New Roman"/>
          <w:szCs w:val="24"/>
        </w:rPr>
        <w:t xml:space="preserve">underestimated </w:t>
      </w:r>
      <w:r w:rsidR="00F557E6" w:rsidRPr="00F061C8">
        <w:rPr>
          <w:rFonts w:cs="Times New Roman"/>
          <w:szCs w:val="24"/>
        </w:rPr>
        <w:t xml:space="preserve">by </w:t>
      </w:r>
      <w:r w:rsidR="00AB02DF" w:rsidRPr="00F061C8">
        <w:rPr>
          <w:rFonts w:cs="Times New Roman"/>
          <w:szCs w:val="24"/>
        </w:rPr>
        <w:t xml:space="preserve">not considering </w:t>
      </w:r>
      <w:r w:rsidR="00F557E6" w:rsidRPr="00F061C8">
        <w:rPr>
          <w:rFonts w:cs="Times New Roman"/>
          <w:szCs w:val="24"/>
        </w:rPr>
        <w:t>social distancing measure</w:t>
      </w:r>
      <w:r w:rsidR="00AB02DF" w:rsidRPr="00F061C8">
        <w:rPr>
          <w:rFonts w:cs="Times New Roman"/>
          <w:szCs w:val="24"/>
        </w:rPr>
        <w:t xml:space="preserve"> effects in key sector</w:t>
      </w:r>
      <w:r w:rsidR="00B05ACD">
        <w:rPr>
          <w:rFonts w:cs="Times New Roman"/>
          <w:szCs w:val="24"/>
        </w:rPr>
        <w:t>s</w:t>
      </w:r>
      <w:r w:rsidR="00AB02DF" w:rsidRPr="00F061C8">
        <w:rPr>
          <w:rFonts w:cs="Times New Roman"/>
          <w:szCs w:val="24"/>
        </w:rPr>
        <w:t xml:space="preserve"> of the economy</w:t>
      </w:r>
      <w:r w:rsidR="00C42EEF" w:rsidRPr="00F061C8">
        <w:rPr>
          <w:rFonts w:cs="Times New Roman"/>
          <w:szCs w:val="24"/>
        </w:rPr>
        <w:t xml:space="preserve"> and the positive impact of reducing epidemic risks past the initial year</w:t>
      </w:r>
      <w:r w:rsidR="00AB02DF" w:rsidRPr="00F061C8">
        <w:rPr>
          <w:rFonts w:cs="Times New Roman"/>
          <w:szCs w:val="24"/>
        </w:rPr>
        <w:t>.</w:t>
      </w:r>
    </w:p>
    <w:p w:rsidR="001145E7" w:rsidRPr="00816C1F" w:rsidRDefault="001145E7" w:rsidP="00AE21C0">
      <w:pPr>
        <w:jc w:val="both"/>
      </w:pPr>
    </w:p>
    <w:p w:rsidR="00C67D43" w:rsidRPr="00816C1F" w:rsidRDefault="00C67D43" w:rsidP="00AE21C0">
      <w:pPr>
        <w:pStyle w:val="Heading3"/>
        <w:keepNext/>
        <w:spacing w:before="0" w:beforeAutospacing="0"/>
        <w:jc w:val="both"/>
        <w:rPr>
          <w:sz w:val="24"/>
          <w:szCs w:val="24"/>
        </w:rPr>
      </w:pPr>
      <w:r w:rsidRPr="00816C1F">
        <w:rPr>
          <w:sz w:val="24"/>
          <w:szCs w:val="24"/>
        </w:rPr>
        <w:t>3.4 Justification of Overall Outcome Rating</w:t>
      </w:r>
    </w:p>
    <w:p w:rsidR="00254477" w:rsidRPr="00816C1F" w:rsidRDefault="00254477" w:rsidP="003262E3">
      <w:pPr>
        <w:jc w:val="both"/>
      </w:pPr>
      <w:bookmarkStart w:id="144" w:name="SEC84"/>
      <w:bookmarkEnd w:id="144"/>
    </w:p>
    <w:p w:rsidR="002D746C" w:rsidRPr="005A6F91" w:rsidRDefault="000738B1" w:rsidP="00F061C8">
      <w:pPr>
        <w:pStyle w:val="HTMLPreformatted"/>
        <w:widowControl w:val="0"/>
        <w:numPr>
          <w:ilvl w:val="0"/>
          <w:numId w:val="1"/>
        </w:numPr>
        <w:autoSpaceDE w:val="0"/>
        <w:autoSpaceDN w:val="0"/>
        <w:adjustRightInd w:val="0"/>
        <w:spacing w:after="240"/>
        <w:ind w:left="0" w:firstLine="0"/>
        <w:jc w:val="both"/>
        <w:rPr>
          <w:rFonts w:cs="Times New Roman"/>
          <w:szCs w:val="24"/>
        </w:rPr>
      </w:pPr>
      <w:r w:rsidRPr="005A6F91">
        <w:rPr>
          <w:b/>
        </w:rPr>
        <w:t xml:space="preserve">The overall </w:t>
      </w:r>
      <w:r w:rsidR="007C0E13" w:rsidRPr="005A6F91">
        <w:rPr>
          <w:b/>
        </w:rPr>
        <w:t xml:space="preserve">outcome </w:t>
      </w:r>
      <w:r w:rsidRPr="005A6F91">
        <w:rPr>
          <w:b/>
        </w:rPr>
        <w:t xml:space="preserve">rating is </w:t>
      </w:r>
      <w:r w:rsidR="00B20A14" w:rsidRPr="005A6F91">
        <w:rPr>
          <w:b/>
        </w:rPr>
        <w:t>S</w:t>
      </w:r>
      <w:r w:rsidR="00A74F94" w:rsidRPr="005A6F91">
        <w:rPr>
          <w:b/>
        </w:rPr>
        <w:t>atisfactory</w:t>
      </w:r>
      <w:r w:rsidRPr="005A6F91">
        <w:rPr>
          <w:b/>
        </w:rPr>
        <w:t>.</w:t>
      </w:r>
      <w:r w:rsidRPr="005A6F91">
        <w:t xml:space="preserve"> </w:t>
      </w:r>
      <w:r w:rsidR="0075411E" w:rsidRPr="005A6F91">
        <w:rPr>
          <w:rFonts w:cs="Times New Roman"/>
          <w:szCs w:val="24"/>
        </w:rPr>
        <w:t xml:space="preserve">The rating is based on the following considerations: (i) </w:t>
      </w:r>
      <w:r w:rsidR="00AA39F2" w:rsidRPr="005A6F91">
        <w:rPr>
          <w:rFonts w:cs="Times New Roman"/>
          <w:bCs/>
        </w:rPr>
        <w:t>o</w:t>
      </w:r>
      <w:r w:rsidR="0075411E" w:rsidRPr="005A6F91">
        <w:rPr>
          <w:rFonts w:cs="Times New Roman"/>
          <w:bCs/>
        </w:rPr>
        <w:t xml:space="preserve">bjectives, design and implementation </w:t>
      </w:r>
      <w:r w:rsidR="00847A85" w:rsidRPr="005A6F91">
        <w:rPr>
          <w:rFonts w:cs="Times New Roman"/>
          <w:bCs/>
        </w:rPr>
        <w:t xml:space="preserve">highly </w:t>
      </w:r>
      <w:r w:rsidR="00254B22" w:rsidRPr="005A6F91">
        <w:rPr>
          <w:rFonts w:cs="Times New Roman"/>
          <w:bCs/>
        </w:rPr>
        <w:t xml:space="preserve">relevant </w:t>
      </w:r>
      <w:r w:rsidR="0075411E" w:rsidRPr="005A6F91">
        <w:rPr>
          <w:rFonts w:cs="Times New Roman"/>
          <w:bCs/>
        </w:rPr>
        <w:t>to the Argen</w:t>
      </w:r>
      <w:r w:rsidR="00AA39F2" w:rsidRPr="005A6F91">
        <w:rPr>
          <w:rFonts w:cs="Times New Roman"/>
          <w:bCs/>
        </w:rPr>
        <w:t>t</w:t>
      </w:r>
      <w:r w:rsidR="0075411E" w:rsidRPr="005A6F91">
        <w:rPr>
          <w:rFonts w:cs="Times New Roman"/>
          <w:bCs/>
        </w:rPr>
        <w:t>ine country context</w:t>
      </w:r>
      <w:r w:rsidR="00C81C0B">
        <w:rPr>
          <w:rFonts w:cs="Times New Roman"/>
          <w:bCs/>
        </w:rPr>
        <w:t>,</w:t>
      </w:r>
      <w:r w:rsidR="0075411E" w:rsidRPr="005A6F91">
        <w:rPr>
          <w:rFonts w:cs="Times New Roman"/>
          <w:bCs/>
        </w:rPr>
        <w:t xml:space="preserve"> (ii) </w:t>
      </w:r>
      <w:r w:rsidR="00456997">
        <w:rPr>
          <w:rFonts w:cs="Times New Roman"/>
          <w:bCs/>
        </w:rPr>
        <w:t xml:space="preserve">substantial and </w:t>
      </w:r>
      <w:r w:rsidR="005753F6">
        <w:rPr>
          <w:rFonts w:cs="Times New Roman"/>
          <w:bCs/>
        </w:rPr>
        <w:t xml:space="preserve">high efficacy </w:t>
      </w:r>
      <w:r w:rsidR="00456997">
        <w:rPr>
          <w:rFonts w:cs="Times New Roman"/>
          <w:bCs/>
        </w:rPr>
        <w:t xml:space="preserve">ratings in achieving </w:t>
      </w:r>
      <w:r w:rsidR="00AA39F2" w:rsidRPr="005A6F91">
        <w:rPr>
          <w:rFonts w:cs="Times New Roman"/>
          <w:bCs/>
        </w:rPr>
        <w:t xml:space="preserve">intended </w:t>
      </w:r>
      <w:r w:rsidR="0075411E" w:rsidRPr="005A6F91">
        <w:rPr>
          <w:rFonts w:cs="Times New Roman"/>
          <w:bCs/>
        </w:rPr>
        <w:t>outcomes</w:t>
      </w:r>
      <w:r w:rsidR="005753F6">
        <w:rPr>
          <w:rFonts w:cs="Times New Roman"/>
          <w:bCs/>
        </w:rPr>
        <w:t>, as measured by both sub-objectives</w:t>
      </w:r>
      <w:r w:rsidR="00B971A3" w:rsidRPr="005A6F91">
        <w:rPr>
          <w:rFonts w:cs="Times New Roman"/>
          <w:bCs/>
        </w:rPr>
        <w:t>, and</w:t>
      </w:r>
      <w:r w:rsidR="00335FAA" w:rsidRPr="005A6F91">
        <w:rPr>
          <w:rFonts w:cs="Times New Roman"/>
          <w:bCs/>
        </w:rPr>
        <w:t xml:space="preserve"> (i</w:t>
      </w:r>
      <w:r w:rsidR="00847A85" w:rsidRPr="005A6F91">
        <w:rPr>
          <w:rFonts w:cs="Times New Roman"/>
          <w:bCs/>
        </w:rPr>
        <w:t>ii</w:t>
      </w:r>
      <w:r w:rsidR="00335FAA" w:rsidRPr="005A6F91">
        <w:rPr>
          <w:rFonts w:cs="Times New Roman"/>
          <w:bCs/>
        </w:rPr>
        <w:t>)</w:t>
      </w:r>
      <w:r w:rsidR="0075411E" w:rsidRPr="005A6F91">
        <w:rPr>
          <w:rFonts w:cs="Times New Roman"/>
          <w:bCs/>
        </w:rPr>
        <w:t xml:space="preserve"> </w:t>
      </w:r>
      <w:r w:rsidR="00D24AA7">
        <w:rPr>
          <w:rFonts w:cs="Times New Roman"/>
          <w:bCs/>
        </w:rPr>
        <w:t>substantial</w:t>
      </w:r>
      <w:r w:rsidR="00D24AA7" w:rsidRPr="005A6F91">
        <w:rPr>
          <w:rFonts w:cs="Times New Roman"/>
          <w:bCs/>
        </w:rPr>
        <w:t xml:space="preserve"> </w:t>
      </w:r>
      <w:r w:rsidR="00335FAA" w:rsidRPr="005A6F91">
        <w:rPr>
          <w:rFonts w:cs="Times New Roman"/>
          <w:bCs/>
        </w:rPr>
        <w:t>efficiency</w:t>
      </w:r>
      <w:r w:rsidR="0075411E" w:rsidRPr="005A6F91">
        <w:rPr>
          <w:rFonts w:cs="Times New Roman"/>
          <w:bCs/>
        </w:rPr>
        <w:t>.</w:t>
      </w:r>
      <w:r w:rsidR="00262CFF" w:rsidRPr="005A6F91">
        <w:t xml:space="preserve"> </w:t>
      </w:r>
    </w:p>
    <w:p w:rsidR="00C67D43" w:rsidRPr="00C833C1" w:rsidRDefault="00C67D43" w:rsidP="002B5418">
      <w:pPr>
        <w:pStyle w:val="HTMLPreformatted"/>
        <w:autoSpaceDE w:val="0"/>
        <w:autoSpaceDN w:val="0"/>
        <w:adjustRightInd w:val="0"/>
        <w:jc w:val="both"/>
        <w:rPr>
          <w:rFonts w:cs="Times New Roman"/>
          <w:b/>
          <w:szCs w:val="24"/>
        </w:rPr>
      </w:pPr>
      <w:r w:rsidRPr="00C833C1">
        <w:rPr>
          <w:rFonts w:cs="Times New Roman"/>
          <w:b/>
          <w:szCs w:val="24"/>
        </w:rPr>
        <w:t>3.5 Overarching Themes, Other Outcomes and Impacts</w:t>
      </w:r>
    </w:p>
    <w:p w:rsidR="00BF273F" w:rsidRPr="00816C1F" w:rsidRDefault="00BF273F" w:rsidP="002B5418">
      <w:pPr>
        <w:pStyle w:val="HTMLPreformatted"/>
        <w:autoSpaceDE w:val="0"/>
        <w:autoSpaceDN w:val="0"/>
        <w:adjustRightInd w:val="0"/>
        <w:jc w:val="both"/>
        <w:rPr>
          <w:rFonts w:cs="Times New Roman"/>
          <w:szCs w:val="24"/>
        </w:rPr>
      </w:pPr>
    </w:p>
    <w:p w:rsidR="00C67D43" w:rsidRDefault="00C67D43" w:rsidP="003262E3">
      <w:pPr>
        <w:spacing w:line="200" w:lineRule="atLeast"/>
        <w:jc w:val="both"/>
        <w:rPr>
          <w:rStyle w:val="Strong"/>
          <w:color w:val="000000"/>
        </w:rPr>
      </w:pPr>
      <w:r w:rsidRPr="00816C1F">
        <w:rPr>
          <w:rStyle w:val="Strong"/>
          <w:color w:val="000000"/>
        </w:rPr>
        <w:t>(a) Poverty Impacts, Gender Aspects, and Social Development</w:t>
      </w:r>
    </w:p>
    <w:p w:rsidR="005E508F" w:rsidRPr="00816C1F" w:rsidRDefault="005E508F" w:rsidP="003262E3">
      <w:pPr>
        <w:spacing w:line="200" w:lineRule="atLeast"/>
        <w:jc w:val="both"/>
        <w:rPr>
          <w:color w:val="000000"/>
        </w:rPr>
      </w:pPr>
    </w:p>
    <w:p w:rsidR="00BF273F" w:rsidRPr="00F53F2E" w:rsidRDefault="000A29A6" w:rsidP="00305FBA">
      <w:pPr>
        <w:pStyle w:val="HTMLPreformatted"/>
        <w:numPr>
          <w:ilvl w:val="0"/>
          <w:numId w:val="1"/>
        </w:numPr>
        <w:autoSpaceDE w:val="0"/>
        <w:autoSpaceDN w:val="0"/>
        <w:adjustRightInd w:val="0"/>
        <w:ind w:left="0" w:firstLine="0"/>
        <w:jc w:val="both"/>
        <w:rPr>
          <w:rFonts w:cs="Times New Roman"/>
        </w:rPr>
      </w:pPr>
      <w:bookmarkStart w:id="145" w:name="SEC85A"/>
      <w:bookmarkEnd w:id="145"/>
      <w:r>
        <w:rPr>
          <w:rFonts w:cs="Times New Roman"/>
          <w:b/>
        </w:rPr>
        <w:t>The strengthening of the epidemiological system and health system’s capacity to respond to emergencies as well as the implementation</w:t>
      </w:r>
      <w:r w:rsidR="0075411E">
        <w:rPr>
          <w:rFonts w:cs="Times New Roman"/>
          <w:b/>
        </w:rPr>
        <w:t xml:space="preserve"> </w:t>
      </w:r>
      <w:r>
        <w:rPr>
          <w:rFonts w:cs="Times New Roman"/>
          <w:b/>
        </w:rPr>
        <w:t xml:space="preserve">of social communication campaigns likely benefitted the lower </w:t>
      </w:r>
      <w:r w:rsidR="00EA1C2E">
        <w:rPr>
          <w:rFonts w:cs="Times New Roman"/>
          <w:b/>
        </w:rPr>
        <w:t>population</w:t>
      </w:r>
      <w:r>
        <w:rPr>
          <w:rFonts w:cs="Times New Roman"/>
          <w:b/>
        </w:rPr>
        <w:t xml:space="preserve"> deciles. </w:t>
      </w:r>
      <w:r w:rsidR="00D139DB" w:rsidRPr="00E8527A">
        <w:rPr>
          <w:rFonts w:cs="Times New Roman"/>
        </w:rPr>
        <w:t>The experience of prior epidemics (such as the 1918 Spanish Flu) and the first wave o</w:t>
      </w:r>
      <w:r w:rsidR="00F557E6" w:rsidRPr="00E8527A">
        <w:rPr>
          <w:rFonts w:cs="Times New Roman"/>
        </w:rPr>
        <w:t>f the A/H1N1 in Argentina indic</w:t>
      </w:r>
      <w:r w:rsidR="00D139DB" w:rsidRPr="00E8527A">
        <w:rPr>
          <w:rFonts w:cs="Times New Roman"/>
        </w:rPr>
        <w:t>ate that p</w:t>
      </w:r>
      <w:r w:rsidRPr="00F53F2E">
        <w:rPr>
          <w:rFonts w:cs="Times New Roman"/>
        </w:rPr>
        <w:t>overty</w:t>
      </w:r>
      <w:r w:rsidR="005E508F">
        <w:rPr>
          <w:rFonts w:cs="Times New Roman"/>
        </w:rPr>
        <w:t>-</w:t>
      </w:r>
      <w:r w:rsidRPr="00F53F2E">
        <w:rPr>
          <w:rFonts w:cs="Times New Roman"/>
        </w:rPr>
        <w:t xml:space="preserve">linked factors, </w:t>
      </w:r>
      <w:r w:rsidR="009E2F57" w:rsidRPr="00A4573D">
        <w:rPr>
          <w:rFonts w:cs="Times New Roman"/>
        </w:rPr>
        <w:t>such as the lack of basic sanitation, poor access to health services</w:t>
      </w:r>
      <w:r w:rsidR="009E2F57" w:rsidRPr="000A29A6">
        <w:rPr>
          <w:rFonts w:cs="Times New Roman"/>
        </w:rPr>
        <w:t>, and reduced access to information</w:t>
      </w:r>
      <w:r>
        <w:rPr>
          <w:rFonts w:cs="Times New Roman"/>
        </w:rPr>
        <w:t xml:space="preserve">, </w:t>
      </w:r>
      <w:r w:rsidR="00B971A3">
        <w:rPr>
          <w:rFonts w:cs="Times New Roman"/>
        </w:rPr>
        <w:t>often</w:t>
      </w:r>
      <w:r w:rsidRPr="000A29A6">
        <w:rPr>
          <w:rFonts w:cs="Times New Roman"/>
        </w:rPr>
        <w:t xml:space="preserve"> enable the spread and compound the severity of influenza infections.</w:t>
      </w:r>
      <w:r>
        <w:rPr>
          <w:rFonts w:cs="Times New Roman"/>
          <w:b/>
        </w:rPr>
        <w:t xml:space="preserve"> </w:t>
      </w:r>
      <w:r w:rsidR="00D139DB" w:rsidRPr="00E8527A">
        <w:rPr>
          <w:rFonts w:cs="Times New Roman"/>
        </w:rPr>
        <w:t>The Project addressed this challenge</w:t>
      </w:r>
      <w:r w:rsidR="00F557E6" w:rsidRPr="00E8527A">
        <w:rPr>
          <w:rFonts w:cs="Times New Roman"/>
        </w:rPr>
        <w:t xml:space="preserve"> by strengthening the </w:t>
      </w:r>
      <w:r w:rsidR="00E179B3" w:rsidRPr="00E8527A">
        <w:rPr>
          <w:rFonts w:cs="Times New Roman"/>
        </w:rPr>
        <w:t>epidemiological</w:t>
      </w:r>
      <w:r w:rsidR="00D139DB" w:rsidRPr="00E8527A">
        <w:rPr>
          <w:rFonts w:cs="Times New Roman"/>
        </w:rPr>
        <w:t xml:space="preserve"> surveillance system to better target interventions, </w:t>
      </w:r>
      <w:r w:rsidR="00F061C8">
        <w:rPr>
          <w:rFonts w:cs="Times New Roman"/>
        </w:rPr>
        <w:t>improving the</w:t>
      </w:r>
      <w:r w:rsidR="00F061C8" w:rsidRPr="00E8527A">
        <w:rPr>
          <w:rFonts w:cs="Times New Roman"/>
        </w:rPr>
        <w:t xml:space="preserve"> </w:t>
      </w:r>
      <w:r w:rsidR="00D139DB" w:rsidRPr="00E8527A">
        <w:rPr>
          <w:rFonts w:cs="Times New Roman"/>
        </w:rPr>
        <w:t xml:space="preserve">health system’s capacity to respond to emergencies, and </w:t>
      </w:r>
      <w:r w:rsidR="00E179B3" w:rsidRPr="00E8527A">
        <w:rPr>
          <w:rFonts w:cs="Times New Roman"/>
        </w:rPr>
        <w:t>implementing</w:t>
      </w:r>
      <w:r w:rsidR="00D139DB" w:rsidRPr="00E8527A">
        <w:rPr>
          <w:rFonts w:cs="Times New Roman"/>
        </w:rPr>
        <w:t xml:space="preserve"> MOCS </w:t>
      </w:r>
      <w:r w:rsidR="00F061C8">
        <w:rPr>
          <w:rFonts w:cs="Times New Roman"/>
        </w:rPr>
        <w:t xml:space="preserve">targeted toward </w:t>
      </w:r>
      <w:r w:rsidR="00D139DB" w:rsidRPr="00E8527A">
        <w:rPr>
          <w:rFonts w:cs="Times New Roman"/>
        </w:rPr>
        <w:t xml:space="preserve">the poorest populations. </w:t>
      </w:r>
    </w:p>
    <w:p w:rsidR="0066442C" w:rsidRPr="00816C1F" w:rsidRDefault="0066442C" w:rsidP="003262E3">
      <w:pPr>
        <w:jc w:val="both"/>
      </w:pPr>
    </w:p>
    <w:p w:rsidR="00C67D43" w:rsidRPr="00816C1F" w:rsidRDefault="003262E3" w:rsidP="003262E3">
      <w:pPr>
        <w:spacing w:line="200" w:lineRule="atLeast"/>
      </w:pPr>
      <w:r w:rsidRPr="00816C1F">
        <w:rPr>
          <w:rStyle w:val="Strong"/>
          <w:color w:val="000000"/>
        </w:rPr>
        <w:t xml:space="preserve">(b) </w:t>
      </w:r>
      <w:r w:rsidR="00C67D43" w:rsidRPr="00816C1F">
        <w:rPr>
          <w:rStyle w:val="Strong"/>
          <w:color w:val="000000"/>
        </w:rPr>
        <w:t>Institutional Change/Strengthening</w:t>
      </w:r>
      <w:r w:rsidR="00C67D43" w:rsidRPr="00816C1F">
        <w:rPr>
          <w:b/>
          <w:bCs/>
          <w:color w:val="000000"/>
        </w:rPr>
        <w:br/>
      </w:r>
      <w:bookmarkStart w:id="146" w:name="SEC85B"/>
      <w:bookmarkEnd w:id="146"/>
    </w:p>
    <w:p w:rsidR="00B971A3" w:rsidRDefault="009515DA" w:rsidP="00305FBA">
      <w:pPr>
        <w:pStyle w:val="HTMLPreformatted"/>
        <w:numPr>
          <w:ilvl w:val="0"/>
          <w:numId w:val="1"/>
        </w:numPr>
        <w:autoSpaceDE w:val="0"/>
        <w:autoSpaceDN w:val="0"/>
        <w:adjustRightInd w:val="0"/>
        <w:ind w:left="0" w:firstLine="0"/>
        <w:jc w:val="both"/>
        <w:rPr>
          <w:rFonts w:cs="Times New Roman"/>
        </w:rPr>
      </w:pPr>
      <w:r w:rsidRPr="00816C1F">
        <w:rPr>
          <w:rFonts w:cs="Times New Roman"/>
          <w:b/>
        </w:rPr>
        <w:t>Th</w:t>
      </w:r>
      <w:r w:rsidR="0064155C" w:rsidRPr="00816C1F">
        <w:rPr>
          <w:rFonts w:cs="Times New Roman"/>
          <w:b/>
        </w:rPr>
        <w:t xml:space="preserve">e </w:t>
      </w:r>
      <w:r w:rsidR="00F85DAD" w:rsidRPr="00816C1F">
        <w:rPr>
          <w:rFonts w:cs="Times New Roman"/>
          <w:b/>
        </w:rPr>
        <w:t>Project</w:t>
      </w:r>
      <w:r w:rsidR="00D9692B" w:rsidRPr="00816C1F">
        <w:rPr>
          <w:rFonts w:cs="Times New Roman"/>
          <w:b/>
        </w:rPr>
        <w:t xml:space="preserve"> </w:t>
      </w:r>
      <w:r w:rsidR="00B64AE5" w:rsidRPr="00816C1F">
        <w:rPr>
          <w:rFonts w:cs="Times New Roman"/>
          <w:b/>
        </w:rPr>
        <w:t>strengthen</w:t>
      </w:r>
      <w:r w:rsidR="00DB4430">
        <w:rPr>
          <w:rFonts w:cs="Times New Roman"/>
          <w:b/>
        </w:rPr>
        <w:t>ed</w:t>
      </w:r>
      <w:r w:rsidR="0029143D" w:rsidRPr="00816C1F">
        <w:rPr>
          <w:rFonts w:cs="Times New Roman"/>
          <w:b/>
        </w:rPr>
        <w:t xml:space="preserve"> the</w:t>
      </w:r>
      <w:r w:rsidR="007F3DC4" w:rsidRPr="00816C1F">
        <w:rPr>
          <w:rFonts w:cs="Times New Roman"/>
          <w:b/>
        </w:rPr>
        <w:t xml:space="preserve"> long-</w:t>
      </w:r>
      <w:r w:rsidR="00386910" w:rsidRPr="00816C1F">
        <w:rPr>
          <w:rFonts w:cs="Times New Roman"/>
          <w:b/>
        </w:rPr>
        <w:t xml:space="preserve">term capacity and institutional development of the </w:t>
      </w:r>
      <w:r w:rsidR="00EE2EDE">
        <w:rPr>
          <w:rFonts w:cs="Times New Roman"/>
          <w:b/>
        </w:rPr>
        <w:t>Arge</w:t>
      </w:r>
      <w:r w:rsidR="0001018A">
        <w:rPr>
          <w:rFonts w:cs="Times New Roman"/>
          <w:b/>
        </w:rPr>
        <w:t>n</w:t>
      </w:r>
      <w:r w:rsidR="00EE2EDE">
        <w:rPr>
          <w:rFonts w:cs="Times New Roman"/>
          <w:b/>
        </w:rPr>
        <w:t>tine MSN</w:t>
      </w:r>
      <w:r w:rsidR="00392B4D" w:rsidRPr="00816C1F">
        <w:rPr>
          <w:rFonts w:cs="Times New Roman"/>
        </w:rPr>
        <w:t>.</w:t>
      </w:r>
      <w:r w:rsidR="00C35526">
        <w:rPr>
          <w:rFonts w:cs="Times New Roman"/>
        </w:rPr>
        <w:t xml:space="preserve"> </w:t>
      </w:r>
      <w:r w:rsidR="00EE2EDE">
        <w:rPr>
          <w:rFonts w:cs="Times New Roman"/>
        </w:rPr>
        <w:t>Project</w:t>
      </w:r>
      <w:r w:rsidR="00B971A3">
        <w:rPr>
          <w:rFonts w:cs="Times New Roman"/>
        </w:rPr>
        <w:t xml:space="preserve"> </w:t>
      </w:r>
      <w:r w:rsidR="00EA1C2E">
        <w:rPr>
          <w:rFonts w:cs="Times New Roman"/>
        </w:rPr>
        <w:t>execution</w:t>
      </w:r>
      <w:r w:rsidR="00B971A3">
        <w:rPr>
          <w:rFonts w:cs="Times New Roman"/>
        </w:rPr>
        <w:t xml:space="preserve"> through the different </w:t>
      </w:r>
      <w:r w:rsidR="005E508F">
        <w:rPr>
          <w:rFonts w:cs="Times New Roman"/>
        </w:rPr>
        <w:t>technical</w:t>
      </w:r>
      <w:r w:rsidR="00B971A3">
        <w:rPr>
          <w:rFonts w:cs="Times New Roman"/>
        </w:rPr>
        <w:t xml:space="preserve"> units resulted in the </w:t>
      </w:r>
      <w:r w:rsidR="00AD72F0">
        <w:rPr>
          <w:rFonts w:cs="Times New Roman"/>
        </w:rPr>
        <w:t>buildup</w:t>
      </w:r>
      <w:r w:rsidR="00B971A3">
        <w:rPr>
          <w:rFonts w:cs="Times New Roman"/>
        </w:rPr>
        <w:t xml:space="preserve"> </w:t>
      </w:r>
      <w:r w:rsidR="005E508F">
        <w:rPr>
          <w:rFonts w:cs="Times New Roman"/>
        </w:rPr>
        <w:t xml:space="preserve">of </w:t>
      </w:r>
      <w:r w:rsidR="00B971A3">
        <w:rPr>
          <w:rFonts w:cs="Times New Roman"/>
        </w:rPr>
        <w:t>in-house capability</w:t>
      </w:r>
      <w:r w:rsidR="00F061C8">
        <w:rPr>
          <w:rFonts w:cs="Times New Roman"/>
        </w:rPr>
        <w:t>,</w:t>
      </w:r>
      <w:r w:rsidR="00B971A3">
        <w:rPr>
          <w:rFonts w:cs="Times New Roman"/>
        </w:rPr>
        <w:t xml:space="preserve"> which remained in the MSN after Project completion. This is especially </w:t>
      </w:r>
      <w:r w:rsidR="00EA1C2E">
        <w:rPr>
          <w:rFonts w:cs="Times New Roman"/>
        </w:rPr>
        <w:t>relevant</w:t>
      </w:r>
      <w:r w:rsidR="00B971A3">
        <w:rPr>
          <w:rFonts w:cs="Times New Roman"/>
        </w:rPr>
        <w:t xml:space="preserve"> in a country with a relatively stable human resource</w:t>
      </w:r>
      <w:r w:rsidR="004F7FFD">
        <w:rPr>
          <w:rFonts w:cs="Times New Roman"/>
        </w:rPr>
        <w:t xml:space="preserve"> capacity</w:t>
      </w:r>
      <w:r w:rsidR="00B971A3">
        <w:rPr>
          <w:rFonts w:cs="Times New Roman"/>
        </w:rPr>
        <w:t>. The new Remediar and Redes Inter-American Development Bank</w:t>
      </w:r>
      <w:r w:rsidR="00B61DA3">
        <w:rPr>
          <w:rFonts w:cs="Times New Roman"/>
        </w:rPr>
        <w:t>-</w:t>
      </w:r>
      <w:r w:rsidR="00B61DA3">
        <w:rPr>
          <w:rFonts w:cs="Times New Roman"/>
        </w:rPr>
        <w:lastRenderedPageBreak/>
        <w:t>financed</w:t>
      </w:r>
      <w:r w:rsidR="005A6F91">
        <w:rPr>
          <w:rFonts w:cs="Times New Roman"/>
        </w:rPr>
        <w:t xml:space="preserve"> </w:t>
      </w:r>
      <w:r w:rsidR="00B971A3">
        <w:rPr>
          <w:rFonts w:cs="Times New Roman"/>
        </w:rPr>
        <w:t xml:space="preserve">Project </w:t>
      </w:r>
      <w:r w:rsidR="005E508F">
        <w:rPr>
          <w:rFonts w:cs="Times New Roman"/>
        </w:rPr>
        <w:t>is</w:t>
      </w:r>
      <w:r w:rsidR="00B971A3">
        <w:rPr>
          <w:rFonts w:cs="Times New Roman"/>
        </w:rPr>
        <w:t xml:space="preserve"> being executed utilizing the same framework. This framework not only </w:t>
      </w:r>
      <w:r w:rsidR="00007E92">
        <w:rPr>
          <w:rFonts w:cs="Times New Roman"/>
        </w:rPr>
        <w:t>built</w:t>
      </w:r>
      <w:r w:rsidR="00870F45">
        <w:rPr>
          <w:rFonts w:cs="Times New Roman"/>
        </w:rPr>
        <w:t xml:space="preserve"> up capacity but also facili</w:t>
      </w:r>
      <w:r w:rsidR="00B971A3">
        <w:rPr>
          <w:rFonts w:cs="Times New Roman"/>
        </w:rPr>
        <w:t xml:space="preserve">tated relations between the provinces and the </w:t>
      </w:r>
      <w:r w:rsidR="00870F45">
        <w:rPr>
          <w:rFonts w:cs="Times New Roman"/>
        </w:rPr>
        <w:t xml:space="preserve">federal </w:t>
      </w:r>
      <w:r w:rsidR="005A6F91">
        <w:rPr>
          <w:rFonts w:cs="Times New Roman"/>
        </w:rPr>
        <w:t>G</w:t>
      </w:r>
      <w:r w:rsidR="00870F45">
        <w:rPr>
          <w:rFonts w:cs="Times New Roman"/>
        </w:rPr>
        <w:t>overnment</w:t>
      </w:r>
      <w:r w:rsidR="00B971A3">
        <w:rPr>
          <w:rFonts w:cs="Times New Roman"/>
        </w:rPr>
        <w:t xml:space="preserve"> since the </w:t>
      </w:r>
      <w:r w:rsidR="00EA1C2E">
        <w:rPr>
          <w:rFonts w:cs="Times New Roman"/>
        </w:rPr>
        <w:t>interlocutors</w:t>
      </w:r>
      <w:r w:rsidR="00B971A3">
        <w:rPr>
          <w:rFonts w:cs="Times New Roman"/>
        </w:rPr>
        <w:t xml:space="preserve"> remained the same. A </w:t>
      </w:r>
      <w:r w:rsidR="00EA1C2E">
        <w:rPr>
          <w:rFonts w:cs="Times New Roman"/>
        </w:rPr>
        <w:t>strengthening</w:t>
      </w:r>
      <w:r w:rsidR="00B971A3">
        <w:rPr>
          <w:rFonts w:cs="Times New Roman"/>
        </w:rPr>
        <w:t xml:space="preserve"> of </w:t>
      </w:r>
      <w:r w:rsidR="003A42BE">
        <w:rPr>
          <w:rFonts w:cs="Times New Roman"/>
        </w:rPr>
        <w:t>the communication</w:t>
      </w:r>
      <w:r w:rsidR="00B971A3">
        <w:rPr>
          <w:rFonts w:cs="Times New Roman"/>
        </w:rPr>
        <w:t xml:space="preserve"> departments with</w:t>
      </w:r>
      <w:r w:rsidR="005E508F">
        <w:rPr>
          <w:rFonts w:cs="Times New Roman"/>
        </w:rPr>
        <w:t>in</w:t>
      </w:r>
      <w:r w:rsidR="00B971A3">
        <w:rPr>
          <w:rFonts w:cs="Times New Roman"/>
        </w:rPr>
        <w:t xml:space="preserve"> the provincial level MSN’s (as well as at the national level) improved the credibility of the health sector in general.  </w:t>
      </w:r>
    </w:p>
    <w:p w:rsidR="00D967D5" w:rsidRPr="00816C1F" w:rsidRDefault="00D967D5" w:rsidP="003262E3">
      <w:pPr>
        <w:jc w:val="both"/>
      </w:pPr>
    </w:p>
    <w:p w:rsidR="00C67D43" w:rsidRPr="00816C1F" w:rsidRDefault="00C67D43" w:rsidP="003262E3">
      <w:pPr>
        <w:spacing w:line="200" w:lineRule="atLeast"/>
        <w:jc w:val="both"/>
        <w:rPr>
          <w:color w:val="000000"/>
        </w:rPr>
      </w:pPr>
      <w:r w:rsidRPr="00816C1F">
        <w:rPr>
          <w:rStyle w:val="Strong"/>
          <w:color w:val="000000"/>
        </w:rPr>
        <w:t>(c) Other Unintended Outcomes and Impacts (positive or negative)</w:t>
      </w:r>
    </w:p>
    <w:p w:rsidR="00C67D43" w:rsidRDefault="00D74CC9" w:rsidP="003262E3">
      <w:pPr>
        <w:jc w:val="both"/>
      </w:pPr>
      <w:bookmarkStart w:id="147" w:name="SEC85C"/>
      <w:bookmarkEnd w:id="147"/>
      <w:r w:rsidRPr="00816C1F">
        <w:t>N/A</w:t>
      </w:r>
    </w:p>
    <w:p w:rsidR="00C67D43" w:rsidRPr="00816C1F" w:rsidRDefault="00C67D43" w:rsidP="003262E3">
      <w:pPr>
        <w:pStyle w:val="Heading3"/>
        <w:keepNext/>
        <w:jc w:val="both"/>
        <w:rPr>
          <w:sz w:val="24"/>
          <w:szCs w:val="24"/>
        </w:rPr>
      </w:pPr>
      <w:r w:rsidRPr="00816C1F">
        <w:rPr>
          <w:sz w:val="24"/>
          <w:szCs w:val="24"/>
        </w:rPr>
        <w:t>3.6 Summary of Findings of Beneficiary Survey and/or Stakeholder Workshops</w:t>
      </w:r>
    </w:p>
    <w:p w:rsidR="00C67D43" w:rsidRPr="00816C1F" w:rsidRDefault="00386910" w:rsidP="003262E3">
      <w:pPr>
        <w:jc w:val="both"/>
      </w:pPr>
      <w:r w:rsidRPr="00816C1F">
        <w:rPr>
          <w:iCs/>
          <w:color w:val="000000"/>
        </w:rPr>
        <w:t>N/A</w:t>
      </w:r>
    </w:p>
    <w:p w:rsidR="00C67D43" w:rsidRPr="00816C1F" w:rsidRDefault="00C67D43" w:rsidP="003262E3">
      <w:pPr>
        <w:pStyle w:val="Heading2"/>
        <w:jc w:val="both"/>
        <w:rPr>
          <w:sz w:val="24"/>
          <w:szCs w:val="24"/>
        </w:rPr>
      </w:pPr>
      <w:bookmarkStart w:id="148" w:name="SEC86"/>
      <w:bookmarkStart w:id="149" w:name="_IL9"/>
      <w:bookmarkStart w:id="150" w:name="_Toc158019373"/>
      <w:bookmarkStart w:id="151" w:name="_Toc384896513"/>
      <w:bookmarkEnd w:id="148"/>
      <w:r w:rsidRPr="00816C1F">
        <w:rPr>
          <w:sz w:val="24"/>
          <w:szCs w:val="24"/>
        </w:rPr>
        <w:t>4. Assessment of Risk to Development Outcome</w:t>
      </w:r>
      <w:bookmarkEnd w:id="149"/>
      <w:bookmarkEnd w:id="150"/>
      <w:bookmarkEnd w:id="151"/>
      <w:r w:rsidRPr="00816C1F">
        <w:rPr>
          <w:sz w:val="24"/>
          <w:szCs w:val="24"/>
        </w:rPr>
        <w:t xml:space="preserve"> </w:t>
      </w:r>
    </w:p>
    <w:p w:rsidR="00C67D43" w:rsidRPr="00816C1F" w:rsidRDefault="000411CD" w:rsidP="003262E3">
      <w:pPr>
        <w:jc w:val="both"/>
      </w:pPr>
      <w:r w:rsidRPr="00816C1F">
        <w:t xml:space="preserve">Rating: </w:t>
      </w:r>
      <w:bookmarkStart w:id="152" w:name="RAT4"/>
      <w:bookmarkEnd w:id="152"/>
      <w:r w:rsidR="00A3771B">
        <w:rPr>
          <w:b/>
        </w:rPr>
        <w:t>Mode</w:t>
      </w:r>
      <w:r w:rsidR="001F06AE">
        <w:rPr>
          <w:b/>
        </w:rPr>
        <w:t>rate</w:t>
      </w:r>
      <w:r w:rsidR="00A3771B" w:rsidRPr="005E508F">
        <w:rPr>
          <w:b/>
        </w:rPr>
        <w:t xml:space="preserve"> </w:t>
      </w:r>
    </w:p>
    <w:p w:rsidR="00846F6E" w:rsidRDefault="00EF5C4F" w:rsidP="003262E3">
      <w:pPr>
        <w:jc w:val="both"/>
      </w:pPr>
      <w:bookmarkStart w:id="153" w:name="SEC9"/>
      <w:bookmarkEnd w:id="153"/>
      <w:r>
        <w:t xml:space="preserve"> </w:t>
      </w:r>
    </w:p>
    <w:p w:rsidR="009F68B9" w:rsidRPr="00183C96" w:rsidRDefault="005B27C8" w:rsidP="00305FBA">
      <w:pPr>
        <w:pStyle w:val="HTMLPreformatted"/>
        <w:numPr>
          <w:ilvl w:val="0"/>
          <w:numId w:val="1"/>
        </w:numPr>
        <w:autoSpaceDE w:val="0"/>
        <w:autoSpaceDN w:val="0"/>
        <w:adjustRightInd w:val="0"/>
        <w:ind w:left="0" w:firstLine="0"/>
        <w:jc w:val="both"/>
      </w:pPr>
      <w:r w:rsidRPr="00EE47A8">
        <w:rPr>
          <w:b/>
        </w:rPr>
        <w:t>One of the ma</w:t>
      </w:r>
      <w:r w:rsidR="00EF5C4F" w:rsidRPr="00EE47A8">
        <w:rPr>
          <w:b/>
        </w:rPr>
        <w:t>in</w:t>
      </w:r>
      <w:r w:rsidR="00FA12D6" w:rsidRPr="00EE47A8">
        <w:rPr>
          <w:b/>
        </w:rPr>
        <w:t xml:space="preserve"> </w:t>
      </w:r>
      <w:r w:rsidR="00B43204">
        <w:rPr>
          <w:b/>
        </w:rPr>
        <w:t xml:space="preserve">risks to </w:t>
      </w:r>
      <w:r w:rsidR="006D7082">
        <w:rPr>
          <w:b/>
        </w:rPr>
        <w:t xml:space="preserve">the </w:t>
      </w:r>
      <w:r w:rsidR="00B43204">
        <w:rPr>
          <w:b/>
        </w:rPr>
        <w:t>d</w:t>
      </w:r>
      <w:r w:rsidR="00BB07BD">
        <w:rPr>
          <w:b/>
        </w:rPr>
        <w:t>e</w:t>
      </w:r>
      <w:r w:rsidR="00B43204">
        <w:rPr>
          <w:b/>
        </w:rPr>
        <w:t>vel</w:t>
      </w:r>
      <w:r w:rsidR="00BB07BD">
        <w:rPr>
          <w:b/>
        </w:rPr>
        <w:t>o</w:t>
      </w:r>
      <w:r w:rsidR="00B43204">
        <w:rPr>
          <w:b/>
        </w:rPr>
        <w:t xml:space="preserve">pment </w:t>
      </w:r>
      <w:r w:rsidR="00BB07BD">
        <w:rPr>
          <w:b/>
        </w:rPr>
        <w:t xml:space="preserve">outcome </w:t>
      </w:r>
      <w:r w:rsidR="00DB4430">
        <w:rPr>
          <w:b/>
        </w:rPr>
        <w:t>regards</w:t>
      </w:r>
      <w:r w:rsidR="00BB07BD">
        <w:rPr>
          <w:b/>
        </w:rPr>
        <w:t xml:space="preserve"> the</w:t>
      </w:r>
      <w:r w:rsidRPr="00EE47A8">
        <w:rPr>
          <w:b/>
        </w:rPr>
        <w:t xml:space="preserve"> </w:t>
      </w:r>
      <w:r w:rsidR="00EE47A8" w:rsidRPr="00EE47A8">
        <w:rPr>
          <w:b/>
        </w:rPr>
        <w:t>sustainability</w:t>
      </w:r>
      <w:r w:rsidRPr="00EE47A8">
        <w:rPr>
          <w:b/>
        </w:rPr>
        <w:t xml:space="preserve"> </w:t>
      </w:r>
      <w:r w:rsidR="00FA12D6" w:rsidRPr="00EE47A8">
        <w:rPr>
          <w:b/>
        </w:rPr>
        <w:t>of the situation rooms</w:t>
      </w:r>
      <w:r w:rsidR="00EE47A8" w:rsidRPr="00EE47A8">
        <w:rPr>
          <w:b/>
        </w:rPr>
        <w:t>.</w:t>
      </w:r>
      <w:r w:rsidR="00744CDD">
        <w:t xml:space="preserve"> </w:t>
      </w:r>
      <w:r w:rsidR="00EE2EDE">
        <w:t>A</w:t>
      </w:r>
      <w:r w:rsidR="00EE2EDE" w:rsidRPr="00667AA2">
        <w:t>ppr</w:t>
      </w:r>
      <w:r w:rsidR="00EE2EDE">
        <w:t>o</w:t>
      </w:r>
      <w:r w:rsidR="00EE2EDE" w:rsidRPr="00667AA2">
        <w:t>ximately ha</w:t>
      </w:r>
      <w:r w:rsidR="00EE2EDE">
        <w:t xml:space="preserve">lf the HSRs </w:t>
      </w:r>
      <w:r w:rsidR="00EE2EDE" w:rsidRPr="00667AA2">
        <w:t>ha</w:t>
      </w:r>
      <w:r w:rsidR="00EE2EDE">
        <w:t>v</w:t>
      </w:r>
      <w:r w:rsidR="00EE2EDE" w:rsidRPr="00667AA2">
        <w:t xml:space="preserve">e an official document or administrative act that </w:t>
      </w:r>
      <w:r w:rsidR="00EE2EDE">
        <w:t>establishes their institutional j</w:t>
      </w:r>
      <w:r w:rsidR="00EE2EDE" w:rsidRPr="00667AA2">
        <w:t>urisdic</w:t>
      </w:r>
      <w:r w:rsidR="00EE2EDE">
        <w:t>tio</w:t>
      </w:r>
      <w:r w:rsidR="00EE2EDE" w:rsidRPr="00667AA2">
        <w:t xml:space="preserve">n, activities and structure. </w:t>
      </w:r>
      <w:r w:rsidR="00335FAA">
        <w:t xml:space="preserve">Though the </w:t>
      </w:r>
      <w:r w:rsidR="00EE2EDE">
        <w:t>HSRs</w:t>
      </w:r>
      <w:r w:rsidR="00335FAA">
        <w:t xml:space="preserve"> will receive financing through the FESP II Project </w:t>
      </w:r>
      <w:r w:rsidR="006A7076">
        <w:t>until 2015</w:t>
      </w:r>
      <w:r w:rsidR="00335FAA">
        <w:t>, the</w:t>
      </w:r>
      <w:r w:rsidR="00EE2EDE">
        <w:t>ir</w:t>
      </w:r>
      <w:r w:rsidR="00335FAA">
        <w:t xml:space="preserve"> sustainability and institutionalization depend</w:t>
      </w:r>
      <w:r w:rsidR="00EE2EDE">
        <w:t>s</w:t>
      </w:r>
      <w:r w:rsidR="00335FAA">
        <w:t xml:space="preserve"> on their continued use and transformation into a strategic tool for the management of health decisions. </w:t>
      </w:r>
      <w:r>
        <w:t xml:space="preserve">A number of provinces </w:t>
      </w:r>
      <w:r w:rsidR="00480F2D">
        <w:t xml:space="preserve">had </w:t>
      </w:r>
      <w:r w:rsidR="00BC5CDC">
        <w:t xml:space="preserve">established </w:t>
      </w:r>
      <w:r>
        <w:t xml:space="preserve">situation rooms </w:t>
      </w:r>
      <w:r w:rsidR="00480F2D">
        <w:t>previously, however incen</w:t>
      </w:r>
      <w:r w:rsidR="00EE47A8">
        <w:t xml:space="preserve">tives to sustain the rooms </w:t>
      </w:r>
      <w:r w:rsidR="005B0FBC">
        <w:t xml:space="preserve">diminished </w:t>
      </w:r>
      <w:r w:rsidR="00EE47A8">
        <w:t xml:space="preserve">once national level </w:t>
      </w:r>
      <w:r w:rsidR="00EA1C2E">
        <w:t>financing</w:t>
      </w:r>
      <w:r w:rsidR="00EE47A8">
        <w:t xml:space="preserve"> was discontinued.</w:t>
      </w:r>
      <w:r w:rsidR="00EE47A8">
        <w:rPr>
          <w:rStyle w:val="FootnoteReference"/>
        </w:rPr>
        <w:footnoteReference w:id="29"/>
      </w:r>
      <w:r w:rsidR="003C30D8">
        <w:t xml:space="preserve"> </w:t>
      </w:r>
    </w:p>
    <w:p w:rsidR="009F68B9" w:rsidRPr="00183C96" w:rsidRDefault="009F68B9" w:rsidP="003262E3">
      <w:pPr>
        <w:jc w:val="both"/>
      </w:pPr>
    </w:p>
    <w:p w:rsidR="0004627C" w:rsidRPr="0004627C" w:rsidRDefault="00643D65" w:rsidP="003262E3">
      <w:pPr>
        <w:pStyle w:val="HTMLPreformatted"/>
        <w:keepNext/>
        <w:numPr>
          <w:ilvl w:val="0"/>
          <w:numId w:val="1"/>
        </w:numPr>
        <w:autoSpaceDE w:val="0"/>
        <w:autoSpaceDN w:val="0"/>
        <w:adjustRightInd w:val="0"/>
        <w:ind w:left="0" w:firstLine="0"/>
        <w:jc w:val="both"/>
        <w:rPr>
          <w:szCs w:val="24"/>
        </w:rPr>
      </w:pPr>
      <w:r w:rsidRPr="0004627C">
        <w:rPr>
          <w:b/>
        </w:rPr>
        <w:t xml:space="preserve">Sustaining high </w:t>
      </w:r>
      <w:r w:rsidR="00221777">
        <w:rPr>
          <w:b/>
        </w:rPr>
        <w:t xml:space="preserve">influenza </w:t>
      </w:r>
      <w:r w:rsidRPr="0004627C">
        <w:rPr>
          <w:b/>
        </w:rPr>
        <w:t xml:space="preserve">vaccination coverage rates remains a risk to the Development </w:t>
      </w:r>
      <w:r w:rsidR="00335FAA" w:rsidRPr="0004627C">
        <w:rPr>
          <w:b/>
        </w:rPr>
        <w:t>O</w:t>
      </w:r>
      <w:r w:rsidRPr="0004627C">
        <w:rPr>
          <w:b/>
        </w:rPr>
        <w:t>utcome</w:t>
      </w:r>
      <w:r w:rsidRPr="00830E4E">
        <w:t xml:space="preserve">. </w:t>
      </w:r>
      <w:r w:rsidR="006A7076" w:rsidRPr="006A7076">
        <w:t xml:space="preserve">Though Argentina </w:t>
      </w:r>
      <w:r w:rsidR="00EA1C2E" w:rsidRPr="006A7076">
        <w:t>maintains</w:t>
      </w:r>
      <w:r w:rsidR="006A7076" w:rsidRPr="006A7076">
        <w:t xml:space="preserve"> high coverage rates</w:t>
      </w:r>
      <w:r w:rsidR="006A7076">
        <w:t xml:space="preserve"> and the population generally views vaccination as </w:t>
      </w:r>
      <w:r w:rsidR="00072628">
        <w:t>a</w:t>
      </w:r>
      <w:r w:rsidR="006A7076">
        <w:t xml:space="preserve"> right and a </w:t>
      </w:r>
      <w:r w:rsidR="00EA1C2E">
        <w:t>responsibility</w:t>
      </w:r>
      <w:r w:rsidR="006A7076" w:rsidRPr="006A7076">
        <w:t>, the d</w:t>
      </w:r>
      <w:r w:rsidRPr="006A7076">
        <w:t>emand</w:t>
      </w:r>
      <w:r w:rsidRPr="00643D65">
        <w:t xml:space="preserve"> </w:t>
      </w:r>
      <w:r w:rsidR="00DB4430">
        <w:t xml:space="preserve">for </w:t>
      </w:r>
      <w:r w:rsidR="006A7076">
        <w:t>the Influenza vaccine</w:t>
      </w:r>
      <w:r w:rsidR="00DB4430">
        <w:t xml:space="preserve"> </w:t>
      </w:r>
      <w:r w:rsidRPr="00643D65">
        <w:t>may wane as the fear of a</w:t>
      </w:r>
      <w:r w:rsidR="00DB4430">
        <w:t>nother</w:t>
      </w:r>
      <w:r w:rsidRPr="00643D65">
        <w:t xml:space="preserve"> </w:t>
      </w:r>
      <w:r w:rsidR="006A7076">
        <w:t>pandemic decreases</w:t>
      </w:r>
      <w:r w:rsidR="00E40526" w:rsidRPr="00E40526">
        <w:t>.</w:t>
      </w:r>
      <w:r w:rsidRPr="00E40526">
        <w:t xml:space="preserve"> </w:t>
      </w:r>
      <w:r w:rsidR="00335FAA">
        <w:t>T</w:t>
      </w:r>
      <w:r w:rsidR="00667AA2">
        <w:t>he inclusion of the</w:t>
      </w:r>
      <w:r w:rsidR="0075411E">
        <w:t xml:space="preserve"> </w:t>
      </w:r>
      <w:r w:rsidR="00E8527A">
        <w:t xml:space="preserve">A/H1N1 </w:t>
      </w:r>
      <w:r w:rsidR="0075411E">
        <w:t xml:space="preserve">vaccine </w:t>
      </w:r>
      <w:r w:rsidR="00E8527A">
        <w:t>for high</w:t>
      </w:r>
      <w:r w:rsidR="00EE2EDE">
        <w:t>-</w:t>
      </w:r>
      <w:r w:rsidR="00E8527A">
        <w:t xml:space="preserve">risk groups and pneumococcal vaccine for children </w:t>
      </w:r>
      <w:r w:rsidR="0075411E">
        <w:t xml:space="preserve">into the National Vaccine </w:t>
      </w:r>
      <w:r w:rsidR="004114D9">
        <w:t>Calendar</w:t>
      </w:r>
      <w:r w:rsidR="0075411E">
        <w:t xml:space="preserve"> mitigates this risk.</w:t>
      </w:r>
      <w:bookmarkStart w:id="154" w:name="_Toc158019374"/>
      <w:bookmarkStart w:id="155" w:name="_Toc384896514"/>
    </w:p>
    <w:p w:rsidR="0004627C" w:rsidRDefault="0004627C" w:rsidP="0004627C">
      <w:pPr>
        <w:pStyle w:val="HTMLPreformatted"/>
        <w:keepNext/>
        <w:autoSpaceDE w:val="0"/>
        <w:autoSpaceDN w:val="0"/>
        <w:adjustRightInd w:val="0"/>
        <w:jc w:val="both"/>
        <w:rPr>
          <w:rFonts w:eastAsia="MS Mincho" w:cs="Times New Roman"/>
          <w:szCs w:val="24"/>
          <w:lang w:eastAsia="ja-JP"/>
        </w:rPr>
      </w:pPr>
    </w:p>
    <w:p w:rsidR="00C67D43" w:rsidRPr="0004627C" w:rsidRDefault="00C67D43" w:rsidP="0004627C">
      <w:pPr>
        <w:pStyle w:val="HTMLPreformatted"/>
        <w:keepNext/>
        <w:autoSpaceDE w:val="0"/>
        <w:autoSpaceDN w:val="0"/>
        <w:adjustRightInd w:val="0"/>
        <w:jc w:val="both"/>
        <w:rPr>
          <w:b/>
          <w:szCs w:val="24"/>
        </w:rPr>
      </w:pPr>
      <w:r w:rsidRPr="0004627C">
        <w:rPr>
          <w:b/>
          <w:szCs w:val="24"/>
        </w:rPr>
        <w:t>5. Assessment of Bank and Borrower Performance</w:t>
      </w:r>
      <w:bookmarkEnd w:id="154"/>
      <w:bookmarkEnd w:id="155"/>
      <w:r w:rsidRPr="0004627C">
        <w:rPr>
          <w:b/>
          <w:szCs w:val="24"/>
        </w:rPr>
        <w:t xml:space="preserve"> </w:t>
      </w:r>
    </w:p>
    <w:p w:rsidR="00C67D43" w:rsidRDefault="00C67D43" w:rsidP="003262E3">
      <w:pPr>
        <w:pStyle w:val="Heading3"/>
        <w:keepNext/>
        <w:jc w:val="both"/>
        <w:rPr>
          <w:sz w:val="24"/>
          <w:szCs w:val="24"/>
        </w:rPr>
      </w:pPr>
      <w:r w:rsidRPr="00816C1F">
        <w:rPr>
          <w:sz w:val="24"/>
          <w:szCs w:val="24"/>
        </w:rPr>
        <w:t>5.1 Bank</w:t>
      </w:r>
      <w:r w:rsidR="00E07BAC" w:rsidRPr="00816C1F">
        <w:rPr>
          <w:sz w:val="24"/>
          <w:szCs w:val="24"/>
        </w:rPr>
        <w:t xml:space="preserve"> Performance </w:t>
      </w:r>
    </w:p>
    <w:p w:rsidR="00063612" w:rsidRDefault="00063612" w:rsidP="003262E3">
      <w:pPr>
        <w:keepNext/>
        <w:spacing w:line="200" w:lineRule="atLeast"/>
        <w:rPr>
          <w:rStyle w:val="Strong"/>
          <w:color w:val="000000"/>
        </w:rPr>
      </w:pPr>
    </w:p>
    <w:p w:rsidR="00C67D43" w:rsidRPr="00816C1F" w:rsidRDefault="00C67D43" w:rsidP="003262E3">
      <w:pPr>
        <w:keepNext/>
        <w:spacing w:line="200" w:lineRule="atLeast"/>
      </w:pPr>
      <w:r w:rsidRPr="00816C1F">
        <w:rPr>
          <w:rStyle w:val="Strong"/>
          <w:color w:val="000000"/>
        </w:rPr>
        <w:t>(a) Bank Performance in Ensuring Quality at Entry</w:t>
      </w:r>
      <w:r w:rsidRPr="00816C1F">
        <w:rPr>
          <w:color w:val="000000"/>
        </w:rPr>
        <w:t xml:space="preserve"> </w:t>
      </w:r>
      <w:r w:rsidRPr="00816C1F">
        <w:rPr>
          <w:color w:val="000000"/>
        </w:rPr>
        <w:br/>
      </w:r>
      <w:r w:rsidR="000411CD" w:rsidRPr="00816C1F">
        <w:t xml:space="preserve">Rating: </w:t>
      </w:r>
      <w:bookmarkStart w:id="156" w:name="RAT51A"/>
      <w:bookmarkEnd w:id="156"/>
      <w:r w:rsidR="001B56D2" w:rsidRPr="005E508F">
        <w:rPr>
          <w:b/>
        </w:rPr>
        <w:t>Satisfactory</w:t>
      </w:r>
    </w:p>
    <w:p w:rsidR="00CC2020" w:rsidRPr="00816C1F" w:rsidRDefault="00CC2020" w:rsidP="003262E3">
      <w:pPr>
        <w:jc w:val="both"/>
      </w:pPr>
      <w:bookmarkStart w:id="157" w:name="SEC101A"/>
      <w:bookmarkEnd w:id="157"/>
    </w:p>
    <w:p w:rsidR="00D312E4" w:rsidRDefault="00AC14AA" w:rsidP="00572AFD">
      <w:pPr>
        <w:pStyle w:val="HTMLPreformatted"/>
        <w:keepNext/>
        <w:numPr>
          <w:ilvl w:val="0"/>
          <w:numId w:val="1"/>
        </w:numPr>
        <w:autoSpaceDE w:val="0"/>
        <w:autoSpaceDN w:val="0"/>
        <w:adjustRightInd w:val="0"/>
        <w:ind w:left="0" w:firstLine="0"/>
        <w:jc w:val="both"/>
        <w:rPr>
          <w:rStyle w:val="Strong"/>
          <w:color w:val="000000"/>
        </w:rPr>
      </w:pPr>
      <w:r w:rsidRPr="00D312E4">
        <w:rPr>
          <w:b/>
        </w:rPr>
        <w:t xml:space="preserve">World </w:t>
      </w:r>
      <w:r w:rsidR="00F44F6E" w:rsidRPr="00D312E4">
        <w:rPr>
          <w:b/>
        </w:rPr>
        <w:t>Bank performance on ensuring Quality of Entry is rated Satisfactory</w:t>
      </w:r>
      <w:r w:rsidR="0029143D" w:rsidRPr="00D312E4">
        <w:rPr>
          <w:b/>
        </w:rPr>
        <w:t>.</w:t>
      </w:r>
      <w:r w:rsidR="0089791B" w:rsidRPr="0089791B">
        <w:t xml:space="preserve"> </w:t>
      </w:r>
      <w:r w:rsidR="001F0734">
        <w:t>The World Bank responded swiftly with</w:t>
      </w:r>
      <w:r w:rsidR="00221777">
        <w:t>in</w:t>
      </w:r>
      <w:r w:rsidR="001F0734">
        <w:t xml:space="preserve"> </w:t>
      </w:r>
      <w:r w:rsidR="00C81C0B">
        <w:t xml:space="preserve">a three month </w:t>
      </w:r>
      <w:r w:rsidR="001F0734">
        <w:t xml:space="preserve">Project preparation </w:t>
      </w:r>
      <w:r w:rsidR="00C81C0B">
        <w:t>period</w:t>
      </w:r>
      <w:r w:rsidR="001F0734">
        <w:t xml:space="preserve">. </w:t>
      </w:r>
      <w:r w:rsidR="00696892">
        <w:t>As noted in Section 2.1, P</w:t>
      </w:r>
      <w:r w:rsidR="0089791B">
        <w:t>roject design was</w:t>
      </w:r>
      <w:r w:rsidR="0004085F">
        <w:t xml:space="preserve"> </w:t>
      </w:r>
      <w:r w:rsidR="0089791B">
        <w:t xml:space="preserve">based on </w:t>
      </w:r>
      <w:r w:rsidR="00696892">
        <w:t xml:space="preserve">a </w:t>
      </w:r>
      <w:r w:rsidR="0089791B">
        <w:t xml:space="preserve">detailed sector </w:t>
      </w:r>
      <w:r w:rsidR="00294AEC">
        <w:t>analysis</w:t>
      </w:r>
      <w:r w:rsidR="0089791B">
        <w:t xml:space="preserve"> in line with the GOA’s FHP and the C</w:t>
      </w:r>
      <w:r w:rsidR="00667AA2">
        <w:t>P</w:t>
      </w:r>
      <w:r w:rsidR="0089791B">
        <w:t>S</w:t>
      </w:r>
      <w:r w:rsidR="00AA0307">
        <w:t>,</w:t>
      </w:r>
      <w:r w:rsidR="00AA0307" w:rsidRPr="00AA0307">
        <w:t xml:space="preserve"> </w:t>
      </w:r>
      <w:r w:rsidR="00AA0307">
        <w:t>incorporated lessons learned from other operations and international experience, and introduced several innovative approaches</w:t>
      </w:r>
      <w:r w:rsidR="0089791B">
        <w:t xml:space="preserve">. </w:t>
      </w:r>
      <w:r w:rsidR="00F53F2E">
        <w:t>In addition, an</w:t>
      </w:r>
      <w:r w:rsidR="00F53F2E" w:rsidRPr="00E8527A">
        <w:t xml:space="preserve"> economic analysis conducted during preparation showed that </w:t>
      </w:r>
      <w:r w:rsidR="00273E0B">
        <w:lastRenderedPageBreak/>
        <w:t>Project</w:t>
      </w:r>
      <w:r w:rsidR="00F53F2E" w:rsidRPr="00E8527A">
        <w:t xml:space="preserve"> benefits exceed</w:t>
      </w:r>
      <w:r w:rsidR="00EE2EDE">
        <w:t>ed</w:t>
      </w:r>
      <w:r w:rsidR="00F53F2E" w:rsidRPr="00E8527A">
        <w:t xml:space="preserve"> costs</w:t>
      </w:r>
      <w:r w:rsidR="00273E0B">
        <w:t xml:space="preserve"> of a possible second wave</w:t>
      </w:r>
      <w:r w:rsidR="00F5046C">
        <w:t xml:space="preserve">. </w:t>
      </w:r>
      <w:r w:rsidR="00C02270">
        <w:t xml:space="preserve">Despite </w:t>
      </w:r>
      <w:r w:rsidR="001F0734">
        <w:t xml:space="preserve">some </w:t>
      </w:r>
      <w:r w:rsidR="00C02270">
        <w:t>deficiencies in the Project M&amp;E framework, it was overall well designed</w:t>
      </w:r>
      <w:r w:rsidR="00837E18">
        <w:t xml:space="preserve">, and allowed </w:t>
      </w:r>
      <w:r w:rsidR="00273E0B">
        <w:t xml:space="preserve">for </w:t>
      </w:r>
      <w:r w:rsidR="00FB4297">
        <w:t xml:space="preserve">the </w:t>
      </w:r>
      <w:r w:rsidR="00837E18">
        <w:t>me</w:t>
      </w:r>
      <w:r w:rsidR="00FB4297">
        <w:t>a</w:t>
      </w:r>
      <w:r w:rsidR="00837E18">
        <w:t>sure</w:t>
      </w:r>
      <w:r w:rsidR="00FB4297">
        <w:t>ment</w:t>
      </w:r>
      <w:r w:rsidR="00837E18">
        <w:t xml:space="preserve"> of Project results</w:t>
      </w:r>
      <w:r w:rsidR="00C02270">
        <w:t>. It focused on intermediate outcomes considering the inherent evaluation challenges for Influenza type epidemics</w:t>
      </w:r>
      <w:r w:rsidR="008E2631">
        <w:t>, as recently recommended by the World Bank Report on Controlling Avian Influenza</w:t>
      </w:r>
      <w:r w:rsidR="00D312E4">
        <w:t>.</w:t>
      </w:r>
      <w:r w:rsidR="000E51FA">
        <w:rPr>
          <w:rStyle w:val="FootnoteReference"/>
        </w:rPr>
        <w:footnoteReference w:id="30"/>
      </w:r>
      <w:r w:rsidR="008F66DE">
        <w:t xml:space="preserve"> </w:t>
      </w:r>
    </w:p>
    <w:p w:rsidR="00D312E4" w:rsidRDefault="00D312E4" w:rsidP="00060E9B">
      <w:pPr>
        <w:pStyle w:val="HTMLPreformatted"/>
        <w:autoSpaceDE w:val="0"/>
        <w:autoSpaceDN w:val="0"/>
        <w:adjustRightInd w:val="0"/>
        <w:jc w:val="both"/>
        <w:rPr>
          <w:rStyle w:val="Strong"/>
          <w:color w:val="000000"/>
        </w:rPr>
      </w:pPr>
    </w:p>
    <w:p w:rsidR="00CC2020" w:rsidRPr="00816C1F" w:rsidRDefault="00C67D43" w:rsidP="00D009D4">
      <w:pPr>
        <w:spacing w:line="200" w:lineRule="atLeast"/>
        <w:rPr>
          <w:color w:val="000000"/>
        </w:rPr>
      </w:pPr>
      <w:r w:rsidRPr="00816C1F">
        <w:rPr>
          <w:rStyle w:val="Strong"/>
          <w:color w:val="000000"/>
        </w:rPr>
        <w:t>(b) Quality of Supervision</w:t>
      </w:r>
      <w:r w:rsidRPr="00816C1F">
        <w:rPr>
          <w:color w:val="000000"/>
        </w:rPr>
        <w:t xml:space="preserve"> </w:t>
      </w:r>
      <w:r w:rsidRPr="00816C1F">
        <w:rPr>
          <w:color w:val="000000"/>
        </w:rPr>
        <w:br/>
      </w:r>
      <w:r w:rsidR="000411CD" w:rsidRPr="00816C1F">
        <w:rPr>
          <w:color w:val="000000"/>
        </w:rPr>
        <w:t>Rating:</w:t>
      </w:r>
      <w:r w:rsidR="00012CBB" w:rsidRPr="00816C1F">
        <w:rPr>
          <w:color w:val="000000"/>
        </w:rPr>
        <w:t xml:space="preserve"> </w:t>
      </w:r>
      <w:bookmarkStart w:id="158" w:name="RAT51B"/>
      <w:bookmarkEnd w:id="158"/>
      <w:r w:rsidR="00007E92" w:rsidRPr="00060E9B">
        <w:rPr>
          <w:b/>
          <w:color w:val="000000"/>
        </w:rPr>
        <w:t>Moderately</w:t>
      </w:r>
      <w:r w:rsidR="00D24AA7">
        <w:rPr>
          <w:color w:val="000000"/>
        </w:rPr>
        <w:t xml:space="preserve"> </w:t>
      </w:r>
      <w:r w:rsidR="00F44F6E" w:rsidRPr="005E508F">
        <w:rPr>
          <w:b/>
          <w:color w:val="000000"/>
        </w:rPr>
        <w:t>Satisfactory</w:t>
      </w:r>
    </w:p>
    <w:p w:rsidR="00C67D43" w:rsidRPr="00816C1F" w:rsidRDefault="00C67D43" w:rsidP="003262E3">
      <w:pPr>
        <w:jc w:val="both"/>
        <w:rPr>
          <w:color w:val="000000"/>
        </w:rPr>
      </w:pPr>
      <w:bookmarkStart w:id="159" w:name="SEC101B"/>
      <w:bookmarkEnd w:id="159"/>
    </w:p>
    <w:p w:rsidR="00222559" w:rsidRPr="00816C1F" w:rsidRDefault="00DB4430" w:rsidP="000E51FA">
      <w:pPr>
        <w:pStyle w:val="HTMLPreformatted"/>
        <w:numPr>
          <w:ilvl w:val="0"/>
          <w:numId w:val="1"/>
        </w:numPr>
        <w:autoSpaceDE w:val="0"/>
        <w:autoSpaceDN w:val="0"/>
        <w:adjustRightInd w:val="0"/>
        <w:ind w:left="0" w:firstLine="0"/>
        <w:jc w:val="both"/>
      </w:pPr>
      <w:r w:rsidRPr="000E51FA">
        <w:rPr>
          <w:b/>
          <w:color w:val="000000"/>
        </w:rPr>
        <w:t xml:space="preserve">The Quality of Supervision is rated </w:t>
      </w:r>
      <w:r w:rsidR="00A93458" w:rsidRPr="000E51FA">
        <w:rPr>
          <w:b/>
          <w:color w:val="000000"/>
        </w:rPr>
        <w:t xml:space="preserve">Moderately </w:t>
      </w:r>
      <w:r w:rsidR="00E8527A" w:rsidRPr="000E51FA">
        <w:rPr>
          <w:b/>
          <w:color w:val="000000"/>
        </w:rPr>
        <w:t>S</w:t>
      </w:r>
      <w:r w:rsidRPr="000E51FA">
        <w:rPr>
          <w:b/>
          <w:color w:val="000000"/>
        </w:rPr>
        <w:t>atisfactory.</w:t>
      </w:r>
      <w:r w:rsidRPr="000E51FA">
        <w:rPr>
          <w:color w:val="000000"/>
        </w:rPr>
        <w:t xml:space="preserve"> </w:t>
      </w:r>
      <w:r w:rsidR="000724D6" w:rsidRPr="000E51FA">
        <w:rPr>
          <w:color w:val="000000"/>
        </w:rPr>
        <w:t xml:space="preserve">In addition to engaging in </w:t>
      </w:r>
      <w:r w:rsidR="00335FAA" w:rsidRPr="000E51FA">
        <w:rPr>
          <w:color w:val="000000"/>
        </w:rPr>
        <w:t>seven</w:t>
      </w:r>
      <w:r w:rsidR="000724D6" w:rsidRPr="000E51FA">
        <w:rPr>
          <w:color w:val="000000"/>
        </w:rPr>
        <w:t xml:space="preserve"> missions, the supervis</w:t>
      </w:r>
      <w:r w:rsidR="00B15F45">
        <w:rPr>
          <w:color w:val="000000"/>
        </w:rPr>
        <w:t>ion</w:t>
      </w:r>
      <w:r w:rsidR="000724D6" w:rsidRPr="000E51FA">
        <w:rPr>
          <w:color w:val="000000"/>
        </w:rPr>
        <w:t xml:space="preserve"> team engaged in numerous video and audio </w:t>
      </w:r>
      <w:r w:rsidR="00B64AE5" w:rsidRPr="000E51FA">
        <w:rPr>
          <w:color w:val="000000"/>
        </w:rPr>
        <w:t>discussions</w:t>
      </w:r>
      <w:r w:rsidR="000724D6" w:rsidRPr="000E51FA">
        <w:rPr>
          <w:color w:val="000000"/>
        </w:rPr>
        <w:t xml:space="preserve"> with the</w:t>
      </w:r>
      <w:r w:rsidR="00335FAA" w:rsidRPr="000E51FA">
        <w:rPr>
          <w:color w:val="000000"/>
        </w:rPr>
        <w:t xml:space="preserve"> Project coordination unit and M</w:t>
      </w:r>
      <w:r w:rsidR="000724D6" w:rsidRPr="000E51FA">
        <w:rPr>
          <w:color w:val="000000"/>
        </w:rPr>
        <w:t xml:space="preserve">SN officials over the Project life. </w:t>
      </w:r>
      <w:r w:rsidR="006A7076" w:rsidRPr="000E51FA">
        <w:rPr>
          <w:bCs/>
        </w:rPr>
        <w:t>The team was particularly helpful in accompanying the MSN staff in documentation provision and mechanisms required for the successful execution of the result</w:t>
      </w:r>
      <w:r w:rsidR="009D3A40" w:rsidRPr="000E51FA">
        <w:rPr>
          <w:bCs/>
        </w:rPr>
        <w:t>-</w:t>
      </w:r>
      <w:r w:rsidR="006A7076" w:rsidRPr="000E51FA">
        <w:rPr>
          <w:bCs/>
        </w:rPr>
        <w:t>based financing aspect of the Project</w:t>
      </w:r>
      <w:r w:rsidR="002E18E2" w:rsidRPr="000E51FA">
        <w:rPr>
          <w:bCs/>
        </w:rPr>
        <w:t xml:space="preserve"> (information needed for the audits)</w:t>
      </w:r>
      <w:r w:rsidR="006A7076" w:rsidRPr="000E51FA">
        <w:rPr>
          <w:bCs/>
        </w:rPr>
        <w:t xml:space="preserve">. </w:t>
      </w:r>
      <w:r w:rsidR="004D7057">
        <w:t>The fact that some of the technical staff was based in Argentina greatly enhanced dialogue, and allowed for continuous coordination and swifter problem resolution.</w:t>
      </w:r>
      <w:r w:rsidR="000E51FA">
        <w:t xml:space="preserve"> However, procurement difficulties did not support the use of the emergency instrument.</w:t>
      </w:r>
      <w:r w:rsidR="000E51FA" w:rsidDel="00A3771B">
        <w:t xml:space="preserve"> </w:t>
      </w:r>
      <w:r w:rsidR="000E51FA">
        <w:t>In addition,</w:t>
      </w:r>
      <w:r w:rsidR="006F51EC" w:rsidRPr="000E51FA">
        <w:rPr>
          <w:bCs/>
        </w:rPr>
        <w:t xml:space="preserve"> </w:t>
      </w:r>
      <w:r w:rsidR="00FB18DC" w:rsidRPr="00531E53">
        <w:rPr>
          <w:bCs/>
        </w:rPr>
        <w:t>deficiencies</w:t>
      </w:r>
      <w:r w:rsidR="006F51EC" w:rsidRPr="007F4B23">
        <w:rPr>
          <w:bCs/>
        </w:rPr>
        <w:t xml:space="preserve"> in the results framework could have been </w:t>
      </w:r>
      <w:r w:rsidR="006F51EC" w:rsidRPr="000E51FA">
        <w:rPr>
          <w:bCs/>
        </w:rPr>
        <w:t xml:space="preserve">addressed </w:t>
      </w:r>
      <w:r w:rsidR="004D7057" w:rsidRPr="000E51FA">
        <w:rPr>
          <w:bCs/>
        </w:rPr>
        <w:t xml:space="preserve">and recorded </w:t>
      </w:r>
      <w:r w:rsidR="006F51EC" w:rsidRPr="000E51FA">
        <w:rPr>
          <w:bCs/>
        </w:rPr>
        <w:t xml:space="preserve">during the </w:t>
      </w:r>
      <w:r w:rsidR="00D312E4">
        <w:rPr>
          <w:bCs/>
        </w:rPr>
        <w:t xml:space="preserve">Project </w:t>
      </w:r>
      <w:r w:rsidR="006F51EC" w:rsidRPr="000E51FA">
        <w:rPr>
          <w:bCs/>
        </w:rPr>
        <w:t>restructuring</w:t>
      </w:r>
      <w:r w:rsidR="00D312E4">
        <w:rPr>
          <w:bCs/>
        </w:rPr>
        <w:t xml:space="preserve"> processes</w:t>
      </w:r>
      <w:r w:rsidR="006F51EC" w:rsidRPr="000E51FA">
        <w:rPr>
          <w:bCs/>
        </w:rPr>
        <w:t xml:space="preserve">. </w:t>
      </w:r>
    </w:p>
    <w:p w:rsidR="00222559" w:rsidRPr="00816C1F" w:rsidRDefault="00222559" w:rsidP="00736D6F">
      <w:pPr>
        <w:pStyle w:val="HTMLPreformatted"/>
        <w:autoSpaceDE w:val="0"/>
        <w:autoSpaceDN w:val="0"/>
        <w:adjustRightInd w:val="0"/>
        <w:jc w:val="both"/>
        <w:rPr>
          <w:rFonts w:cs="Times New Roman"/>
        </w:rPr>
      </w:pPr>
    </w:p>
    <w:p w:rsidR="00C67D43" w:rsidRPr="00816C1F" w:rsidRDefault="00C67D43" w:rsidP="003262E3">
      <w:pPr>
        <w:spacing w:line="200" w:lineRule="atLeast"/>
        <w:jc w:val="both"/>
        <w:rPr>
          <w:color w:val="000000"/>
        </w:rPr>
      </w:pPr>
      <w:r w:rsidRPr="00816C1F">
        <w:rPr>
          <w:rStyle w:val="Strong"/>
          <w:color w:val="000000"/>
        </w:rPr>
        <w:t>(c) Justification of Rating for Overall Bank Performance</w:t>
      </w:r>
    </w:p>
    <w:p w:rsidR="00C67D43" w:rsidRPr="00816C1F" w:rsidRDefault="000411CD" w:rsidP="003262E3">
      <w:pPr>
        <w:adjustRightInd w:val="0"/>
        <w:jc w:val="both"/>
        <w:rPr>
          <w:color w:val="000000"/>
        </w:rPr>
      </w:pPr>
      <w:r w:rsidRPr="00816C1F">
        <w:rPr>
          <w:color w:val="000000"/>
        </w:rPr>
        <w:t xml:space="preserve">Rating: </w:t>
      </w:r>
      <w:bookmarkStart w:id="160" w:name="RAT51C"/>
      <w:bookmarkEnd w:id="160"/>
      <w:r w:rsidR="00E179B3" w:rsidRPr="00F76C0C">
        <w:rPr>
          <w:b/>
          <w:color w:val="000000"/>
        </w:rPr>
        <w:t>Moderately</w:t>
      </w:r>
      <w:r w:rsidR="00F76C0C" w:rsidRPr="00F76C0C">
        <w:rPr>
          <w:b/>
          <w:color w:val="000000"/>
        </w:rPr>
        <w:t xml:space="preserve"> </w:t>
      </w:r>
      <w:r w:rsidR="001B56D2" w:rsidRPr="00294AEC">
        <w:rPr>
          <w:b/>
          <w:color w:val="000000"/>
        </w:rPr>
        <w:t>Satisfactory</w:t>
      </w:r>
    </w:p>
    <w:p w:rsidR="00706659" w:rsidRPr="00816C1F" w:rsidRDefault="00706659" w:rsidP="003262E3">
      <w:pPr>
        <w:adjustRightInd w:val="0"/>
        <w:jc w:val="both"/>
        <w:rPr>
          <w:color w:val="000000"/>
        </w:rPr>
      </w:pPr>
      <w:bookmarkStart w:id="161" w:name="SEC101C"/>
      <w:bookmarkEnd w:id="161"/>
    </w:p>
    <w:p w:rsidR="0089791B" w:rsidRPr="00060E9B" w:rsidRDefault="0089791B" w:rsidP="00305FBA">
      <w:pPr>
        <w:pStyle w:val="HTMLPreformatted"/>
        <w:numPr>
          <w:ilvl w:val="0"/>
          <w:numId w:val="1"/>
        </w:numPr>
        <w:autoSpaceDE w:val="0"/>
        <w:autoSpaceDN w:val="0"/>
        <w:adjustRightInd w:val="0"/>
        <w:ind w:left="0" w:firstLine="0"/>
        <w:jc w:val="both"/>
        <w:rPr>
          <w:bCs/>
        </w:rPr>
      </w:pPr>
      <w:r w:rsidRPr="00060E9B">
        <w:rPr>
          <w:bCs/>
        </w:rPr>
        <w:t xml:space="preserve">Given </w:t>
      </w:r>
      <w:r w:rsidR="00DA13B1" w:rsidRPr="00060E9B">
        <w:rPr>
          <w:bCs/>
        </w:rPr>
        <w:t>th</w:t>
      </w:r>
      <w:r w:rsidR="00531E53">
        <w:rPr>
          <w:bCs/>
        </w:rPr>
        <w:t>e S</w:t>
      </w:r>
      <w:r w:rsidR="007007CC">
        <w:rPr>
          <w:bCs/>
        </w:rPr>
        <w:t xml:space="preserve">atisfactory Bank performance at </w:t>
      </w:r>
      <w:r w:rsidR="00D312E4">
        <w:rPr>
          <w:bCs/>
        </w:rPr>
        <w:t>Q</w:t>
      </w:r>
      <w:r w:rsidR="007007CC">
        <w:rPr>
          <w:bCs/>
        </w:rPr>
        <w:t xml:space="preserve">uality at </w:t>
      </w:r>
      <w:r w:rsidR="00D312E4">
        <w:rPr>
          <w:bCs/>
        </w:rPr>
        <w:t>E</w:t>
      </w:r>
      <w:r w:rsidR="007007CC">
        <w:rPr>
          <w:bCs/>
        </w:rPr>
        <w:t xml:space="preserve">ntry and </w:t>
      </w:r>
      <w:r w:rsidR="00531E53">
        <w:rPr>
          <w:bCs/>
        </w:rPr>
        <w:t>the Moderately Satisfactory performance during Project supervision,</w:t>
      </w:r>
      <w:r w:rsidRPr="00060E9B">
        <w:rPr>
          <w:bCs/>
        </w:rPr>
        <w:t xml:space="preserve"> the overall rating for Bank performance is </w:t>
      </w:r>
      <w:r w:rsidR="00E179B3" w:rsidRPr="00060E9B">
        <w:rPr>
          <w:bCs/>
        </w:rPr>
        <w:t>Moderately</w:t>
      </w:r>
      <w:r w:rsidR="00F76C0C" w:rsidRPr="00060E9B">
        <w:rPr>
          <w:bCs/>
        </w:rPr>
        <w:t xml:space="preserve"> </w:t>
      </w:r>
      <w:r w:rsidRPr="00060E9B">
        <w:rPr>
          <w:bCs/>
        </w:rPr>
        <w:t xml:space="preserve">Satisfactory. </w:t>
      </w:r>
    </w:p>
    <w:p w:rsidR="009A142C" w:rsidRPr="00816C1F" w:rsidRDefault="009A142C" w:rsidP="00DB289B">
      <w:pPr>
        <w:adjustRightInd w:val="0"/>
        <w:jc w:val="both"/>
        <w:rPr>
          <w:color w:val="000000"/>
        </w:rPr>
      </w:pPr>
    </w:p>
    <w:p w:rsidR="00C67D43" w:rsidRDefault="00C67D43" w:rsidP="006C0B85">
      <w:pPr>
        <w:pStyle w:val="Heading3"/>
        <w:spacing w:before="0" w:beforeAutospacing="0"/>
        <w:jc w:val="both"/>
        <w:rPr>
          <w:bCs w:val="0"/>
          <w:sz w:val="24"/>
          <w:szCs w:val="24"/>
        </w:rPr>
      </w:pPr>
      <w:r w:rsidRPr="00816C1F">
        <w:rPr>
          <w:sz w:val="24"/>
          <w:szCs w:val="24"/>
        </w:rPr>
        <w:t>5.2 Borrower</w:t>
      </w:r>
      <w:r w:rsidR="00E07BAC" w:rsidRPr="00816C1F">
        <w:rPr>
          <w:sz w:val="24"/>
          <w:szCs w:val="24"/>
        </w:rPr>
        <w:t xml:space="preserve"> </w:t>
      </w:r>
      <w:r w:rsidR="00E07BAC" w:rsidRPr="00816C1F">
        <w:rPr>
          <w:bCs w:val="0"/>
          <w:sz w:val="24"/>
          <w:szCs w:val="24"/>
        </w:rPr>
        <w:t>Performance</w:t>
      </w:r>
    </w:p>
    <w:p w:rsidR="0077263C" w:rsidRDefault="0077263C" w:rsidP="006C0B85">
      <w:pPr>
        <w:pStyle w:val="Heading3"/>
        <w:spacing w:before="0" w:beforeAutospacing="0"/>
        <w:jc w:val="both"/>
        <w:rPr>
          <w:bCs w:val="0"/>
          <w:sz w:val="24"/>
          <w:szCs w:val="24"/>
        </w:rPr>
      </w:pPr>
    </w:p>
    <w:p w:rsidR="00C67D43" w:rsidRPr="00816C1F" w:rsidRDefault="00C67D43" w:rsidP="003262E3">
      <w:pPr>
        <w:spacing w:line="200" w:lineRule="atLeast"/>
        <w:jc w:val="both"/>
        <w:rPr>
          <w:color w:val="000000"/>
        </w:rPr>
      </w:pPr>
      <w:r w:rsidRPr="00816C1F">
        <w:rPr>
          <w:rStyle w:val="Strong"/>
          <w:color w:val="000000"/>
        </w:rPr>
        <w:t>(a) Government Performance</w:t>
      </w:r>
    </w:p>
    <w:p w:rsidR="00C67D43" w:rsidRPr="00816C1F" w:rsidRDefault="000411CD" w:rsidP="003262E3">
      <w:pPr>
        <w:jc w:val="both"/>
      </w:pPr>
      <w:r w:rsidRPr="00816C1F">
        <w:t xml:space="preserve">Rating: </w:t>
      </w:r>
      <w:bookmarkStart w:id="162" w:name="RAT52A"/>
      <w:bookmarkEnd w:id="162"/>
      <w:r w:rsidR="001B56D2" w:rsidRPr="005E508F">
        <w:rPr>
          <w:b/>
        </w:rPr>
        <w:t>Satisfactory</w:t>
      </w:r>
    </w:p>
    <w:p w:rsidR="00F92AD9" w:rsidRPr="00816C1F" w:rsidRDefault="00F92AD9" w:rsidP="003262E3">
      <w:pPr>
        <w:jc w:val="both"/>
      </w:pPr>
    </w:p>
    <w:p w:rsidR="002C29B8" w:rsidRDefault="00E537CD" w:rsidP="00305FBA">
      <w:pPr>
        <w:pStyle w:val="HTMLPreformatted"/>
        <w:numPr>
          <w:ilvl w:val="0"/>
          <w:numId w:val="1"/>
        </w:numPr>
        <w:autoSpaceDE w:val="0"/>
        <w:autoSpaceDN w:val="0"/>
        <w:adjustRightInd w:val="0"/>
        <w:ind w:left="0" w:firstLine="0"/>
        <w:jc w:val="both"/>
        <w:rPr>
          <w:rFonts w:cs="Times New Roman"/>
          <w:color w:val="000000"/>
        </w:rPr>
      </w:pPr>
      <w:r w:rsidRPr="00DB4430">
        <w:rPr>
          <w:rFonts w:cs="Times New Roman"/>
          <w:b/>
          <w:color w:val="000000"/>
        </w:rPr>
        <w:t>G</w:t>
      </w:r>
      <w:r w:rsidR="00C142A8" w:rsidRPr="00DB4430">
        <w:rPr>
          <w:rFonts w:cs="Times New Roman"/>
          <w:b/>
          <w:color w:val="000000"/>
        </w:rPr>
        <w:t xml:space="preserve">overnment performance is rated </w:t>
      </w:r>
      <w:r w:rsidR="009F24C5">
        <w:rPr>
          <w:rFonts w:cs="Times New Roman"/>
          <w:b/>
          <w:color w:val="000000"/>
        </w:rPr>
        <w:t>S</w:t>
      </w:r>
      <w:r w:rsidR="008D620B" w:rsidRPr="00DB4430">
        <w:rPr>
          <w:rFonts w:cs="Times New Roman"/>
          <w:b/>
          <w:color w:val="000000"/>
        </w:rPr>
        <w:t>atisfactory</w:t>
      </w:r>
      <w:r w:rsidR="00DB4430">
        <w:rPr>
          <w:rFonts w:cs="Times New Roman"/>
          <w:color w:val="000000"/>
        </w:rPr>
        <w:t>.</w:t>
      </w:r>
      <w:r w:rsidR="00E069BE" w:rsidRPr="00816C1F">
        <w:rPr>
          <w:rFonts w:cs="Times New Roman"/>
          <w:color w:val="000000"/>
        </w:rPr>
        <w:t xml:space="preserve"> </w:t>
      </w:r>
      <w:r w:rsidR="00AB231D" w:rsidRPr="00BC7C51">
        <w:rPr>
          <w:rFonts w:cs="Times New Roman"/>
          <w:color w:val="000000"/>
        </w:rPr>
        <w:t xml:space="preserve">The Ministry of Economy and Public Finance gave its full support to the Project. </w:t>
      </w:r>
      <w:r w:rsidR="00AB231D">
        <w:rPr>
          <w:rFonts w:cs="Times New Roman"/>
          <w:color w:val="000000"/>
        </w:rPr>
        <w:t xml:space="preserve">The GOA </w:t>
      </w:r>
      <w:r w:rsidR="00D652A6">
        <w:rPr>
          <w:rFonts w:cs="Times New Roman"/>
          <w:color w:val="000000"/>
        </w:rPr>
        <w:t xml:space="preserve">moved forward with the </w:t>
      </w:r>
      <w:r w:rsidR="005E508F">
        <w:rPr>
          <w:rFonts w:cs="Times New Roman"/>
          <w:color w:val="000000"/>
        </w:rPr>
        <w:t xml:space="preserve">World </w:t>
      </w:r>
      <w:r w:rsidR="00D652A6">
        <w:rPr>
          <w:rFonts w:cs="Times New Roman"/>
          <w:color w:val="000000"/>
        </w:rPr>
        <w:t xml:space="preserve">Bank during Project </w:t>
      </w:r>
      <w:r w:rsidR="00323874">
        <w:rPr>
          <w:rFonts w:cs="Times New Roman"/>
          <w:color w:val="000000"/>
        </w:rPr>
        <w:t>preparation</w:t>
      </w:r>
      <w:r w:rsidR="00D652A6">
        <w:rPr>
          <w:rFonts w:cs="Times New Roman"/>
          <w:color w:val="000000"/>
        </w:rPr>
        <w:t xml:space="preserve"> and </w:t>
      </w:r>
      <w:r w:rsidR="00F76C0C">
        <w:rPr>
          <w:rFonts w:cs="Times New Roman"/>
          <w:color w:val="000000"/>
        </w:rPr>
        <w:t xml:space="preserve">allocated </w:t>
      </w:r>
      <w:r w:rsidR="007070CF">
        <w:rPr>
          <w:rFonts w:cs="Times New Roman"/>
          <w:color w:val="000000"/>
        </w:rPr>
        <w:t>funds to purchase</w:t>
      </w:r>
      <w:r w:rsidR="00D652A6">
        <w:rPr>
          <w:rFonts w:cs="Times New Roman"/>
          <w:color w:val="000000"/>
        </w:rPr>
        <w:t xml:space="preserve"> the A/H1N1 vaccines. </w:t>
      </w:r>
      <w:r w:rsidR="007070CF">
        <w:rPr>
          <w:rFonts w:cs="Times New Roman"/>
          <w:color w:val="000000"/>
        </w:rPr>
        <w:t xml:space="preserve">Strong government </w:t>
      </w:r>
      <w:r w:rsidR="00EA1C2E">
        <w:rPr>
          <w:rFonts w:cs="Times New Roman"/>
          <w:color w:val="000000"/>
        </w:rPr>
        <w:t>commitment</w:t>
      </w:r>
      <w:r w:rsidR="002C29B8">
        <w:rPr>
          <w:rFonts w:cs="Times New Roman"/>
          <w:color w:val="000000"/>
        </w:rPr>
        <w:t xml:space="preserve">, experience with </w:t>
      </w:r>
      <w:r w:rsidR="005E508F">
        <w:rPr>
          <w:rFonts w:cs="Times New Roman"/>
          <w:color w:val="000000"/>
        </w:rPr>
        <w:t xml:space="preserve">World </w:t>
      </w:r>
      <w:r w:rsidR="002C29B8">
        <w:rPr>
          <w:rFonts w:cs="Times New Roman"/>
          <w:color w:val="000000"/>
        </w:rPr>
        <w:t>Bank</w:t>
      </w:r>
      <w:r w:rsidR="00323874">
        <w:rPr>
          <w:rFonts w:cs="Times New Roman"/>
          <w:color w:val="000000"/>
        </w:rPr>
        <w:t>-financed</w:t>
      </w:r>
      <w:r w:rsidR="002C29B8">
        <w:rPr>
          <w:rFonts w:cs="Times New Roman"/>
          <w:color w:val="000000"/>
        </w:rPr>
        <w:t xml:space="preserve"> </w:t>
      </w:r>
      <w:r w:rsidR="0014524D">
        <w:rPr>
          <w:rFonts w:cs="Times New Roman"/>
          <w:color w:val="000000"/>
        </w:rPr>
        <w:t xml:space="preserve">projects </w:t>
      </w:r>
      <w:r w:rsidR="002C29B8">
        <w:rPr>
          <w:rFonts w:cs="Times New Roman"/>
          <w:color w:val="000000"/>
        </w:rPr>
        <w:t xml:space="preserve">and </w:t>
      </w:r>
      <w:r w:rsidR="00EA1C2E">
        <w:rPr>
          <w:rFonts w:cs="Times New Roman"/>
          <w:color w:val="000000"/>
        </w:rPr>
        <w:t>existing</w:t>
      </w:r>
      <w:r w:rsidR="00F16C8B">
        <w:rPr>
          <w:rFonts w:cs="Times New Roman"/>
          <w:color w:val="000000"/>
        </w:rPr>
        <w:t xml:space="preserve"> technical </w:t>
      </w:r>
      <w:r w:rsidR="00F76C0C">
        <w:rPr>
          <w:rFonts w:cs="Times New Roman"/>
          <w:color w:val="000000"/>
        </w:rPr>
        <w:t xml:space="preserve">MSN </w:t>
      </w:r>
      <w:r w:rsidR="00EA1C2E">
        <w:rPr>
          <w:rFonts w:cs="Times New Roman"/>
          <w:color w:val="000000"/>
        </w:rPr>
        <w:t>capability</w:t>
      </w:r>
      <w:r w:rsidR="002C29B8">
        <w:rPr>
          <w:rFonts w:cs="Times New Roman"/>
          <w:color w:val="000000"/>
        </w:rPr>
        <w:t xml:space="preserve"> </w:t>
      </w:r>
      <w:r w:rsidR="00663440">
        <w:rPr>
          <w:rFonts w:cs="Times New Roman"/>
          <w:color w:val="000000"/>
        </w:rPr>
        <w:t xml:space="preserve">supported the achievement of Project objectives despite </w:t>
      </w:r>
      <w:r w:rsidR="002C29B8">
        <w:rPr>
          <w:rFonts w:cs="Times New Roman"/>
          <w:color w:val="000000"/>
        </w:rPr>
        <w:t xml:space="preserve">the </w:t>
      </w:r>
      <w:r w:rsidR="007070CF">
        <w:rPr>
          <w:rFonts w:cs="Times New Roman"/>
          <w:color w:val="000000"/>
        </w:rPr>
        <w:t>cancellation of the</w:t>
      </w:r>
      <w:r w:rsidR="002C29B8">
        <w:rPr>
          <w:rFonts w:cs="Times New Roman"/>
          <w:color w:val="000000"/>
        </w:rPr>
        <w:t xml:space="preserve"> retr</w:t>
      </w:r>
      <w:r w:rsidR="00F76C0C">
        <w:rPr>
          <w:rFonts w:cs="Times New Roman"/>
          <w:color w:val="000000"/>
        </w:rPr>
        <w:t>oactive portion of the</w:t>
      </w:r>
      <w:r w:rsidR="00663440">
        <w:rPr>
          <w:rFonts w:cs="Times New Roman"/>
          <w:color w:val="000000"/>
        </w:rPr>
        <w:t xml:space="preserve"> loan</w:t>
      </w:r>
      <w:r w:rsidR="002C29B8">
        <w:rPr>
          <w:rFonts w:cs="Times New Roman"/>
          <w:color w:val="000000"/>
        </w:rPr>
        <w:t xml:space="preserve">.  </w:t>
      </w:r>
    </w:p>
    <w:p w:rsidR="002C29B8" w:rsidRDefault="002C29B8" w:rsidP="002C29B8">
      <w:pPr>
        <w:pStyle w:val="HTMLPreformatted"/>
        <w:autoSpaceDE w:val="0"/>
        <w:autoSpaceDN w:val="0"/>
        <w:adjustRightInd w:val="0"/>
        <w:jc w:val="both"/>
        <w:rPr>
          <w:rFonts w:cs="Times New Roman"/>
          <w:color w:val="000000"/>
        </w:rPr>
      </w:pPr>
    </w:p>
    <w:p w:rsidR="00F17AC2" w:rsidRDefault="00F17AC2" w:rsidP="002C29B8">
      <w:pPr>
        <w:pStyle w:val="HTMLPreformatted"/>
        <w:autoSpaceDE w:val="0"/>
        <w:autoSpaceDN w:val="0"/>
        <w:adjustRightInd w:val="0"/>
        <w:jc w:val="both"/>
        <w:rPr>
          <w:rFonts w:cs="Times New Roman"/>
          <w:color w:val="000000"/>
        </w:rPr>
      </w:pPr>
    </w:p>
    <w:p w:rsidR="00C67D43" w:rsidRPr="00816C1F" w:rsidRDefault="00C67D43" w:rsidP="00E069BE">
      <w:pPr>
        <w:pStyle w:val="HTMLPreformatted"/>
        <w:autoSpaceDE w:val="0"/>
        <w:autoSpaceDN w:val="0"/>
        <w:adjustRightInd w:val="0"/>
        <w:jc w:val="both"/>
        <w:rPr>
          <w:rFonts w:cs="Times New Roman"/>
          <w:color w:val="000000"/>
        </w:rPr>
      </w:pPr>
      <w:bookmarkStart w:id="163" w:name="SEC102A"/>
      <w:bookmarkEnd w:id="163"/>
      <w:r w:rsidRPr="00816C1F">
        <w:rPr>
          <w:rStyle w:val="Strong"/>
          <w:rFonts w:cs="Times New Roman"/>
          <w:color w:val="000000"/>
        </w:rPr>
        <w:t>(b) Implementing Agency or Agencies Performance</w:t>
      </w:r>
    </w:p>
    <w:p w:rsidR="000914CB" w:rsidRDefault="000411CD" w:rsidP="00830A58">
      <w:pPr>
        <w:jc w:val="both"/>
        <w:rPr>
          <w:b/>
          <w:i/>
        </w:rPr>
      </w:pPr>
      <w:r w:rsidRPr="00816C1F">
        <w:rPr>
          <w:color w:val="000000"/>
        </w:rPr>
        <w:t xml:space="preserve">Rating: </w:t>
      </w:r>
      <w:bookmarkStart w:id="164" w:name="RAT52B"/>
      <w:bookmarkEnd w:id="164"/>
      <w:r w:rsidR="0083217A" w:rsidRPr="0083217A">
        <w:rPr>
          <w:b/>
          <w:color w:val="000000"/>
        </w:rPr>
        <w:t xml:space="preserve"> </w:t>
      </w:r>
      <w:r w:rsidR="001B56D2" w:rsidRPr="0083217A">
        <w:rPr>
          <w:b/>
        </w:rPr>
        <w:t>Satisfactory</w:t>
      </w:r>
      <w:bookmarkStart w:id="165" w:name="SEC102B"/>
      <w:bookmarkEnd w:id="165"/>
    </w:p>
    <w:p w:rsidR="00DB4430" w:rsidRDefault="00DB4430" w:rsidP="00830A58">
      <w:pPr>
        <w:jc w:val="both"/>
      </w:pPr>
    </w:p>
    <w:p w:rsidR="0039066D" w:rsidRDefault="00DB4430" w:rsidP="00305FBA">
      <w:pPr>
        <w:pStyle w:val="HTMLPreformatted"/>
        <w:numPr>
          <w:ilvl w:val="0"/>
          <w:numId w:val="1"/>
        </w:numPr>
        <w:autoSpaceDE w:val="0"/>
        <w:autoSpaceDN w:val="0"/>
        <w:adjustRightInd w:val="0"/>
        <w:ind w:left="0" w:firstLine="0"/>
        <w:jc w:val="both"/>
      </w:pPr>
      <w:r w:rsidRPr="00DB4430">
        <w:rPr>
          <w:b/>
        </w:rPr>
        <w:lastRenderedPageBreak/>
        <w:t>Performance of the implementation Agency is rated</w:t>
      </w:r>
      <w:r w:rsidR="00D24AA7">
        <w:rPr>
          <w:b/>
        </w:rPr>
        <w:t xml:space="preserve"> </w:t>
      </w:r>
      <w:r w:rsidRPr="00DB4430">
        <w:rPr>
          <w:b/>
        </w:rPr>
        <w:t>Satisfactory.</w:t>
      </w:r>
      <w:r w:rsidR="00DA13B1">
        <w:t xml:space="preserve"> </w:t>
      </w:r>
      <w:r w:rsidR="00323874">
        <w:t xml:space="preserve">The MSN was the Project’s implementing agency. </w:t>
      </w:r>
      <w:r w:rsidR="00DA13B1">
        <w:t xml:space="preserve">The </w:t>
      </w:r>
      <w:r w:rsidR="002E00C4">
        <w:t>UFI-</w:t>
      </w:r>
      <w:r w:rsidR="007D7FF2">
        <w:t>S</w:t>
      </w:r>
      <w:r w:rsidR="002E00C4">
        <w:t xml:space="preserve"> </w:t>
      </w:r>
      <w:r w:rsidR="00AA7C3C">
        <w:t>wa</w:t>
      </w:r>
      <w:r w:rsidR="002E00C4">
        <w:t xml:space="preserve">s responsible for general </w:t>
      </w:r>
      <w:r w:rsidR="00E65357">
        <w:t>P</w:t>
      </w:r>
      <w:r w:rsidR="002E00C4">
        <w:t>roject coordination, including fiduciary aspects</w:t>
      </w:r>
      <w:r w:rsidR="00323874">
        <w:t>,</w:t>
      </w:r>
      <w:r w:rsidR="002E00C4">
        <w:t xml:space="preserve"> component implementation</w:t>
      </w:r>
      <w:r w:rsidR="00323874">
        <w:t xml:space="preserve"> and M&amp;E</w:t>
      </w:r>
      <w:r w:rsidR="002E00C4">
        <w:t>.</w:t>
      </w:r>
      <w:r w:rsidR="00864D17">
        <w:t xml:space="preserve"> Since the beginning of the Project, </w:t>
      </w:r>
      <w:r w:rsidR="001F06AE">
        <w:t xml:space="preserve">the </w:t>
      </w:r>
      <w:r w:rsidR="00864D17">
        <w:t>MSN showed strong leadership and ownership of Project objectives.</w:t>
      </w:r>
      <w:r w:rsidR="002E00C4">
        <w:t xml:space="preserve"> </w:t>
      </w:r>
      <w:r w:rsidR="006D7082">
        <w:t>UFI-S effective coordination between the different MSN areas and programs and between national and provincial programs was a key element for the success of the Project</w:t>
      </w:r>
      <w:r w:rsidR="00864D17">
        <w:t xml:space="preserve">. </w:t>
      </w:r>
      <w:r w:rsidR="00007E92">
        <w:t>Project</w:t>
      </w:r>
      <w:r w:rsidR="0083217A">
        <w:t xml:space="preserve"> </w:t>
      </w:r>
      <w:r w:rsidR="0039066D">
        <w:t>implementation was executed through the different t</w:t>
      </w:r>
      <w:r w:rsidR="00F16C8B">
        <w:t xml:space="preserve">echnical </w:t>
      </w:r>
      <w:r w:rsidR="00667AA2">
        <w:t>units</w:t>
      </w:r>
      <w:r w:rsidR="00F16C8B">
        <w:t xml:space="preserve"> </w:t>
      </w:r>
      <w:r w:rsidR="00EA1C2E">
        <w:t>within</w:t>
      </w:r>
      <w:r w:rsidR="00F16C8B">
        <w:t xml:space="preserve"> the MSN,</w:t>
      </w:r>
      <w:r w:rsidR="0039066D">
        <w:t xml:space="preserve"> </w:t>
      </w:r>
      <w:r w:rsidR="00F16C8B">
        <w:t xml:space="preserve">representing a new </w:t>
      </w:r>
      <w:r w:rsidR="007070CF">
        <w:t>modus-operandi</w:t>
      </w:r>
      <w:r w:rsidR="00F16C8B">
        <w:t xml:space="preserve">, which served to build up in-house capabilities. </w:t>
      </w:r>
      <w:r w:rsidR="00667AA2">
        <w:t>Despite a steep learning curve in some areas</w:t>
      </w:r>
      <w:r w:rsidR="005D0412">
        <w:t>,</w:t>
      </w:r>
      <w:r w:rsidR="00667AA2">
        <w:t xml:space="preserve"> </w:t>
      </w:r>
      <w:r w:rsidR="00780126">
        <w:t xml:space="preserve">which resulted in technical audit delays at the beginning of Project implementation, </w:t>
      </w:r>
      <w:r w:rsidR="00667AA2">
        <w:t>the different execution units successfully s</w:t>
      </w:r>
      <w:r w:rsidR="007070CF">
        <w:t>upported Project implementation</w:t>
      </w:r>
      <w:r w:rsidR="00780126">
        <w:t xml:space="preserve"> and PDO </w:t>
      </w:r>
      <w:r w:rsidR="002A2C39">
        <w:t>achievement. Although</w:t>
      </w:r>
      <w:r w:rsidR="00864D17">
        <w:t xml:space="preserve"> the Project was designed in an emergency context, it </w:t>
      </w:r>
      <w:r w:rsidR="009F6F6C">
        <w:t xml:space="preserve">shifted </w:t>
      </w:r>
      <w:r w:rsidR="00864D17">
        <w:t>focus to</w:t>
      </w:r>
      <w:r w:rsidR="009F6F6C">
        <w:t>ward</w:t>
      </w:r>
      <w:r w:rsidR="00864D17">
        <w:t xml:space="preserve"> surveillance system </w:t>
      </w:r>
      <w:r w:rsidR="009F6F6C">
        <w:t xml:space="preserve">strengthening through </w:t>
      </w:r>
      <w:r w:rsidR="006E34C4">
        <w:t>three</w:t>
      </w:r>
      <w:r w:rsidR="009F6F6C">
        <w:t xml:space="preserve"> restructuring</w:t>
      </w:r>
      <w:r w:rsidR="006E34C4">
        <w:t xml:space="preserve"> processes</w:t>
      </w:r>
      <w:r w:rsidR="009F6F6C">
        <w:t xml:space="preserve"> </w:t>
      </w:r>
      <w:r w:rsidR="00864D17">
        <w:t>and</w:t>
      </w:r>
      <w:r w:rsidR="006E34C4">
        <w:t>,</w:t>
      </w:r>
      <w:r w:rsidR="00864D17">
        <w:t xml:space="preserve"> in practice</w:t>
      </w:r>
      <w:r w:rsidR="006E34C4">
        <w:t>,</w:t>
      </w:r>
      <w:r w:rsidR="00864D17">
        <w:t xml:space="preserve"> became a regular </w:t>
      </w:r>
      <w:r w:rsidR="002A2C39">
        <w:t xml:space="preserve">operation. </w:t>
      </w:r>
      <w:r w:rsidR="009F6F6C">
        <w:t xml:space="preserve">The </w:t>
      </w:r>
      <w:r w:rsidR="00781E93">
        <w:t>Project closing date was</w:t>
      </w:r>
      <w:r w:rsidR="000A1EC1">
        <w:t xml:space="preserve"> extended </w:t>
      </w:r>
      <w:r w:rsidR="006E34C4">
        <w:t xml:space="preserve">twice </w:t>
      </w:r>
      <w:r w:rsidR="009F6F6C">
        <w:t xml:space="preserve">to </w:t>
      </w:r>
      <w:r w:rsidR="000A1EC1">
        <w:t>conclude act</w:t>
      </w:r>
      <w:r w:rsidR="00781E93">
        <w:t xml:space="preserve">ivities </w:t>
      </w:r>
      <w:r w:rsidR="009F6F6C">
        <w:t xml:space="preserve">that were </w:t>
      </w:r>
      <w:r w:rsidR="00781E93">
        <w:t xml:space="preserve">not </w:t>
      </w:r>
      <w:r w:rsidR="009F6F6C">
        <w:t>included in the PAD</w:t>
      </w:r>
      <w:r w:rsidR="006E34C4">
        <w:t>,</w:t>
      </w:r>
      <w:r w:rsidR="009F6F6C">
        <w:t xml:space="preserve"> but </w:t>
      </w:r>
      <w:r w:rsidR="002F7498">
        <w:t>inserted during the first two restructurings</w:t>
      </w:r>
      <w:r w:rsidR="00781E93">
        <w:t>.</w:t>
      </w:r>
    </w:p>
    <w:p w:rsidR="006C0B85" w:rsidRPr="00816C1F" w:rsidRDefault="006C0B85" w:rsidP="003262E3">
      <w:pPr>
        <w:jc w:val="both"/>
        <w:rPr>
          <w:lang w:eastAsia="en-US"/>
        </w:rPr>
      </w:pPr>
    </w:p>
    <w:p w:rsidR="00C67D43" w:rsidRPr="00816C1F" w:rsidRDefault="00C67D43" w:rsidP="003262E3">
      <w:pPr>
        <w:spacing w:line="200" w:lineRule="atLeast"/>
        <w:jc w:val="both"/>
        <w:rPr>
          <w:color w:val="000000"/>
        </w:rPr>
      </w:pPr>
      <w:r w:rsidRPr="00816C1F">
        <w:rPr>
          <w:rStyle w:val="Strong"/>
          <w:color w:val="000000"/>
        </w:rPr>
        <w:t>(c) Justification of Rating for Overall Borrower Performance</w:t>
      </w:r>
    </w:p>
    <w:p w:rsidR="00C67D43" w:rsidRPr="00816C1F" w:rsidRDefault="000411CD" w:rsidP="003262E3">
      <w:pPr>
        <w:jc w:val="both"/>
      </w:pPr>
      <w:r w:rsidRPr="00816C1F">
        <w:t xml:space="preserve">Rating: </w:t>
      </w:r>
      <w:bookmarkStart w:id="166" w:name="RAT52C"/>
      <w:bookmarkEnd w:id="166"/>
      <w:r w:rsidR="001B56D2" w:rsidRPr="0083217A">
        <w:rPr>
          <w:b/>
        </w:rPr>
        <w:t>Satisfactory</w:t>
      </w:r>
    </w:p>
    <w:p w:rsidR="00254477" w:rsidRPr="00816C1F" w:rsidRDefault="00254477" w:rsidP="003262E3">
      <w:pPr>
        <w:jc w:val="both"/>
      </w:pPr>
      <w:bookmarkStart w:id="167" w:name="SEC102C"/>
      <w:bookmarkEnd w:id="167"/>
    </w:p>
    <w:p w:rsidR="00E537CD" w:rsidRPr="00816C1F" w:rsidRDefault="00EF013C" w:rsidP="00305FBA">
      <w:pPr>
        <w:pStyle w:val="HTMLPreformatted"/>
        <w:numPr>
          <w:ilvl w:val="0"/>
          <w:numId w:val="1"/>
        </w:numPr>
        <w:autoSpaceDE w:val="0"/>
        <w:autoSpaceDN w:val="0"/>
        <w:adjustRightInd w:val="0"/>
        <w:ind w:left="0" w:firstLine="0"/>
        <w:jc w:val="both"/>
        <w:rPr>
          <w:rFonts w:cs="Times New Roman"/>
        </w:rPr>
      </w:pPr>
      <w:r>
        <w:rPr>
          <w:rFonts w:cs="Times New Roman"/>
        </w:rPr>
        <w:t xml:space="preserve">Given the minor shortcomings observed in the Borrower’s performance, its </w:t>
      </w:r>
      <w:r w:rsidR="00E537CD" w:rsidRPr="00816C1F">
        <w:rPr>
          <w:rFonts w:cs="Times New Roman"/>
        </w:rPr>
        <w:t xml:space="preserve">overall </w:t>
      </w:r>
      <w:r w:rsidR="00D74CC9" w:rsidRPr="00816C1F">
        <w:rPr>
          <w:rFonts w:cs="Times New Roman"/>
        </w:rPr>
        <w:t>P</w:t>
      </w:r>
      <w:r w:rsidR="00AA7C3C">
        <w:rPr>
          <w:rFonts w:cs="Times New Roman"/>
        </w:rPr>
        <w:t>erformance is rated</w:t>
      </w:r>
      <w:r w:rsidR="00E537CD" w:rsidRPr="00816C1F">
        <w:rPr>
          <w:rFonts w:cs="Times New Roman"/>
          <w:b/>
          <w:i/>
        </w:rPr>
        <w:t xml:space="preserve"> </w:t>
      </w:r>
      <w:r w:rsidR="00E537CD" w:rsidRPr="0083217A">
        <w:rPr>
          <w:rFonts w:cs="Times New Roman"/>
        </w:rPr>
        <w:t>Satisfactory</w:t>
      </w:r>
      <w:r w:rsidR="00781E93">
        <w:rPr>
          <w:rFonts w:cs="Times New Roman"/>
        </w:rPr>
        <w:t>.</w:t>
      </w:r>
    </w:p>
    <w:p w:rsidR="00164809" w:rsidRPr="00816C1F" w:rsidRDefault="00164809" w:rsidP="00164809">
      <w:pPr>
        <w:pStyle w:val="HTMLPreformatted"/>
        <w:autoSpaceDE w:val="0"/>
        <w:autoSpaceDN w:val="0"/>
        <w:adjustRightInd w:val="0"/>
        <w:jc w:val="both"/>
        <w:rPr>
          <w:rFonts w:cs="Times New Roman"/>
        </w:rPr>
      </w:pPr>
    </w:p>
    <w:p w:rsidR="00323874" w:rsidRPr="00816C1F" w:rsidRDefault="00C67D43" w:rsidP="00323874">
      <w:pPr>
        <w:pStyle w:val="Heading2"/>
        <w:spacing w:before="0" w:beforeAutospacing="0"/>
        <w:jc w:val="both"/>
        <w:rPr>
          <w:sz w:val="24"/>
          <w:szCs w:val="24"/>
        </w:rPr>
      </w:pPr>
      <w:bookmarkStart w:id="168" w:name="_IL11"/>
      <w:bookmarkStart w:id="169" w:name="_Toc158019375"/>
      <w:bookmarkStart w:id="170" w:name="_Toc384896515"/>
      <w:r w:rsidRPr="00816C1F">
        <w:rPr>
          <w:sz w:val="24"/>
          <w:szCs w:val="24"/>
        </w:rPr>
        <w:t>6. Lessons Learne</w:t>
      </w:r>
      <w:r w:rsidR="00CD7180">
        <w:rPr>
          <w:sz w:val="24"/>
          <w:szCs w:val="24"/>
        </w:rPr>
        <w:t>d</w:t>
      </w:r>
      <w:bookmarkEnd w:id="168"/>
      <w:bookmarkEnd w:id="169"/>
      <w:bookmarkEnd w:id="170"/>
    </w:p>
    <w:p w:rsidR="00323874" w:rsidRDefault="00323874" w:rsidP="00323874">
      <w:pPr>
        <w:pStyle w:val="ListParagraph"/>
      </w:pPr>
    </w:p>
    <w:p w:rsidR="00323874" w:rsidRPr="00253103" w:rsidRDefault="00323874" w:rsidP="00323874">
      <w:pPr>
        <w:pStyle w:val="HTMLPreformatted"/>
        <w:numPr>
          <w:ilvl w:val="0"/>
          <w:numId w:val="1"/>
        </w:numPr>
        <w:autoSpaceDE w:val="0"/>
        <w:autoSpaceDN w:val="0"/>
        <w:adjustRightInd w:val="0"/>
        <w:ind w:left="0" w:firstLine="0"/>
        <w:jc w:val="both"/>
      </w:pPr>
      <w:r w:rsidRPr="006C7195">
        <w:rPr>
          <w:b/>
        </w:rPr>
        <w:t xml:space="preserve">Argentina’s adoption of a high-risk targeted vaccination strategy against </w:t>
      </w:r>
      <w:r w:rsidR="001F06AE">
        <w:rPr>
          <w:b/>
        </w:rPr>
        <w:t xml:space="preserve">A/H1N1 </w:t>
      </w:r>
      <w:r w:rsidRPr="006C7195">
        <w:rPr>
          <w:b/>
        </w:rPr>
        <w:t xml:space="preserve">influenza was effective in containing the epidemic. </w:t>
      </w:r>
      <w:r w:rsidRPr="000D08C9">
        <w:t>Assessments on the effects of potential vaccination strategies against pandemic influenza in terms of reducing morbidity and mortality based on priority age groups, transmissibility, timing of vaccination efforts, and number of years of life lost have shown that even limited vaccine supplies, if used optimally, can have an impact on mitigating disease burden in middle-income countries (G.  Chowell, C. Vibourd, X Wang, S Bertozzi and M. Miller).</w:t>
      </w:r>
    </w:p>
    <w:p w:rsidR="00323874" w:rsidRDefault="00323874" w:rsidP="00323874"/>
    <w:p w:rsidR="00323874" w:rsidRDefault="00323874" w:rsidP="00323874">
      <w:pPr>
        <w:pStyle w:val="HTMLPreformatted"/>
        <w:numPr>
          <w:ilvl w:val="0"/>
          <w:numId w:val="1"/>
        </w:numPr>
        <w:autoSpaceDE w:val="0"/>
        <w:autoSpaceDN w:val="0"/>
        <w:adjustRightInd w:val="0"/>
        <w:ind w:left="0" w:firstLine="0"/>
        <w:jc w:val="both"/>
      </w:pPr>
      <w:r w:rsidRPr="00E8527A">
        <w:rPr>
          <w:b/>
        </w:rPr>
        <w:t xml:space="preserve">A comprehensive (human and animal) pandemic preparedness </w:t>
      </w:r>
      <w:r>
        <w:rPr>
          <w:b/>
        </w:rPr>
        <w:t>plan w</w:t>
      </w:r>
      <w:r w:rsidRPr="00E8527A">
        <w:rPr>
          <w:b/>
        </w:rPr>
        <w:t>ould benefit from moving from a response approach using emergency instruments to one that favors preventive risk reduction and risk management through regular country program and operations.</w:t>
      </w:r>
      <w:r>
        <w:t xml:space="preserve"> This would incorporate some of the objectives supported in the World Bank-financed avian flu portfolio, which generally ran into a number of obstacles due to the complicated inter-sectoral collaboration between health and agriculture. Pandemic risk reduction is even in more need of global donor support than natural disaster risk reduction, as pandemic preparedness in one country provides positive spillovers to other while the benefits of disaster risk reduction are primarily local.</w:t>
      </w:r>
    </w:p>
    <w:p w:rsidR="00323874" w:rsidRDefault="00323874" w:rsidP="00323874">
      <w:pPr>
        <w:pStyle w:val="ListParagraph"/>
      </w:pPr>
    </w:p>
    <w:p w:rsidR="00323874" w:rsidRDefault="00323874" w:rsidP="00323874">
      <w:pPr>
        <w:pStyle w:val="HTMLPreformatted"/>
        <w:numPr>
          <w:ilvl w:val="0"/>
          <w:numId w:val="1"/>
        </w:numPr>
        <w:autoSpaceDE w:val="0"/>
        <w:autoSpaceDN w:val="0"/>
        <w:adjustRightInd w:val="0"/>
        <w:ind w:left="0" w:firstLine="0"/>
        <w:jc w:val="both"/>
      </w:pPr>
      <w:r w:rsidRPr="00341A26">
        <w:rPr>
          <w:b/>
        </w:rPr>
        <w:t>High</w:t>
      </w:r>
      <w:r>
        <w:rPr>
          <w:b/>
        </w:rPr>
        <w:t>-</w:t>
      </w:r>
      <w:r w:rsidRPr="00341A26">
        <w:rPr>
          <w:b/>
        </w:rPr>
        <w:t>risk groups can only be reached through an intense communication effort</w:t>
      </w:r>
      <w:r w:rsidRPr="00341A26">
        <w:t>.</w:t>
      </w:r>
      <w:r>
        <w:t xml:space="preserve"> A </w:t>
      </w:r>
      <w:r w:rsidR="00AD72F0">
        <w:t>well-developed</w:t>
      </w:r>
      <w:r>
        <w:t xml:space="preserve"> communication strategy in the country had a positive impact on social and behavior change, specifically among high risk population such as health workers, pregnant women, young children, etc.</w:t>
      </w:r>
    </w:p>
    <w:p w:rsidR="00323874" w:rsidRDefault="00323874" w:rsidP="00323874">
      <w:pPr>
        <w:pStyle w:val="HTMLPreformatted"/>
        <w:autoSpaceDE w:val="0"/>
        <w:autoSpaceDN w:val="0"/>
        <w:adjustRightInd w:val="0"/>
        <w:jc w:val="both"/>
      </w:pPr>
    </w:p>
    <w:p w:rsidR="00323874" w:rsidRPr="00E61E1E" w:rsidRDefault="00323874" w:rsidP="00323874">
      <w:pPr>
        <w:pStyle w:val="HTMLPreformatted"/>
        <w:numPr>
          <w:ilvl w:val="0"/>
          <w:numId w:val="1"/>
        </w:numPr>
        <w:autoSpaceDE w:val="0"/>
        <w:autoSpaceDN w:val="0"/>
        <w:adjustRightInd w:val="0"/>
        <w:ind w:left="0" w:firstLine="0"/>
        <w:jc w:val="both"/>
        <w:rPr>
          <w:bCs/>
          <w:color w:val="000000"/>
        </w:rPr>
      </w:pPr>
      <w:r w:rsidRPr="00AA7C3C">
        <w:rPr>
          <w:rFonts w:cs="Times New Roman"/>
          <w:b/>
          <w:bCs/>
          <w:color w:val="000000"/>
          <w:szCs w:val="24"/>
        </w:rPr>
        <w:t xml:space="preserve">Despite a short preparation period, it is important to avoid having tunnel vision and think broadly when designing emergency loans. </w:t>
      </w:r>
      <w:r w:rsidRPr="00AA7C3C">
        <w:rPr>
          <w:rFonts w:cs="Times New Roman"/>
          <w:bCs/>
          <w:color w:val="000000"/>
          <w:szCs w:val="24"/>
        </w:rPr>
        <w:t xml:space="preserve">Though the </w:t>
      </w:r>
      <w:r>
        <w:rPr>
          <w:rFonts w:cs="Times New Roman"/>
          <w:bCs/>
          <w:color w:val="000000"/>
          <w:szCs w:val="24"/>
        </w:rPr>
        <w:t>P</w:t>
      </w:r>
      <w:r w:rsidRPr="00AA7C3C">
        <w:rPr>
          <w:rFonts w:cs="Times New Roman"/>
          <w:bCs/>
          <w:color w:val="000000"/>
          <w:szCs w:val="24"/>
        </w:rPr>
        <w:t>rojec</w:t>
      </w:r>
      <w:r>
        <w:rPr>
          <w:rFonts w:cs="Times New Roman"/>
          <w:bCs/>
          <w:color w:val="000000"/>
          <w:szCs w:val="24"/>
        </w:rPr>
        <w:t>t focus</w:t>
      </w:r>
      <w:r w:rsidRPr="00AA7C3C">
        <w:rPr>
          <w:rFonts w:cs="Times New Roman"/>
          <w:bCs/>
          <w:color w:val="000000"/>
          <w:szCs w:val="24"/>
        </w:rPr>
        <w:t xml:space="preserve">ed on A/H1N1, it served to build up Argentina’s long-term preparedness and capacity to confront any epidemic, not just A/H1N1. </w:t>
      </w:r>
      <w:r>
        <w:rPr>
          <w:rFonts w:cs="Times New Roman"/>
          <w:bCs/>
          <w:color w:val="000000"/>
          <w:szCs w:val="24"/>
        </w:rPr>
        <w:t xml:space="preserve">The strengthening of surveillance and laboratory systems, as well as health networks are often overlooked in favor of other priorities, however they are important components of national health systems. </w:t>
      </w:r>
    </w:p>
    <w:p w:rsidR="00323874" w:rsidRDefault="00323874" w:rsidP="00323874">
      <w:pPr>
        <w:pStyle w:val="HTMLPreformatted"/>
        <w:autoSpaceDE w:val="0"/>
        <w:autoSpaceDN w:val="0"/>
        <w:adjustRightInd w:val="0"/>
        <w:jc w:val="both"/>
      </w:pPr>
    </w:p>
    <w:p w:rsidR="00CD7180" w:rsidRPr="00CD7180" w:rsidRDefault="00323874" w:rsidP="00323874">
      <w:pPr>
        <w:pStyle w:val="HTMLPreformatted"/>
        <w:numPr>
          <w:ilvl w:val="0"/>
          <w:numId w:val="1"/>
        </w:numPr>
        <w:autoSpaceDE w:val="0"/>
        <w:autoSpaceDN w:val="0"/>
        <w:adjustRightInd w:val="0"/>
        <w:ind w:left="0" w:firstLine="0"/>
        <w:jc w:val="both"/>
        <w:rPr>
          <w:rFonts w:cs="Times New Roman"/>
          <w:bCs/>
          <w:color w:val="000000"/>
          <w:szCs w:val="24"/>
        </w:rPr>
      </w:pPr>
      <w:r w:rsidRPr="00136C8E">
        <w:rPr>
          <w:b/>
        </w:rPr>
        <w:t xml:space="preserve">The execution of </w:t>
      </w:r>
      <w:r>
        <w:rPr>
          <w:b/>
        </w:rPr>
        <w:t>p</w:t>
      </w:r>
      <w:r w:rsidRPr="00136C8E">
        <w:rPr>
          <w:b/>
        </w:rPr>
        <w:t>rojects with</w:t>
      </w:r>
      <w:r>
        <w:rPr>
          <w:b/>
        </w:rPr>
        <w:t xml:space="preserve">in </w:t>
      </w:r>
      <w:r w:rsidRPr="00136C8E">
        <w:rPr>
          <w:b/>
        </w:rPr>
        <w:t xml:space="preserve">existing </w:t>
      </w:r>
      <w:r>
        <w:rPr>
          <w:b/>
        </w:rPr>
        <w:t xml:space="preserve">technical/administrative </w:t>
      </w:r>
      <w:r w:rsidRPr="00136C8E">
        <w:rPr>
          <w:b/>
        </w:rPr>
        <w:t>structure</w:t>
      </w:r>
      <w:r>
        <w:rPr>
          <w:b/>
        </w:rPr>
        <w:t>s</w:t>
      </w:r>
      <w:r w:rsidRPr="00136C8E">
        <w:rPr>
          <w:b/>
        </w:rPr>
        <w:t xml:space="preserve"> has significant positive externalities.</w:t>
      </w:r>
      <w:r>
        <w:rPr>
          <w:b/>
        </w:rPr>
        <w:t xml:space="preserve"> </w:t>
      </w:r>
      <w:r w:rsidRPr="0090259F">
        <w:t>The mechanism not only buil</w:t>
      </w:r>
      <w:r>
        <w:t>t</w:t>
      </w:r>
      <w:r w:rsidRPr="0090259F">
        <w:t xml:space="preserve"> in</w:t>
      </w:r>
      <w:r>
        <w:t>-</w:t>
      </w:r>
      <w:r w:rsidRPr="0090259F">
        <w:t>house sustainable capacit</w:t>
      </w:r>
      <w:r>
        <w:t>y</w:t>
      </w:r>
      <w:r w:rsidRPr="0090259F">
        <w:t xml:space="preserve"> but also foster</w:t>
      </w:r>
      <w:r>
        <w:t>ed</w:t>
      </w:r>
      <w:r w:rsidRPr="0090259F">
        <w:t xml:space="preserve"> greater cooperation among </w:t>
      </w:r>
      <w:r>
        <w:t xml:space="preserve">different </w:t>
      </w:r>
      <w:r w:rsidRPr="0090259F">
        <w:t>health units</w:t>
      </w:r>
      <w:r>
        <w:t xml:space="preserve"> and broke the vertical implementation framework often resulting from the establishment of stand-alone project coordinating units for externally funded projects. </w:t>
      </w:r>
    </w:p>
    <w:p w:rsidR="00323874" w:rsidRPr="0090259F" w:rsidRDefault="00323874" w:rsidP="0083217A">
      <w:pPr>
        <w:pStyle w:val="HTMLPreformatted"/>
        <w:autoSpaceDE w:val="0"/>
        <w:autoSpaceDN w:val="0"/>
        <w:adjustRightInd w:val="0"/>
        <w:jc w:val="both"/>
        <w:rPr>
          <w:rFonts w:cs="Times New Roman"/>
          <w:bCs/>
          <w:color w:val="000000"/>
          <w:szCs w:val="24"/>
        </w:rPr>
      </w:pPr>
      <w:r>
        <w:t xml:space="preserve"> </w:t>
      </w:r>
    </w:p>
    <w:p w:rsidR="00323874" w:rsidRPr="00E066D4" w:rsidRDefault="00323874" w:rsidP="00323874">
      <w:pPr>
        <w:pStyle w:val="HTMLPreformatted"/>
        <w:numPr>
          <w:ilvl w:val="0"/>
          <w:numId w:val="1"/>
        </w:numPr>
        <w:autoSpaceDE w:val="0"/>
        <w:autoSpaceDN w:val="0"/>
        <w:adjustRightInd w:val="0"/>
        <w:ind w:left="0" w:firstLine="0"/>
        <w:jc w:val="both"/>
        <w:rPr>
          <w:b/>
        </w:rPr>
      </w:pPr>
      <w:r>
        <w:rPr>
          <w:b/>
          <w:bCs/>
          <w:color w:val="000000"/>
        </w:rPr>
        <w:t>A</w:t>
      </w:r>
      <w:r w:rsidRPr="00E61E1E">
        <w:rPr>
          <w:b/>
          <w:bCs/>
          <w:color w:val="000000"/>
        </w:rPr>
        <w:t xml:space="preserve"> </w:t>
      </w:r>
      <w:r>
        <w:rPr>
          <w:b/>
          <w:bCs/>
          <w:color w:val="000000"/>
        </w:rPr>
        <w:t>RBF</w:t>
      </w:r>
      <w:r w:rsidRPr="00E61E1E">
        <w:rPr>
          <w:b/>
          <w:bCs/>
          <w:color w:val="000000"/>
        </w:rPr>
        <w:t xml:space="preserve"> model is a valuable strategy </w:t>
      </w:r>
      <w:r>
        <w:rPr>
          <w:b/>
          <w:bCs/>
          <w:color w:val="000000"/>
        </w:rPr>
        <w:t>to influence subnational government policies in federal systems</w:t>
      </w:r>
      <w:r w:rsidRPr="00E61E1E">
        <w:rPr>
          <w:b/>
          <w:bCs/>
          <w:color w:val="000000"/>
        </w:rPr>
        <w:t>.</w:t>
      </w:r>
      <w:r>
        <w:rPr>
          <w:bCs/>
          <w:color w:val="000000"/>
        </w:rPr>
        <w:t xml:space="preserve"> </w:t>
      </w:r>
      <w:r w:rsidRPr="00E61E1E">
        <w:rPr>
          <w:bCs/>
          <w:color w:val="000000"/>
        </w:rPr>
        <w:t xml:space="preserve">The effective implementation of </w:t>
      </w:r>
      <w:r>
        <w:rPr>
          <w:bCs/>
          <w:color w:val="000000"/>
        </w:rPr>
        <w:t>the</w:t>
      </w:r>
      <w:r w:rsidRPr="00E61E1E">
        <w:rPr>
          <w:bCs/>
          <w:color w:val="000000"/>
        </w:rPr>
        <w:t xml:space="preserve"> </w:t>
      </w:r>
      <w:r>
        <w:rPr>
          <w:bCs/>
          <w:color w:val="000000"/>
        </w:rPr>
        <w:t>RBF</w:t>
      </w:r>
      <w:r w:rsidRPr="00E61E1E">
        <w:rPr>
          <w:bCs/>
          <w:color w:val="000000"/>
        </w:rPr>
        <w:t xml:space="preserve"> financing scheme </w:t>
      </w:r>
      <w:r>
        <w:rPr>
          <w:bCs/>
          <w:color w:val="000000"/>
        </w:rPr>
        <w:t xml:space="preserve">in Argentina </w:t>
      </w:r>
      <w:r w:rsidRPr="00E61E1E">
        <w:rPr>
          <w:bCs/>
          <w:color w:val="000000"/>
        </w:rPr>
        <w:t xml:space="preserve">enabled a successful reorientation of health </w:t>
      </w:r>
      <w:r>
        <w:rPr>
          <w:bCs/>
          <w:color w:val="000000"/>
        </w:rPr>
        <w:t>care policies, as well as enhanced</w:t>
      </w:r>
      <w:r w:rsidRPr="00E61E1E">
        <w:rPr>
          <w:bCs/>
          <w:color w:val="000000"/>
        </w:rPr>
        <w:t xml:space="preserve"> management capacity at the </w:t>
      </w:r>
      <w:r>
        <w:rPr>
          <w:bCs/>
          <w:color w:val="000000"/>
        </w:rPr>
        <w:t>n</w:t>
      </w:r>
      <w:r w:rsidRPr="00E61E1E">
        <w:rPr>
          <w:bCs/>
          <w:color w:val="000000"/>
        </w:rPr>
        <w:t xml:space="preserve">ational and </w:t>
      </w:r>
      <w:r>
        <w:rPr>
          <w:bCs/>
          <w:color w:val="000000"/>
        </w:rPr>
        <w:t>p</w:t>
      </w:r>
      <w:r w:rsidRPr="00E61E1E">
        <w:rPr>
          <w:bCs/>
          <w:color w:val="000000"/>
        </w:rPr>
        <w:t>rovincial level.</w:t>
      </w:r>
      <w:r>
        <w:rPr>
          <w:bCs/>
          <w:color w:val="000000"/>
        </w:rPr>
        <w:t xml:space="preserve"> The framework allowed the Federal Government to influence subnational policy while building up skills of provincial counterparts. </w:t>
      </w:r>
      <w:r w:rsidRPr="00570A41">
        <w:t>In</w:t>
      </w:r>
      <w:r>
        <w:t xml:space="preserve">cremental financing incentives, even if they are small can be very powerful. Financing incentives as a </w:t>
      </w:r>
      <w:r w:rsidR="00AD72F0">
        <w:t>startup</w:t>
      </w:r>
      <w:r>
        <w:t xml:space="preserve"> measure have proven to contribute to the willingness to comply.</w:t>
      </w:r>
      <w:r w:rsidRPr="00570A41">
        <w:t xml:space="preserve"> </w:t>
      </w:r>
      <w:r w:rsidRPr="00E066D4">
        <w:rPr>
          <w:bCs/>
          <w:color w:val="000000"/>
        </w:rPr>
        <w:t>On the other hand, the excessive costs involved with continuous audits raise the need to explore alternative auditing mechanisms.</w:t>
      </w:r>
    </w:p>
    <w:p w:rsidR="00323874" w:rsidRDefault="00323874" w:rsidP="00323874">
      <w:pPr>
        <w:pStyle w:val="ListParagraph"/>
        <w:rPr>
          <w:bCs/>
          <w:color w:val="000000"/>
        </w:rPr>
      </w:pPr>
    </w:p>
    <w:p w:rsidR="00323874" w:rsidRPr="002A16B0" w:rsidRDefault="00323874" w:rsidP="00323874">
      <w:pPr>
        <w:pStyle w:val="HTMLPreformatted"/>
        <w:numPr>
          <w:ilvl w:val="0"/>
          <w:numId w:val="1"/>
        </w:numPr>
        <w:autoSpaceDE w:val="0"/>
        <w:autoSpaceDN w:val="0"/>
        <w:adjustRightInd w:val="0"/>
        <w:ind w:left="0" w:firstLine="0"/>
        <w:jc w:val="both"/>
        <w:rPr>
          <w:rFonts w:cs="Times New Roman"/>
          <w:bCs/>
          <w:color w:val="000000"/>
          <w:szCs w:val="24"/>
        </w:rPr>
      </w:pPr>
      <w:r w:rsidRPr="00CC0B45">
        <w:rPr>
          <w:rFonts w:cs="Times New Roman"/>
          <w:b/>
          <w:szCs w:val="24"/>
        </w:rPr>
        <w:t xml:space="preserve">The </w:t>
      </w:r>
      <w:r>
        <w:rPr>
          <w:rFonts w:cs="Times New Roman"/>
          <w:b/>
          <w:szCs w:val="24"/>
        </w:rPr>
        <w:t xml:space="preserve">World Bank should re-evaluate the objective of the emergency recovery loan instrument and its consistency with other fiduciary policies. </w:t>
      </w:r>
      <w:r w:rsidRPr="007070CF">
        <w:rPr>
          <w:bCs/>
        </w:rPr>
        <w:t xml:space="preserve">Even though OP/BP 8.0 operational guiding principles have been developed bearing in mind the need </w:t>
      </w:r>
      <w:r>
        <w:rPr>
          <w:bCs/>
        </w:rPr>
        <w:t>for a fast response</w:t>
      </w:r>
      <w:r w:rsidR="00B15F45">
        <w:rPr>
          <w:bCs/>
        </w:rPr>
        <w:t>,</w:t>
      </w:r>
      <w:r w:rsidRPr="007070CF">
        <w:rPr>
          <w:bCs/>
        </w:rPr>
        <w:t xml:space="preserve"> simplicity and flexibility in emergency situations, the policy is not fully aligned with other fiduciary policies and guidelines, such as procurement. Therefore, policies may benefit from reassessment in terms of their compatibility; and task teams will benefit from more explicit guidance on the application of emergency policies, especially when dealing with health emergencies</w:t>
      </w:r>
      <w:r>
        <w:rPr>
          <w:bCs/>
        </w:rPr>
        <w:t xml:space="preserve">. </w:t>
      </w:r>
      <w:r>
        <w:rPr>
          <w:rFonts w:cs="Times New Roman"/>
          <w:szCs w:val="24"/>
        </w:rPr>
        <w:t>A previously streamlined or pre-approved set of guidelines for emergency situations or less rigid procurement rules for emergency situations could help borrowers and World Bank staff obtain a better notion about World Bank retroactive financing options.</w:t>
      </w:r>
      <w:r w:rsidRPr="007070CF">
        <w:rPr>
          <w:bCs/>
        </w:rPr>
        <w:t xml:space="preserve"> </w:t>
      </w:r>
    </w:p>
    <w:p w:rsidR="00C67D43" w:rsidRPr="00816C1F" w:rsidRDefault="00C67D43" w:rsidP="003262E3">
      <w:pPr>
        <w:pStyle w:val="Heading2"/>
        <w:jc w:val="both"/>
        <w:rPr>
          <w:sz w:val="24"/>
          <w:szCs w:val="24"/>
        </w:rPr>
      </w:pPr>
      <w:bookmarkStart w:id="171" w:name="_IL12"/>
      <w:bookmarkStart w:id="172" w:name="_Toc158019376"/>
      <w:bookmarkStart w:id="173" w:name="_Toc384896516"/>
      <w:r w:rsidRPr="00816C1F">
        <w:rPr>
          <w:sz w:val="24"/>
          <w:szCs w:val="24"/>
        </w:rPr>
        <w:t xml:space="preserve">7. </w:t>
      </w:r>
      <w:bookmarkStart w:id="174" w:name="SECT_7_RE_LBL"/>
      <w:r w:rsidRPr="00816C1F">
        <w:rPr>
          <w:sz w:val="24"/>
          <w:szCs w:val="24"/>
        </w:rPr>
        <w:t>Comments on Issues Raised by Borrower/Implementing Agencies/Partners</w:t>
      </w:r>
      <w:bookmarkEnd w:id="171"/>
      <w:bookmarkEnd w:id="172"/>
      <w:bookmarkEnd w:id="173"/>
      <w:bookmarkEnd w:id="174"/>
      <w:r w:rsidRPr="00816C1F">
        <w:rPr>
          <w:sz w:val="24"/>
          <w:szCs w:val="24"/>
        </w:rPr>
        <w:t xml:space="preserve"> </w:t>
      </w:r>
    </w:p>
    <w:p w:rsidR="00063612" w:rsidRDefault="00063612" w:rsidP="003262E3">
      <w:pPr>
        <w:spacing w:line="200" w:lineRule="atLeast"/>
        <w:jc w:val="both"/>
        <w:rPr>
          <w:rStyle w:val="Strong"/>
          <w:color w:val="000000"/>
        </w:rPr>
      </w:pPr>
    </w:p>
    <w:p w:rsidR="00C67D43" w:rsidRPr="00D86A28" w:rsidRDefault="00C67D43" w:rsidP="00D86A28">
      <w:pPr>
        <w:pStyle w:val="ListParagraph"/>
        <w:numPr>
          <w:ilvl w:val="0"/>
          <w:numId w:val="15"/>
        </w:numPr>
        <w:spacing w:line="200" w:lineRule="atLeast"/>
        <w:jc w:val="both"/>
        <w:rPr>
          <w:rStyle w:val="Strong"/>
          <w:color w:val="000000"/>
        </w:rPr>
      </w:pPr>
      <w:bookmarkStart w:id="175" w:name="SECT_7a_RE_LBL"/>
      <w:r w:rsidRPr="00D86A28">
        <w:rPr>
          <w:rStyle w:val="Strong"/>
          <w:color w:val="000000"/>
        </w:rPr>
        <w:t>Borrower/implementing agencies</w:t>
      </w:r>
      <w:bookmarkEnd w:id="175"/>
    </w:p>
    <w:p w:rsidR="00D86A28" w:rsidRPr="00D86A28" w:rsidRDefault="00D86A28" w:rsidP="00D86A28">
      <w:pPr>
        <w:pStyle w:val="ListParagraph"/>
        <w:spacing w:line="200" w:lineRule="atLeast"/>
        <w:jc w:val="both"/>
        <w:rPr>
          <w:color w:val="000000"/>
        </w:rPr>
      </w:pPr>
    </w:p>
    <w:p w:rsidR="00063612" w:rsidRDefault="00C67D43" w:rsidP="00D86A28">
      <w:pPr>
        <w:pStyle w:val="ListParagraph"/>
        <w:numPr>
          <w:ilvl w:val="0"/>
          <w:numId w:val="15"/>
        </w:numPr>
        <w:spacing w:line="200" w:lineRule="atLeast"/>
        <w:jc w:val="both"/>
      </w:pPr>
      <w:bookmarkStart w:id="176" w:name="SEC12A"/>
      <w:bookmarkStart w:id="177" w:name="SECT_7b_RE_LBL"/>
      <w:bookmarkEnd w:id="176"/>
      <w:r w:rsidRPr="00D86A28">
        <w:rPr>
          <w:rStyle w:val="Strong"/>
          <w:color w:val="000000"/>
        </w:rPr>
        <w:t>Cofinanciers</w:t>
      </w:r>
      <w:bookmarkEnd w:id="177"/>
      <w:r w:rsidR="00063612" w:rsidRPr="00D86A28">
        <w:rPr>
          <w:rStyle w:val="Strong"/>
          <w:color w:val="000000"/>
        </w:rPr>
        <w:t xml:space="preserve"> </w:t>
      </w:r>
      <w:bookmarkStart w:id="178" w:name="SEC12B"/>
      <w:bookmarkEnd w:id="178"/>
      <w:r w:rsidR="00973FCF" w:rsidRPr="00816C1F">
        <w:t>N/A</w:t>
      </w:r>
    </w:p>
    <w:p w:rsidR="00D86A28" w:rsidRDefault="00D86A28" w:rsidP="00D86A28">
      <w:pPr>
        <w:pStyle w:val="ListParagraph"/>
      </w:pPr>
    </w:p>
    <w:p w:rsidR="00C67D43" w:rsidRPr="00816C1F" w:rsidRDefault="00C67D43" w:rsidP="00D86A28">
      <w:pPr>
        <w:spacing w:line="200" w:lineRule="atLeast"/>
        <w:ind w:left="360"/>
        <w:jc w:val="both"/>
      </w:pPr>
      <w:r w:rsidRPr="00816C1F">
        <w:rPr>
          <w:rStyle w:val="Strong"/>
          <w:color w:val="000000"/>
        </w:rPr>
        <w:t>(c) Other partners and stakeholders</w:t>
      </w:r>
      <w:r w:rsidRPr="00816C1F">
        <w:rPr>
          <w:color w:val="000000"/>
        </w:rPr>
        <w:t xml:space="preserve"> </w:t>
      </w:r>
      <w:bookmarkStart w:id="179" w:name="SEC12C"/>
      <w:bookmarkEnd w:id="179"/>
      <w:r w:rsidR="00973FCF" w:rsidRPr="00816C1F">
        <w:t>N/A</w:t>
      </w:r>
    </w:p>
    <w:p w:rsidR="0072795A" w:rsidRPr="00063612" w:rsidRDefault="00E03DE1" w:rsidP="00063612">
      <w:pPr>
        <w:pStyle w:val="Heading2"/>
        <w:jc w:val="center"/>
        <w:rPr>
          <w:sz w:val="26"/>
          <w:szCs w:val="26"/>
        </w:rPr>
      </w:pPr>
      <w:r w:rsidRPr="00816C1F">
        <w:rPr>
          <w:sz w:val="24"/>
          <w:szCs w:val="24"/>
        </w:rPr>
        <w:br w:type="page"/>
      </w:r>
      <w:bookmarkStart w:id="180" w:name="_IL15"/>
      <w:bookmarkStart w:id="181" w:name="_Toc158019377"/>
      <w:bookmarkStart w:id="182" w:name="_Toc384896517"/>
      <w:r w:rsidR="0072795A" w:rsidRPr="00063612">
        <w:rPr>
          <w:sz w:val="26"/>
          <w:szCs w:val="26"/>
        </w:rPr>
        <w:lastRenderedPageBreak/>
        <w:t xml:space="preserve">Annex 1. </w:t>
      </w:r>
      <w:r w:rsidR="00F85DAD" w:rsidRPr="00063612">
        <w:rPr>
          <w:sz w:val="26"/>
          <w:szCs w:val="26"/>
        </w:rPr>
        <w:t>Project</w:t>
      </w:r>
      <w:r w:rsidR="0072795A" w:rsidRPr="00063612">
        <w:rPr>
          <w:sz w:val="26"/>
          <w:szCs w:val="26"/>
        </w:rPr>
        <w:t xml:space="preserve"> Costs and Financing</w:t>
      </w:r>
      <w:bookmarkEnd w:id="180"/>
      <w:bookmarkEnd w:id="181"/>
      <w:bookmarkEnd w:id="182"/>
    </w:p>
    <w:p w:rsidR="0072795A" w:rsidRPr="00816C1F" w:rsidRDefault="0072795A" w:rsidP="00063612">
      <w:pPr>
        <w:pStyle w:val="Heading3"/>
        <w:rPr>
          <w:sz w:val="24"/>
          <w:szCs w:val="24"/>
        </w:rPr>
      </w:pPr>
      <w:r w:rsidRPr="00816C1F">
        <w:rPr>
          <w:sz w:val="24"/>
          <w:szCs w:val="24"/>
        </w:rPr>
        <w:t xml:space="preserve">(a) </w:t>
      </w:r>
      <w:r w:rsidR="00F85DAD" w:rsidRPr="00816C1F">
        <w:rPr>
          <w:sz w:val="24"/>
          <w:szCs w:val="24"/>
        </w:rPr>
        <w:t>Project</w:t>
      </w:r>
      <w:r w:rsidRPr="00816C1F">
        <w:rPr>
          <w:sz w:val="24"/>
          <w:szCs w:val="24"/>
        </w:rPr>
        <w:t xml:space="preserve"> Cost by Component (in USD Million equivalent)</w:t>
      </w:r>
    </w:p>
    <w:p w:rsidR="0072795A" w:rsidRPr="00816C1F" w:rsidRDefault="0072795A" w:rsidP="003262E3">
      <w:pPr>
        <w:jc w:val="both"/>
        <w:rPr>
          <w:vanish/>
        </w:rPr>
      </w:pPr>
    </w:p>
    <w:tbl>
      <w:tblPr>
        <w:tblW w:w="5000" w:type="pct"/>
        <w:jc w:val="center"/>
        <w:tblLayout w:type="fixed"/>
        <w:tblCellMar>
          <w:top w:w="10" w:type="dxa"/>
          <w:left w:w="10" w:type="dxa"/>
          <w:bottom w:w="10" w:type="dxa"/>
          <w:right w:w="10" w:type="dxa"/>
        </w:tblCellMar>
        <w:tblLook w:val="0000" w:firstRow="0" w:lastRow="0" w:firstColumn="0" w:lastColumn="0" w:noHBand="0" w:noVBand="0"/>
      </w:tblPr>
      <w:tblGrid>
        <w:gridCol w:w="3610"/>
        <w:gridCol w:w="1710"/>
        <w:gridCol w:w="1710"/>
        <w:gridCol w:w="1630"/>
      </w:tblGrid>
      <w:tr w:rsidR="0072795A" w:rsidRPr="00816C1F" w:rsidTr="00CB57A8">
        <w:trPr>
          <w:jc w:val="center"/>
        </w:trPr>
        <w:tc>
          <w:tcPr>
            <w:tcW w:w="361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72795A" w:rsidRPr="00816C1F" w:rsidRDefault="0072795A" w:rsidP="00CB57A8">
            <w:pPr>
              <w:jc w:val="center"/>
              <w:rPr>
                <w:b/>
                <w:bCs/>
                <w:color w:val="606060"/>
              </w:rPr>
            </w:pPr>
            <w:r w:rsidRPr="00816C1F">
              <w:rPr>
                <w:b/>
                <w:bCs/>
                <w:color w:val="606060"/>
              </w:rPr>
              <w:t>Components</w:t>
            </w:r>
          </w:p>
        </w:tc>
        <w:tc>
          <w:tcPr>
            <w:tcW w:w="171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72795A" w:rsidRPr="00816C1F" w:rsidRDefault="0072795A" w:rsidP="00CB57A8">
            <w:pPr>
              <w:jc w:val="center"/>
              <w:rPr>
                <w:b/>
                <w:bCs/>
                <w:color w:val="606060"/>
              </w:rPr>
            </w:pPr>
            <w:r w:rsidRPr="00816C1F">
              <w:rPr>
                <w:b/>
                <w:bCs/>
                <w:color w:val="606060"/>
              </w:rPr>
              <w:t xml:space="preserve">Appraisal Estimate (USD </w:t>
            </w:r>
            <w:r w:rsidR="000411CD" w:rsidRPr="00816C1F">
              <w:rPr>
                <w:b/>
                <w:bCs/>
                <w:color w:val="606060"/>
              </w:rPr>
              <w:t>millions</w:t>
            </w:r>
            <w:r w:rsidRPr="00816C1F">
              <w:rPr>
                <w:b/>
                <w:bCs/>
                <w:color w:val="606060"/>
              </w:rPr>
              <w:t>)</w:t>
            </w:r>
          </w:p>
        </w:tc>
        <w:tc>
          <w:tcPr>
            <w:tcW w:w="171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72795A" w:rsidRPr="00816C1F" w:rsidRDefault="0072795A" w:rsidP="00CB57A8">
            <w:pPr>
              <w:jc w:val="center"/>
              <w:rPr>
                <w:b/>
                <w:bCs/>
                <w:color w:val="606060"/>
              </w:rPr>
            </w:pPr>
            <w:r w:rsidRPr="00816C1F">
              <w:rPr>
                <w:b/>
                <w:bCs/>
                <w:color w:val="606060"/>
              </w:rPr>
              <w:t xml:space="preserve">Actual/Latest Estimate (USD </w:t>
            </w:r>
            <w:r w:rsidR="000411CD" w:rsidRPr="00816C1F">
              <w:rPr>
                <w:b/>
                <w:bCs/>
                <w:color w:val="606060"/>
              </w:rPr>
              <w:t>millions</w:t>
            </w:r>
            <w:r w:rsidRPr="00816C1F">
              <w:rPr>
                <w:b/>
                <w:bCs/>
                <w:color w:val="606060"/>
              </w:rPr>
              <w:t>)</w:t>
            </w:r>
          </w:p>
        </w:tc>
        <w:tc>
          <w:tcPr>
            <w:tcW w:w="163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72795A" w:rsidRPr="00816C1F" w:rsidRDefault="0072795A" w:rsidP="00CB57A8">
            <w:pPr>
              <w:jc w:val="center"/>
              <w:rPr>
                <w:b/>
                <w:bCs/>
                <w:color w:val="606060"/>
              </w:rPr>
            </w:pPr>
            <w:r w:rsidRPr="00816C1F">
              <w:rPr>
                <w:b/>
                <w:bCs/>
                <w:color w:val="606060"/>
              </w:rPr>
              <w:t>Percentage of Appraisal</w:t>
            </w:r>
          </w:p>
        </w:tc>
      </w:tr>
      <w:tr w:rsidR="00E24936" w:rsidRPr="00816C1F" w:rsidTr="00063612">
        <w:trPr>
          <w:jc w:val="center"/>
        </w:trPr>
        <w:tc>
          <w:tcPr>
            <w:tcW w:w="3610" w:type="dxa"/>
            <w:tcBorders>
              <w:left w:val="single" w:sz="4" w:space="0" w:color="B1B1B1"/>
              <w:bottom w:val="single" w:sz="4" w:space="0" w:color="B1B1B1"/>
              <w:right w:val="single" w:sz="4" w:space="0" w:color="B1B1B1"/>
            </w:tcBorders>
            <w:vAlign w:val="center"/>
          </w:tcPr>
          <w:p w:rsidR="00E24936" w:rsidRPr="00816C1F" w:rsidRDefault="00696F11" w:rsidP="009D112E">
            <w:pPr>
              <w:spacing w:line="200" w:lineRule="atLeast"/>
              <w:rPr>
                <w:rStyle w:val="Strong"/>
                <w:color w:val="000000"/>
                <w:sz w:val="22"/>
                <w:szCs w:val="22"/>
              </w:rPr>
            </w:pPr>
            <w:bookmarkStart w:id="183" w:name="COMP"/>
            <w:bookmarkEnd w:id="183"/>
            <w:r w:rsidRPr="00816C1F">
              <w:rPr>
                <w:color w:val="000000"/>
                <w:sz w:val="22"/>
                <w:szCs w:val="22"/>
              </w:rPr>
              <w:t xml:space="preserve">Component 1:Strengthening </w:t>
            </w:r>
            <w:r w:rsidR="009D112E">
              <w:rPr>
                <w:color w:val="000000"/>
                <w:sz w:val="22"/>
                <w:szCs w:val="22"/>
              </w:rPr>
              <w:t>of the capacity of the Argentine Epidemiological health system for surveillance and influenza case-finding</w:t>
            </w:r>
          </w:p>
        </w:tc>
        <w:tc>
          <w:tcPr>
            <w:tcW w:w="1710" w:type="dxa"/>
            <w:tcBorders>
              <w:left w:val="single" w:sz="4" w:space="0" w:color="B1B1B1"/>
              <w:bottom w:val="single" w:sz="4" w:space="0" w:color="B1B1B1"/>
              <w:right w:val="single" w:sz="4" w:space="0" w:color="B1B1B1"/>
            </w:tcBorders>
            <w:shd w:val="clear" w:color="auto" w:fill="auto"/>
            <w:vAlign w:val="center"/>
          </w:tcPr>
          <w:p w:rsidR="00E24936" w:rsidRPr="00816C1F" w:rsidRDefault="00B87D02" w:rsidP="000813D9">
            <w:pPr>
              <w:tabs>
                <w:tab w:val="decimal" w:pos="1078"/>
              </w:tabs>
              <w:spacing w:line="200" w:lineRule="atLeast"/>
              <w:rPr>
                <w:color w:val="000000"/>
              </w:rPr>
            </w:pPr>
            <w:r>
              <w:rPr>
                <w:color w:val="000000"/>
              </w:rPr>
              <w:t>9</w:t>
            </w:r>
            <w:r w:rsidR="001B0DB1">
              <w:rPr>
                <w:color w:val="000000"/>
              </w:rPr>
              <w:t>.0</w:t>
            </w:r>
          </w:p>
        </w:tc>
        <w:tc>
          <w:tcPr>
            <w:tcW w:w="1710" w:type="dxa"/>
            <w:tcBorders>
              <w:left w:val="single" w:sz="4" w:space="0" w:color="B1B1B1"/>
              <w:bottom w:val="single" w:sz="4" w:space="0" w:color="B1B1B1"/>
              <w:right w:val="single" w:sz="4" w:space="0" w:color="B1B1B1"/>
            </w:tcBorders>
            <w:shd w:val="clear" w:color="auto" w:fill="auto"/>
            <w:vAlign w:val="center"/>
          </w:tcPr>
          <w:p w:rsidR="00E24936" w:rsidRPr="00816C1F" w:rsidRDefault="00B87D02" w:rsidP="000813D9">
            <w:pPr>
              <w:tabs>
                <w:tab w:val="decimal" w:pos="1091"/>
              </w:tabs>
              <w:spacing w:line="200" w:lineRule="atLeast"/>
              <w:rPr>
                <w:color w:val="000000"/>
              </w:rPr>
            </w:pPr>
            <w:r>
              <w:rPr>
                <w:color w:val="000000"/>
              </w:rPr>
              <w:t>11</w:t>
            </w:r>
            <w:r w:rsidR="001B0DB1">
              <w:rPr>
                <w:color w:val="000000"/>
              </w:rPr>
              <w:t>.4</w:t>
            </w:r>
          </w:p>
        </w:tc>
        <w:tc>
          <w:tcPr>
            <w:tcW w:w="1630" w:type="dxa"/>
            <w:tcBorders>
              <w:left w:val="single" w:sz="4" w:space="0" w:color="B1B1B1"/>
              <w:bottom w:val="single" w:sz="4" w:space="0" w:color="B1B1B1"/>
              <w:right w:val="single" w:sz="4" w:space="0" w:color="B1B1B1"/>
            </w:tcBorders>
            <w:shd w:val="clear" w:color="auto" w:fill="auto"/>
            <w:vAlign w:val="center"/>
          </w:tcPr>
          <w:p w:rsidR="00E24936" w:rsidRPr="00816C1F" w:rsidRDefault="001B0DB1" w:rsidP="000813D9">
            <w:pPr>
              <w:spacing w:line="200" w:lineRule="atLeast"/>
              <w:jc w:val="center"/>
              <w:rPr>
                <w:color w:val="000000"/>
              </w:rPr>
            </w:pPr>
            <w:r>
              <w:rPr>
                <w:color w:val="000000"/>
              </w:rPr>
              <w:t>126.6</w:t>
            </w:r>
          </w:p>
        </w:tc>
      </w:tr>
      <w:tr w:rsidR="00E24936" w:rsidRPr="00816C1F" w:rsidTr="00063612">
        <w:trPr>
          <w:jc w:val="center"/>
        </w:trPr>
        <w:tc>
          <w:tcPr>
            <w:tcW w:w="3610" w:type="dxa"/>
            <w:tcBorders>
              <w:left w:val="single" w:sz="4" w:space="0" w:color="B1B1B1"/>
              <w:bottom w:val="single" w:sz="4" w:space="0" w:color="B1B1B1"/>
              <w:right w:val="single" w:sz="4" w:space="0" w:color="B1B1B1"/>
            </w:tcBorders>
            <w:vAlign w:val="center"/>
          </w:tcPr>
          <w:p w:rsidR="00E24936" w:rsidRPr="00816C1F" w:rsidRDefault="00696F11" w:rsidP="009D112E">
            <w:pPr>
              <w:spacing w:line="200" w:lineRule="atLeast"/>
              <w:rPr>
                <w:rStyle w:val="Strong"/>
                <w:color w:val="000000"/>
                <w:sz w:val="22"/>
                <w:szCs w:val="22"/>
              </w:rPr>
            </w:pPr>
            <w:r w:rsidRPr="00816C1F">
              <w:rPr>
                <w:color w:val="000000"/>
                <w:sz w:val="22"/>
                <w:szCs w:val="22"/>
              </w:rPr>
              <w:t xml:space="preserve">Component 2: </w:t>
            </w:r>
            <w:r w:rsidR="009D112E">
              <w:rPr>
                <w:color w:val="000000"/>
                <w:sz w:val="22"/>
                <w:szCs w:val="22"/>
              </w:rPr>
              <w:t>Strengthening the Response Capacity of the Argentine health system</w:t>
            </w:r>
          </w:p>
        </w:tc>
        <w:tc>
          <w:tcPr>
            <w:tcW w:w="1710" w:type="dxa"/>
            <w:tcBorders>
              <w:left w:val="single" w:sz="4" w:space="0" w:color="B1B1B1"/>
              <w:bottom w:val="single" w:sz="4" w:space="0" w:color="B1B1B1"/>
              <w:right w:val="single" w:sz="4" w:space="0" w:color="B1B1B1"/>
            </w:tcBorders>
            <w:shd w:val="clear" w:color="auto" w:fill="auto"/>
            <w:vAlign w:val="center"/>
          </w:tcPr>
          <w:p w:rsidR="00E24936" w:rsidRPr="00816C1F" w:rsidRDefault="00B87D02" w:rsidP="000813D9">
            <w:pPr>
              <w:tabs>
                <w:tab w:val="decimal" w:pos="1078"/>
              </w:tabs>
              <w:spacing w:line="200" w:lineRule="atLeast"/>
              <w:rPr>
                <w:color w:val="000000"/>
              </w:rPr>
            </w:pPr>
            <w:r>
              <w:rPr>
                <w:color w:val="000000"/>
              </w:rPr>
              <w:t>217</w:t>
            </w:r>
            <w:r w:rsidR="001B0DB1">
              <w:rPr>
                <w:color w:val="000000"/>
              </w:rPr>
              <w:t>.5</w:t>
            </w:r>
          </w:p>
        </w:tc>
        <w:tc>
          <w:tcPr>
            <w:tcW w:w="1710" w:type="dxa"/>
            <w:tcBorders>
              <w:left w:val="single" w:sz="4" w:space="0" w:color="B1B1B1"/>
              <w:bottom w:val="single" w:sz="4" w:space="0" w:color="B1B1B1"/>
              <w:right w:val="single" w:sz="4" w:space="0" w:color="B1B1B1"/>
            </w:tcBorders>
            <w:shd w:val="clear" w:color="auto" w:fill="auto"/>
            <w:vAlign w:val="center"/>
          </w:tcPr>
          <w:p w:rsidR="00E24936" w:rsidRPr="00816C1F" w:rsidRDefault="00B87D02" w:rsidP="000813D9">
            <w:pPr>
              <w:tabs>
                <w:tab w:val="decimal" w:pos="1091"/>
              </w:tabs>
              <w:spacing w:line="200" w:lineRule="atLeast"/>
              <w:rPr>
                <w:color w:val="000000"/>
              </w:rPr>
            </w:pPr>
            <w:r>
              <w:rPr>
                <w:color w:val="000000"/>
              </w:rPr>
              <w:t>127</w:t>
            </w:r>
            <w:r w:rsidR="001B0DB1">
              <w:rPr>
                <w:color w:val="000000"/>
              </w:rPr>
              <w:t>.5</w:t>
            </w:r>
          </w:p>
        </w:tc>
        <w:tc>
          <w:tcPr>
            <w:tcW w:w="1630" w:type="dxa"/>
            <w:tcBorders>
              <w:left w:val="single" w:sz="4" w:space="0" w:color="B1B1B1"/>
              <w:bottom w:val="single" w:sz="4" w:space="0" w:color="B1B1B1"/>
              <w:right w:val="single" w:sz="4" w:space="0" w:color="B1B1B1"/>
            </w:tcBorders>
            <w:shd w:val="clear" w:color="auto" w:fill="auto"/>
            <w:vAlign w:val="center"/>
          </w:tcPr>
          <w:p w:rsidR="00E24936" w:rsidRPr="00816C1F" w:rsidRDefault="001B0DB1" w:rsidP="000813D9">
            <w:pPr>
              <w:spacing w:line="200" w:lineRule="atLeast"/>
              <w:jc w:val="center"/>
              <w:rPr>
                <w:color w:val="000000"/>
              </w:rPr>
            </w:pPr>
            <w:r>
              <w:rPr>
                <w:color w:val="000000"/>
              </w:rPr>
              <w:t>58.6</w:t>
            </w:r>
          </w:p>
        </w:tc>
      </w:tr>
      <w:tr w:rsidR="00E24936" w:rsidRPr="00816C1F" w:rsidTr="00063612">
        <w:trPr>
          <w:jc w:val="center"/>
        </w:trPr>
        <w:tc>
          <w:tcPr>
            <w:tcW w:w="3610" w:type="dxa"/>
            <w:tcBorders>
              <w:left w:val="single" w:sz="4" w:space="0" w:color="B1B1B1"/>
              <w:bottom w:val="single" w:sz="4" w:space="0" w:color="B1B1B1"/>
              <w:right w:val="single" w:sz="4" w:space="0" w:color="B1B1B1"/>
            </w:tcBorders>
            <w:vAlign w:val="center"/>
          </w:tcPr>
          <w:p w:rsidR="00E24936" w:rsidRPr="00816C1F" w:rsidRDefault="00696F11" w:rsidP="009D112E">
            <w:pPr>
              <w:spacing w:line="200" w:lineRule="atLeast"/>
              <w:rPr>
                <w:rStyle w:val="Strong"/>
                <w:color w:val="000000"/>
                <w:sz w:val="22"/>
                <w:szCs w:val="22"/>
              </w:rPr>
            </w:pPr>
            <w:r w:rsidRPr="00816C1F">
              <w:rPr>
                <w:color w:val="000000"/>
                <w:sz w:val="22"/>
                <w:szCs w:val="22"/>
              </w:rPr>
              <w:t>Component 3</w:t>
            </w:r>
            <w:r w:rsidR="009D112E">
              <w:rPr>
                <w:color w:val="000000"/>
                <w:sz w:val="22"/>
                <w:szCs w:val="22"/>
              </w:rPr>
              <w:t>: Project Management and Monitoring and Technical Audit of Components 1 and 2</w:t>
            </w:r>
          </w:p>
        </w:tc>
        <w:tc>
          <w:tcPr>
            <w:tcW w:w="1710" w:type="dxa"/>
            <w:tcBorders>
              <w:left w:val="single" w:sz="4" w:space="0" w:color="B1B1B1"/>
              <w:bottom w:val="single" w:sz="4" w:space="0" w:color="B1B1B1"/>
              <w:right w:val="single" w:sz="4" w:space="0" w:color="B1B1B1"/>
            </w:tcBorders>
            <w:shd w:val="clear" w:color="auto" w:fill="auto"/>
            <w:vAlign w:val="center"/>
          </w:tcPr>
          <w:p w:rsidR="00E24936" w:rsidRPr="00816C1F" w:rsidRDefault="00B87D02" w:rsidP="000813D9">
            <w:pPr>
              <w:tabs>
                <w:tab w:val="decimal" w:pos="1078"/>
              </w:tabs>
              <w:spacing w:line="200" w:lineRule="atLeast"/>
              <w:rPr>
                <w:color w:val="000000"/>
              </w:rPr>
            </w:pPr>
            <w:r>
              <w:rPr>
                <w:color w:val="000000"/>
              </w:rPr>
              <w:t>2</w:t>
            </w:r>
            <w:r w:rsidR="001B0DB1">
              <w:rPr>
                <w:color w:val="000000"/>
              </w:rPr>
              <w:t>.0</w:t>
            </w:r>
          </w:p>
        </w:tc>
        <w:tc>
          <w:tcPr>
            <w:tcW w:w="1710" w:type="dxa"/>
            <w:tcBorders>
              <w:left w:val="single" w:sz="4" w:space="0" w:color="B1B1B1"/>
              <w:bottom w:val="single" w:sz="4" w:space="0" w:color="B1B1B1"/>
              <w:right w:val="single" w:sz="4" w:space="0" w:color="B1B1B1"/>
            </w:tcBorders>
            <w:shd w:val="clear" w:color="auto" w:fill="auto"/>
            <w:vAlign w:val="center"/>
          </w:tcPr>
          <w:p w:rsidR="00E24936" w:rsidRPr="00816C1F" w:rsidRDefault="00B87D02" w:rsidP="000813D9">
            <w:pPr>
              <w:tabs>
                <w:tab w:val="decimal" w:pos="1091"/>
              </w:tabs>
              <w:spacing w:line="200" w:lineRule="atLeast"/>
              <w:rPr>
                <w:color w:val="000000"/>
              </w:rPr>
            </w:pPr>
            <w:r>
              <w:rPr>
                <w:color w:val="000000"/>
              </w:rPr>
              <w:t>1</w:t>
            </w:r>
            <w:r w:rsidR="001B0DB1">
              <w:rPr>
                <w:color w:val="000000"/>
              </w:rPr>
              <w:t>.6</w:t>
            </w:r>
          </w:p>
        </w:tc>
        <w:tc>
          <w:tcPr>
            <w:tcW w:w="1630" w:type="dxa"/>
            <w:tcBorders>
              <w:left w:val="single" w:sz="4" w:space="0" w:color="B1B1B1"/>
              <w:bottom w:val="single" w:sz="4" w:space="0" w:color="B1B1B1"/>
              <w:right w:val="single" w:sz="4" w:space="0" w:color="B1B1B1"/>
            </w:tcBorders>
            <w:shd w:val="clear" w:color="auto" w:fill="auto"/>
            <w:vAlign w:val="center"/>
          </w:tcPr>
          <w:p w:rsidR="00E24936" w:rsidRPr="00816C1F" w:rsidRDefault="001B0DB1" w:rsidP="000813D9">
            <w:pPr>
              <w:spacing w:line="200" w:lineRule="atLeast"/>
              <w:jc w:val="center"/>
              <w:rPr>
                <w:color w:val="000000"/>
              </w:rPr>
            </w:pPr>
            <w:r>
              <w:rPr>
                <w:color w:val="000000"/>
              </w:rPr>
              <w:t>80</w:t>
            </w:r>
          </w:p>
        </w:tc>
      </w:tr>
      <w:tr w:rsidR="0072795A" w:rsidRPr="00816C1F" w:rsidTr="00063612">
        <w:trPr>
          <w:jc w:val="center"/>
        </w:trPr>
        <w:tc>
          <w:tcPr>
            <w:tcW w:w="3610" w:type="dxa"/>
            <w:tcBorders>
              <w:left w:val="single" w:sz="4" w:space="0" w:color="B1B1B1"/>
              <w:bottom w:val="single" w:sz="4" w:space="0" w:color="B1B1B1"/>
              <w:right w:val="single" w:sz="4" w:space="0" w:color="B1B1B1"/>
            </w:tcBorders>
            <w:vAlign w:val="center"/>
          </w:tcPr>
          <w:p w:rsidR="0072795A" w:rsidRPr="00816C1F" w:rsidRDefault="0072795A" w:rsidP="003262E3">
            <w:pPr>
              <w:spacing w:line="200" w:lineRule="atLeast"/>
              <w:rPr>
                <w:color w:val="000000"/>
              </w:rPr>
            </w:pPr>
            <w:r w:rsidRPr="00816C1F">
              <w:rPr>
                <w:rStyle w:val="Strong"/>
                <w:color w:val="000000"/>
              </w:rPr>
              <w:t>Total Baseline Cost  </w:t>
            </w:r>
          </w:p>
        </w:tc>
        <w:tc>
          <w:tcPr>
            <w:tcW w:w="1710" w:type="dxa"/>
            <w:tcBorders>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78"/>
              </w:tabs>
              <w:spacing w:line="200" w:lineRule="atLeast"/>
              <w:rPr>
                <w:color w:val="000000"/>
              </w:rPr>
            </w:pPr>
            <w:r>
              <w:rPr>
                <w:color w:val="000000"/>
              </w:rPr>
              <w:t>228.5</w:t>
            </w:r>
          </w:p>
        </w:tc>
        <w:tc>
          <w:tcPr>
            <w:tcW w:w="1710" w:type="dxa"/>
            <w:tcBorders>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91"/>
              </w:tabs>
              <w:spacing w:line="200" w:lineRule="atLeast"/>
              <w:rPr>
                <w:color w:val="000000"/>
              </w:rPr>
            </w:pPr>
            <w:r>
              <w:rPr>
                <w:color w:val="000000"/>
              </w:rPr>
              <w:t>140.5</w:t>
            </w:r>
          </w:p>
        </w:tc>
        <w:tc>
          <w:tcPr>
            <w:tcW w:w="1630" w:type="dxa"/>
            <w:tcBorders>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spacing w:line="200" w:lineRule="atLeast"/>
              <w:jc w:val="center"/>
              <w:rPr>
                <w:color w:val="000000"/>
              </w:rPr>
            </w:pPr>
            <w:r>
              <w:rPr>
                <w:color w:val="000000"/>
              </w:rPr>
              <w:t>61.5</w:t>
            </w:r>
          </w:p>
        </w:tc>
      </w:tr>
      <w:tr w:rsidR="0072795A" w:rsidRPr="00816C1F" w:rsidTr="00063612">
        <w:trPr>
          <w:jc w:val="center"/>
        </w:trPr>
        <w:tc>
          <w:tcPr>
            <w:tcW w:w="36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8C483C" w:rsidP="003262E3">
            <w:pPr>
              <w:spacing w:line="200" w:lineRule="atLeast"/>
              <w:rPr>
                <w:color w:val="000000"/>
              </w:rPr>
            </w:pPr>
            <w:bookmarkStart w:id="184" w:name="phyapr_fld_lbl"/>
            <w:r w:rsidRPr="00816C1F">
              <w:rPr>
                <w:color w:val="000000"/>
              </w:rPr>
              <w:t>Physical Contingencies</w:t>
            </w:r>
            <w:bookmarkEnd w:id="184"/>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78"/>
              </w:tabs>
              <w:spacing w:line="200" w:lineRule="atLeast"/>
              <w:rPr>
                <w:color w:val="000000"/>
              </w:rPr>
            </w:pPr>
            <w:r>
              <w:rPr>
                <w:color w:val="000000"/>
              </w:rPr>
              <w:t>0</w:t>
            </w: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91"/>
              </w:tabs>
              <w:spacing w:line="200" w:lineRule="atLeast"/>
              <w:rPr>
                <w:color w:val="000000"/>
              </w:rPr>
            </w:pPr>
            <w:r>
              <w:rPr>
                <w:color w:val="000000"/>
              </w:rPr>
              <w:t>0</w:t>
            </w:r>
          </w:p>
        </w:tc>
        <w:tc>
          <w:tcPr>
            <w:tcW w:w="163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72795A" w:rsidP="000813D9">
            <w:pPr>
              <w:spacing w:line="200" w:lineRule="atLeast"/>
              <w:jc w:val="center"/>
              <w:rPr>
                <w:color w:val="000000"/>
              </w:rPr>
            </w:pPr>
          </w:p>
        </w:tc>
      </w:tr>
      <w:tr w:rsidR="0072795A" w:rsidRPr="00816C1F" w:rsidTr="00063612">
        <w:trPr>
          <w:jc w:val="center"/>
        </w:trPr>
        <w:tc>
          <w:tcPr>
            <w:tcW w:w="36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8C483C" w:rsidP="003262E3">
            <w:pPr>
              <w:spacing w:line="200" w:lineRule="atLeast"/>
              <w:rPr>
                <w:color w:val="000000"/>
              </w:rPr>
            </w:pPr>
            <w:bookmarkStart w:id="185" w:name="priapr_fld_lbl"/>
            <w:r w:rsidRPr="00816C1F">
              <w:rPr>
                <w:color w:val="000000"/>
              </w:rPr>
              <w:t>Price Contingencies</w:t>
            </w:r>
            <w:bookmarkEnd w:id="185"/>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78"/>
              </w:tabs>
              <w:spacing w:line="200" w:lineRule="atLeast"/>
              <w:rPr>
                <w:color w:val="000000"/>
              </w:rPr>
            </w:pPr>
            <w:r>
              <w:rPr>
                <w:color w:val="000000"/>
              </w:rPr>
              <w:t>0</w:t>
            </w: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91"/>
              </w:tabs>
              <w:spacing w:line="200" w:lineRule="atLeast"/>
              <w:rPr>
                <w:color w:val="000000"/>
              </w:rPr>
            </w:pPr>
            <w:r>
              <w:rPr>
                <w:color w:val="000000"/>
              </w:rPr>
              <w:t>0</w:t>
            </w:r>
          </w:p>
        </w:tc>
        <w:tc>
          <w:tcPr>
            <w:tcW w:w="163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72795A" w:rsidP="000813D9">
            <w:pPr>
              <w:spacing w:line="200" w:lineRule="atLeast"/>
              <w:jc w:val="center"/>
              <w:rPr>
                <w:color w:val="000000"/>
              </w:rPr>
            </w:pPr>
          </w:p>
        </w:tc>
      </w:tr>
      <w:tr w:rsidR="0072795A" w:rsidRPr="00816C1F" w:rsidTr="00063612">
        <w:trPr>
          <w:jc w:val="center"/>
        </w:trPr>
        <w:tc>
          <w:tcPr>
            <w:tcW w:w="36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72795A" w:rsidP="003262E3">
            <w:pPr>
              <w:spacing w:line="200" w:lineRule="atLeast"/>
              <w:rPr>
                <w:color w:val="000000"/>
              </w:rPr>
            </w:pPr>
            <w:r w:rsidRPr="00816C1F">
              <w:rPr>
                <w:rStyle w:val="Strong"/>
                <w:color w:val="000000"/>
              </w:rPr>
              <w:t xml:space="preserve">Total </w:t>
            </w:r>
            <w:r w:rsidR="00F85DAD" w:rsidRPr="00816C1F">
              <w:rPr>
                <w:rStyle w:val="Strong"/>
                <w:color w:val="000000"/>
              </w:rPr>
              <w:t>Project</w:t>
            </w:r>
            <w:r w:rsidRPr="00816C1F">
              <w:rPr>
                <w:rStyle w:val="Strong"/>
                <w:color w:val="000000"/>
              </w:rPr>
              <w:t xml:space="preserve"> Costs </w:t>
            </w: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78"/>
              </w:tabs>
              <w:spacing w:line="200" w:lineRule="atLeast"/>
              <w:rPr>
                <w:color w:val="000000"/>
              </w:rPr>
            </w:pPr>
            <w:r>
              <w:rPr>
                <w:color w:val="000000"/>
              </w:rPr>
              <w:t>228.5</w:t>
            </w: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91"/>
              </w:tabs>
              <w:spacing w:line="200" w:lineRule="atLeast"/>
              <w:rPr>
                <w:color w:val="000000"/>
              </w:rPr>
            </w:pPr>
            <w:r>
              <w:rPr>
                <w:color w:val="000000"/>
              </w:rPr>
              <w:t>140.5</w:t>
            </w:r>
          </w:p>
        </w:tc>
        <w:tc>
          <w:tcPr>
            <w:tcW w:w="163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spacing w:line="200" w:lineRule="atLeast"/>
              <w:jc w:val="center"/>
              <w:rPr>
                <w:color w:val="000000"/>
              </w:rPr>
            </w:pPr>
            <w:r>
              <w:rPr>
                <w:color w:val="000000"/>
              </w:rPr>
              <w:t>61.5</w:t>
            </w:r>
          </w:p>
        </w:tc>
      </w:tr>
      <w:tr w:rsidR="0072795A" w:rsidRPr="00816C1F" w:rsidTr="00063612">
        <w:trPr>
          <w:jc w:val="center"/>
        </w:trPr>
        <w:tc>
          <w:tcPr>
            <w:tcW w:w="36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8C483C" w:rsidP="003262E3">
            <w:pPr>
              <w:spacing w:line="200" w:lineRule="atLeast"/>
              <w:rPr>
                <w:color w:val="000000"/>
              </w:rPr>
            </w:pPr>
            <w:bookmarkStart w:id="186" w:name="FRONT_END_PPF"/>
            <w:r w:rsidRPr="00816C1F">
              <w:rPr>
                <w:color w:val="000000"/>
              </w:rPr>
              <w:t>Front-end fee PPF</w:t>
            </w:r>
            <w:bookmarkEnd w:id="186"/>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72795A" w:rsidP="000813D9">
            <w:pPr>
              <w:tabs>
                <w:tab w:val="decimal" w:pos="1078"/>
              </w:tabs>
              <w:spacing w:line="200" w:lineRule="atLeast"/>
              <w:rPr>
                <w:color w:val="000000"/>
              </w:rPr>
            </w:pP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72795A" w:rsidP="000813D9">
            <w:pPr>
              <w:tabs>
                <w:tab w:val="decimal" w:pos="1091"/>
              </w:tabs>
              <w:spacing w:line="200" w:lineRule="atLeast"/>
              <w:rPr>
                <w:color w:val="000000"/>
              </w:rPr>
            </w:pPr>
          </w:p>
        </w:tc>
        <w:tc>
          <w:tcPr>
            <w:tcW w:w="163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72795A" w:rsidP="000813D9">
            <w:pPr>
              <w:spacing w:line="200" w:lineRule="atLeast"/>
              <w:jc w:val="center"/>
              <w:rPr>
                <w:color w:val="000000"/>
              </w:rPr>
            </w:pPr>
          </w:p>
        </w:tc>
      </w:tr>
      <w:tr w:rsidR="0072795A" w:rsidRPr="00816C1F" w:rsidTr="00063612">
        <w:trPr>
          <w:jc w:val="center"/>
        </w:trPr>
        <w:tc>
          <w:tcPr>
            <w:tcW w:w="36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8C483C" w:rsidP="003262E3">
            <w:pPr>
              <w:spacing w:line="200" w:lineRule="atLeast"/>
              <w:rPr>
                <w:color w:val="000000"/>
              </w:rPr>
            </w:pPr>
            <w:bookmarkStart w:id="187" w:name="FRONT_END_IBRD"/>
            <w:r w:rsidRPr="00816C1F">
              <w:rPr>
                <w:color w:val="000000"/>
              </w:rPr>
              <w:t>Front-end fee IBRD</w:t>
            </w:r>
            <w:bookmarkEnd w:id="187"/>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78"/>
              </w:tabs>
              <w:spacing w:line="200" w:lineRule="atLeast"/>
              <w:rPr>
                <w:color w:val="000000"/>
              </w:rPr>
            </w:pPr>
            <w:r>
              <w:rPr>
                <w:color w:val="000000"/>
              </w:rPr>
              <w:t>.5</w:t>
            </w: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91"/>
              </w:tabs>
              <w:spacing w:line="200" w:lineRule="atLeast"/>
              <w:rPr>
                <w:color w:val="000000"/>
              </w:rPr>
            </w:pPr>
            <w:r>
              <w:rPr>
                <w:color w:val="000000"/>
              </w:rPr>
              <w:t>.5</w:t>
            </w:r>
          </w:p>
        </w:tc>
        <w:tc>
          <w:tcPr>
            <w:tcW w:w="163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spacing w:line="200" w:lineRule="atLeast"/>
              <w:jc w:val="center"/>
              <w:rPr>
                <w:color w:val="000000"/>
              </w:rPr>
            </w:pPr>
            <w:r>
              <w:rPr>
                <w:color w:val="000000"/>
              </w:rPr>
              <w:t>100</w:t>
            </w:r>
          </w:p>
        </w:tc>
      </w:tr>
      <w:tr w:rsidR="0072795A" w:rsidRPr="00816C1F" w:rsidTr="00063612">
        <w:trPr>
          <w:jc w:val="center"/>
        </w:trPr>
        <w:tc>
          <w:tcPr>
            <w:tcW w:w="36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72795A" w:rsidP="003262E3">
            <w:pPr>
              <w:spacing w:line="200" w:lineRule="atLeast"/>
              <w:rPr>
                <w:color w:val="000000"/>
              </w:rPr>
            </w:pPr>
            <w:r w:rsidRPr="00816C1F">
              <w:rPr>
                <w:rStyle w:val="Strong"/>
                <w:color w:val="000000"/>
              </w:rPr>
              <w:t>Total Financing Required  </w:t>
            </w: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78"/>
              </w:tabs>
              <w:spacing w:line="200" w:lineRule="atLeast"/>
              <w:rPr>
                <w:color w:val="000000"/>
              </w:rPr>
            </w:pPr>
            <w:r>
              <w:rPr>
                <w:color w:val="000000"/>
              </w:rPr>
              <w:t>229.0</w:t>
            </w:r>
          </w:p>
        </w:tc>
        <w:tc>
          <w:tcPr>
            <w:tcW w:w="171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tabs>
                <w:tab w:val="decimal" w:pos="1091"/>
              </w:tabs>
              <w:spacing w:line="200" w:lineRule="atLeast"/>
              <w:rPr>
                <w:color w:val="000000"/>
              </w:rPr>
            </w:pPr>
            <w:r>
              <w:rPr>
                <w:color w:val="000000"/>
              </w:rPr>
              <w:t>141.0</w:t>
            </w:r>
          </w:p>
        </w:tc>
        <w:tc>
          <w:tcPr>
            <w:tcW w:w="1630" w:type="dxa"/>
            <w:tcBorders>
              <w:top w:val="single" w:sz="4" w:space="0" w:color="B1B1B1"/>
              <w:left w:val="single" w:sz="4" w:space="0" w:color="B1B1B1"/>
              <w:bottom w:val="single" w:sz="4" w:space="0" w:color="B1B1B1"/>
              <w:right w:val="single" w:sz="4" w:space="0" w:color="B1B1B1"/>
            </w:tcBorders>
            <w:shd w:val="clear" w:color="auto" w:fill="auto"/>
            <w:vAlign w:val="center"/>
          </w:tcPr>
          <w:p w:rsidR="0072795A" w:rsidRPr="00816C1F" w:rsidRDefault="001B0DB1" w:rsidP="000813D9">
            <w:pPr>
              <w:spacing w:line="200" w:lineRule="atLeast"/>
              <w:jc w:val="center"/>
              <w:rPr>
                <w:color w:val="000000"/>
              </w:rPr>
            </w:pPr>
            <w:r>
              <w:rPr>
                <w:color w:val="000000"/>
              </w:rPr>
              <w:t>61.6</w:t>
            </w:r>
          </w:p>
        </w:tc>
      </w:tr>
      <w:tr w:rsidR="0072795A" w:rsidRPr="00816C1F" w:rsidTr="00063612">
        <w:trPr>
          <w:jc w:val="center"/>
        </w:trPr>
        <w:tc>
          <w:tcPr>
            <w:tcW w:w="36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72795A" w:rsidP="003262E3">
            <w:pPr>
              <w:spacing w:line="200" w:lineRule="atLeast"/>
              <w:jc w:val="both"/>
              <w:rPr>
                <w:color w:val="000000"/>
              </w:rPr>
            </w:pPr>
          </w:p>
        </w:tc>
        <w:tc>
          <w:tcPr>
            <w:tcW w:w="17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72795A" w:rsidP="000813D9">
            <w:pPr>
              <w:tabs>
                <w:tab w:val="decimal" w:pos="1078"/>
              </w:tabs>
              <w:spacing w:line="200" w:lineRule="atLeast"/>
              <w:jc w:val="center"/>
              <w:rPr>
                <w:color w:val="000000"/>
              </w:rPr>
            </w:pPr>
          </w:p>
        </w:tc>
        <w:tc>
          <w:tcPr>
            <w:tcW w:w="171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72795A" w:rsidP="000813D9">
            <w:pPr>
              <w:tabs>
                <w:tab w:val="decimal" w:pos="1091"/>
              </w:tabs>
              <w:spacing w:line="200" w:lineRule="atLeast"/>
              <w:jc w:val="center"/>
              <w:rPr>
                <w:color w:val="000000"/>
              </w:rPr>
            </w:pPr>
          </w:p>
        </w:tc>
        <w:tc>
          <w:tcPr>
            <w:tcW w:w="1630" w:type="dxa"/>
            <w:tcBorders>
              <w:top w:val="single" w:sz="4" w:space="0" w:color="B1B1B1"/>
              <w:left w:val="single" w:sz="4" w:space="0" w:color="B1B1B1"/>
              <w:bottom w:val="single" w:sz="4" w:space="0" w:color="B1B1B1"/>
              <w:right w:val="single" w:sz="4" w:space="0" w:color="B1B1B1"/>
            </w:tcBorders>
            <w:vAlign w:val="center"/>
          </w:tcPr>
          <w:p w:rsidR="0072795A" w:rsidRPr="00816C1F" w:rsidRDefault="0072795A" w:rsidP="000813D9">
            <w:pPr>
              <w:spacing w:line="200" w:lineRule="atLeast"/>
              <w:jc w:val="center"/>
              <w:rPr>
                <w:color w:val="000000"/>
              </w:rPr>
            </w:pPr>
          </w:p>
        </w:tc>
      </w:tr>
    </w:tbl>
    <w:p w:rsidR="0049537D" w:rsidRPr="00816C1F" w:rsidRDefault="0049537D" w:rsidP="003262E3">
      <w:pPr>
        <w:jc w:val="both"/>
      </w:pPr>
    </w:p>
    <w:p w:rsidR="0049537D" w:rsidRPr="00816C1F" w:rsidRDefault="0049537D" w:rsidP="003262E3">
      <w:pPr>
        <w:jc w:val="both"/>
      </w:pPr>
    </w:p>
    <w:p w:rsidR="008A3F84" w:rsidRPr="00816C1F" w:rsidRDefault="0049537D" w:rsidP="003262E3">
      <w:pPr>
        <w:pStyle w:val="Heading3"/>
        <w:jc w:val="both"/>
        <w:rPr>
          <w:sz w:val="24"/>
          <w:szCs w:val="24"/>
        </w:rPr>
      </w:pPr>
      <w:r w:rsidRPr="00816C1F">
        <w:rPr>
          <w:sz w:val="24"/>
          <w:szCs w:val="24"/>
        </w:rPr>
        <w:t xml:space="preserve"> </w:t>
      </w:r>
      <w:r w:rsidR="008A3F84" w:rsidRPr="00816C1F">
        <w:rPr>
          <w:sz w:val="24"/>
          <w:szCs w:val="24"/>
        </w:rPr>
        <w:t>(b) Financing</w:t>
      </w:r>
    </w:p>
    <w:p w:rsidR="0072795A" w:rsidRPr="00816C1F" w:rsidRDefault="0072795A" w:rsidP="003262E3">
      <w:pPr>
        <w:jc w:val="both"/>
        <w:rPr>
          <w:vanish/>
        </w:rPr>
      </w:pPr>
    </w:p>
    <w:tbl>
      <w:tblPr>
        <w:tblW w:w="5000" w:type="pct"/>
        <w:jc w:val="center"/>
        <w:tblLayout w:type="fixed"/>
        <w:tblCellMar>
          <w:top w:w="10" w:type="dxa"/>
          <w:left w:w="10" w:type="dxa"/>
          <w:bottom w:w="10" w:type="dxa"/>
          <w:right w:w="10" w:type="dxa"/>
        </w:tblCellMar>
        <w:tblLook w:val="0000" w:firstRow="0" w:lastRow="0" w:firstColumn="0" w:lastColumn="0" w:noHBand="0" w:noVBand="0"/>
      </w:tblPr>
      <w:tblGrid>
        <w:gridCol w:w="3428"/>
        <w:gridCol w:w="1308"/>
        <w:gridCol w:w="1308"/>
        <w:gridCol w:w="1308"/>
        <w:gridCol w:w="1308"/>
      </w:tblGrid>
      <w:tr w:rsidR="008A3F84" w:rsidRPr="00816C1F" w:rsidTr="001E287E">
        <w:trPr>
          <w:jc w:val="center"/>
        </w:trPr>
        <w:tc>
          <w:tcPr>
            <w:tcW w:w="1979"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72795A" w:rsidRPr="00816C1F" w:rsidRDefault="0072795A" w:rsidP="00CB57A8">
            <w:pPr>
              <w:jc w:val="center"/>
              <w:rPr>
                <w:b/>
                <w:bCs/>
                <w:color w:val="606060"/>
              </w:rPr>
            </w:pPr>
            <w:r w:rsidRPr="00816C1F">
              <w:rPr>
                <w:b/>
                <w:bCs/>
                <w:color w:val="606060"/>
              </w:rPr>
              <w:t>Source of Funds</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72795A" w:rsidRPr="00816C1F" w:rsidRDefault="0072795A" w:rsidP="00CB57A8">
            <w:pPr>
              <w:jc w:val="center"/>
              <w:rPr>
                <w:b/>
                <w:bCs/>
                <w:color w:val="606060"/>
              </w:rPr>
            </w:pPr>
            <w:r w:rsidRPr="00816C1F">
              <w:rPr>
                <w:b/>
                <w:bCs/>
                <w:color w:val="606060"/>
              </w:rPr>
              <w:t>Type of Cofinancing</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8A3F84" w:rsidRPr="00816C1F" w:rsidRDefault="008A3F84" w:rsidP="00CB57A8">
            <w:pPr>
              <w:jc w:val="center"/>
              <w:rPr>
                <w:b/>
                <w:bCs/>
                <w:color w:val="606060"/>
              </w:rPr>
            </w:pPr>
            <w:r w:rsidRPr="00816C1F">
              <w:rPr>
                <w:b/>
                <w:bCs/>
                <w:color w:val="606060"/>
              </w:rPr>
              <w:t>Appraisal Estimate</w:t>
            </w:r>
          </w:p>
          <w:p w:rsidR="0072795A" w:rsidRPr="00816C1F" w:rsidRDefault="0072795A" w:rsidP="00CB57A8">
            <w:pPr>
              <w:jc w:val="center"/>
              <w:rPr>
                <w:b/>
                <w:bCs/>
                <w:color w:val="606060"/>
              </w:rPr>
            </w:pPr>
            <w:r w:rsidRPr="00816C1F">
              <w:rPr>
                <w:b/>
                <w:bCs/>
                <w:color w:val="606060"/>
              </w:rPr>
              <w:t xml:space="preserve">(USD </w:t>
            </w:r>
            <w:r w:rsidR="000411CD" w:rsidRPr="00816C1F">
              <w:rPr>
                <w:b/>
                <w:bCs/>
                <w:color w:val="606060"/>
              </w:rPr>
              <w:t>millions</w:t>
            </w:r>
            <w:r w:rsidRPr="00816C1F">
              <w:rPr>
                <w:b/>
                <w:bCs/>
                <w:color w:val="606060"/>
              </w:rPr>
              <w:t>)</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8A3F84" w:rsidRPr="00816C1F" w:rsidRDefault="0072795A" w:rsidP="00CB57A8">
            <w:pPr>
              <w:jc w:val="center"/>
              <w:rPr>
                <w:b/>
                <w:bCs/>
                <w:color w:val="606060"/>
              </w:rPr>
            </w:pPr>
            <w:r w:rsidRPr="00816C1F">
              <w:rPr>
                <w:b/>
                <w:bCs/>
                <w:color w:val="606060"/>
              </w:rPr>
              <w:t>Actual/Latest Estimate</w:t>
            </w:r>
          </w:p>
          <w:p w:rsidR="0072795A" w:rsidRPr="00816C1F" w:rsidRDefault="0072795A" w:rsidP="00CB57A8">
            <w:pPr>
              <w:jc w:val="center"/>
              <w:rPr>
                <w:b/>
                <w:bCs/>
                <w:color w:val="606060"/>
              </w:rPr>
            </w:pPr>
            <w:r w:rsidRPr="00816C1F">
              <w:rPr>
                <w:b/>
                <w:bCs/>
                <w:color w:val="606060"/>
              </w:rPr>
              <w:t xml:space="preserve">(USD </w:t>
            </w:r>
            <w:r w:rsidR="000411CD" w:rsidRPr="00816C1F">
              <w:rPr>
                <w:b/>
                <w:bCs/>
                <w:color w:val="606060"/>
              </w:rPr>
              <w:t>millions</w:t>
            </w:r>
            <w:r w:rsidRPr="00816C1F">
              <w:rPr>
                <w:b/>
                <w:bCs/>
                <w:color w:val="606060"/>
              </w:rPr>
              <w:t>)</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72795A" w:rsidRPr="00816C1F" w:rsidRDefault="0072795A" w:rsidP="00CB57A8">
            <w:pPr>
              <w:jc w:val="center"/>
              <w:rPr>
                <w:b/>
                <w:bCs/>
                <w:color w:val="606060"/>
              </w:rPr>
            </w:pPr>
            <w:r w:rsidRPr="00816C1F">
              <w:rPr>
                <w:b/>
                <w:bCs/>
                <w:color w:val="606060"/>
              </w:rPr>
              <w:t>Percentage of Appraisal</w:t>
            </w:r>
          </w:p>
        </w:tc>
      </w:tr>
      <w:tr w:rsidR="008C483C" w:rsidRPr="00816C1F" w:rsidTr="001E287E">
        <w:trPr>
          <w:jc w:val="center"/>
        </w:trPr>
        <w:tc>
          <w:tcPr>
            <w:tcW w:w="1979"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8C483C" w:rsidP="003262E3">
            <w:pPr>
              <w:spacing w:line="200" w:lineRule="atLeast"/>
              <w:rPr>
                <w:color w:val="000000"/>
              </w:rPr>
            </w:pPr>
            <w:r w:rsidRPr="00816C1F">
              <w:rPr>
                <w:color w:val="000000"/>
              </w:rPr>
              <w:t>Borrower</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8C483C" w:rsidP="003262E3">
            <w:pPr>
              <w:spacing w:line="200" w:lineRule="atLeast"/>
              <w:jc w:val="center"/>
              <w:rPr>
                <w:color w:val="000000"/>
              </w:rPr>
            </w:pP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8C483C" w:rsidP="003262E3">
            <w:pPr>
              <w:spacing w:line="200" w:lineRule="atLeast"/>
              <w:jc w:val="center"/>
              <w:rPr>
                <w:color w:val="000000"/>
              </w:rPr>
            </w:pPr>
            <w:r w:rsidRPr="00816C1F">
              <w:rPr>
                <w:color w:val="000000"/>
              </w:rPr>
              <w:t>0.00</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A738B8" w:rsidP="003262E3">
            <w:pPr>
              <w:spacing w:line="200" w:lineRule="atLeast"/>
              <w:jc w:val="center"/>
              <w:rPr>
                <w:color w:val="000000"/>
              </w:rPr>
            </w:pPr>
            <w:r w:rsidRPr="00060E9B">
              <w:rPr>
                <w:color w:val="000000"/>
              </w:rPr>
              <w:t>273.6</w:t>
            </w:r>
            <w:r w:rsidR="00A71F89" w:rsidRPr="00060E9B">
              <w:rPr>
                <w:rStyle w:val="FootnoteReference"/>
                <w:color w:val="000000"/>
              </w:rPr>
              <w:footnoteReference w:id="31"/>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8C483C" w:rsidP="003262E3">
            <w:pPr>
              <w:spacing w:line="200" w:lineRule="atLeast"/>
              <w:jc w:val="center"/>
              <w:rPr>
                <w:color w:val="000000"/>
              </w:rPr>
            </w:pPr>
            <w:r w:rsidRPr="00816C1F">
              <w:rPr>
                <w:color w:val="000000"/>
              </w:rPr>
              <w:t>.00</w:t>
            </w:r>
          </w:p>
        </w:tc>
      </w:tr>
      <w:tr w:rsidR="008C483C" w:rsidRPr="00816C1F" w:rsidTr="001E287E">
        <w:trPr>
          <w:jc w:val="center"/>
        </w:trPr>
        <w:tc>
          <w:tcPr>
            <w:tcW w:w="1979"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8C483C" w:rsidP="003262E3">
            <w:pPr>
              <w:spacing w:line="200" w:lineRule="atLeast"/>
              <w:rPr>
                <w:color w:val="000000"/>
              </w:rPr>
            </w:pPr>
            <w:bookmarkStart w:id="188" w:name="FIN_COL_1"/>
            <w:r w:rsidRPr="00816C1F">
              <w:rPr>
                <w:color w:val="000000"/>
              </w:rPr>
              <w:t>International Bank for Reconstruction and Development</w:t>
            </w:r>
            <w:bookmarkEnd w:id="188"/>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8C483C" w:rsidP="003262E3">
            <w:pPr>
              <w:spacing w:line="200" w:lineRule="atLeast"/>
              <w:jc w:val="center"/>
              <w:rPr>
                <w:color w:val="000000"/>
              </w:rPr>
            </w:pPr>
            <w:bookmarkStart w:id="189" w:name="FIN_COL_2"/>
            <w:bookmarkEnd w:id="189"/>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9D112E" w:rsidP="003262E3">
            <w:pPr>
              <w:spacing w:line="200" w:lineRule="atLeast"/>
              <w:jc w:val="center"/>
              <w:rPr>
                <w:color w:val="000000"/>
              </w:rPr>
            </w:pPr>
            <w:r>
              <w:rPr>
                <w:color w:val="000000"/>
              </w:rPr>
              <w:t>229</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9D112E" w:rsidP="003262E3">
            <w:pPr>
              <w:spacing w:line="200" w:lineRule="atLeast"/>
              <w:jc w:val="center"/>
              <w:rPr>
                <w:color w:val="000000"/>
              </w:rPr>
            </w:pPr>
            <w:r>
              <w:rPr>
                <w:color w:val="000000"/>
              </w:rPr>
              <w:t>141</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8C483C" w:rsidRPr="00816C1F" w:rsidRDefault="009D112E" w:rsidP="003262E3">
            <w:pPr>
              <w:spacing w:line="200" w:lineRule="atLeast"/>
              <w:jc w:val="center"/>
              <w:rPr>
                <w:color w:val="000000"/>
              </w:rPr>
            </w:pPr>
            <w:r>
              <w:rPr>
                <w:color w:val="000000"/>
              </w:rPr>
              <w:t>61.6%</w:t>
            </w:r>
          </w:p>
        </w:tc>
      </w:tr>
    </w:tbl>
    <w:p w:rsidR="0072795A" w:rsidRPr="00816C1F" w:rsidRDefault="0072795A" w:rsidP="003262E3">
      <w:pPr>
        <w:jc w:val="both"/>
      </w:pPr>
      <w:bookmarkStart w:id="190" w:name="FIN"/>
      <w:bookmarkEnd w:id="190"/>
    </w:p>
    <w:p w:rsidR="00E03DE1" w:rsidRPr="00816C1F" w:rsidRDefault="00E03DE1" w:rsidP="003262E3">
      <w:pPr>
        <w:jc w:val="both"/>
        <w:rPr>
          <w:vanish/>
        </w:rPr>
      </w:pPr>
    </w:p>
    <w:p w:rsidR="006B724A" w:rsidRPr="00816C1F" w:rsidRDefault="006B724A" w:rsidP="003262E3">
      <w:pPr>
        <w:jc w:val="both"/>
      </w:pPr>
      <w:bookmarkStart w:id="191" w:name="_IL16"/>
      <w:r w:rsidRPr="00816C1F">
        <w:rPr>
          <w:b/>
          <w:bCs/>
        </w:rPr>
        <w:br w:type="page"/>
      </w:r>
    </w:p>
    <w:p w:rsidR="00C67D43" w:rsidRPr="00063612" w:rsidRDefault="00C67D43" w:rsidP="00063612">
      <w:pPr>
        <w:pStyle w:val="Heading2"/>
        <w:jc w:val="center"/>
        <w:rPr>
          <w:sz w:val="26"/>
          <w:szCs w:val="26"/>
        </w:rPr>
      </w:pPr>
      <w:bookmarkStart w:id="192" w:name="_Toc158019378"/>
      <w:bookmarkStart w:id="193" w:name="_Toc384896518"/>
      <w:bookmarkEnd w:id="191"/>
      <w:r w:rsidRPr="00063612">
        <w:rPr>
          <w:sz w:val="26"/>
          <w:szCs w:val="26"/>
        </w:rPr>
        <w:lastRenderedPageBreak/>
        <w:t>Annex 2. Outputs by Component</w:t>
      </w:r>
      <w:bookmarkEnd w:id="192"/>
      <w:bookmarkEnd w:id="193"/>
    </w:p>
    <w:p w:rsidR="00524B3E" w:rsidRDefault="00524B3E" w:rsidP="003B53B2">
      <w:bookmarkStart w:id="194" w:name="ANN4"/>
      <w:bookmarkEnd w:id="194"/>
    </w:p>
    <w:p w:rsidR="00B90609" w:rsidRPr="0022713A" w:rsidRDefault="00B90609" w:rsidP="00B90609">
      <w:pPr>
        <w:pStyle w:val="HTMLPreformatted"/>
        <w:numPr>
          <w:ilvl w:val="0"/>
          <w:numId w:val="7"/>
        </w:numPr>
        <w:autoSpaceDE w:val="0"/>
        <w:autoSpaceDN w:val="0"/>
        <w:adjustRightInd w:val="0"/>
        <w:ind w:left="0" w:firstLine="0"/>
        <w:jc w:val="both"/>
        <w:rPr>
          <w:b/>
        </w:rPr>
      </w:pPr>
      <w:r>
        <w:rPr>
          <w:b/>
        </w:rPr>
        <w:t xml:space="preserve">In general, the Project was successful in achieving expected results. </w:t>
      </w:r>
      <w:r>
        <w:t xml:space="preserve">Four of the five key indicators were achieved. The remaining indicator (indicator 1) was largely achieved, with results substantially higher than the baseline and with the actual level of accomplishment 95 percent of the expected target. The following paragraphs analyze efficacy of each of the Project sub-objectives.  </w:t>
      </w:r>
    </w:p>
    <w:p w:rsidR="00B90609" w:rsidRPr="00D24AA7" w:rsidRDefault="00B90609" w:rsidP="00B90609">
      <w:pPr>
        <w:pStyle w:val="HTMLPreformatted"/>
        <w:jc w:val="both"/>
        <w:rPr>
          <w:b/>
        </w:rPr>
      </w:pPr>
    </w:p>
    <w:p w:rsidR="00663440" w:rsidRPr="00565B73" w:rsidRDefault="00B90609" w:rsidP="00B90609">
      <w:pPr>
        <w:pStyle w:val="HTMLPreformatted"/>
        <w:numPr>
          <w:ilvl w:val="0"/>
          <w:numId w:val="7"/>
        </w:numPr>
        <w:autoSpaceDE w:val="0"/>
        <w:autoSpaceDN w:val="0"/>
        <w:adjustRightInd w:val="0"/>
        <w:ind w:left="0" w:firstLine="0"/>
        <w:jc w:val="both"/>
        <w:rPr>
          <w:rFonts w:cs="Times New Roman"/>
          <w:b/>
          <w:bCs/>
          <w:iCs/>
        </w:rPr>
      </w:pPr>
      <w:r>
        <w:rPr>
          <w:rFonts w:cs="Times New Roman"/>
          <w:b/>
          <w:bCs/>
          <w:iCs/>
        </w:rPr>
        <w:t xml:space="preserve">The Project’s efficacy was substantial in its objective to strengthen Argentina’s epidemiological health surveillance system to prevent, monitor and evaluate influenza activity. </w:t>
      </w:r>
      <w:r w:rsidRPr="00994754">
        <w:rPr>
          <w:rFonts w:cs="Times New Roman"/>
          <w:bCs/>
          <w:iCs/>
        </w:rPr>
        <w:t>Achievement of</w:t>
      </w:r>
      <w:r>
        <w:rPr>
          <w:rFonts w:cs="Times New Roman"/>
          <w:b/>
          <w:bCs/>
          <w:iCs/>
        </w:rPr>
        <w:t xml:space="preserve"> s</w:t>
      </w:r>
      <w:r w:rsidRPr="00615529">
        <w:t xml:space="preserve">ub-objective 1 was </w:t>
      </w:r>
      <w:r>
        <w:t>to be evaluated</w:t>
      </w:r>
      <w:r w:rsidRPr="00615529">
        <w:t xml:space="preserve"> through two key indicators, measuring the strengthening of epidemiological surveillance situation rooms in every province (key indicator 1), and implementation of social communication (MOCS) modules (key indicator 3).</w:t>
      </w:r>
      <w:r>
        <w:t xml:space="preserve"> Although not included as part of the key indicators to </w:t>
      </w:r>
      <w:r w:rsidR="00007E92">
        <w:t>measure</w:t>
      </w:r>
      <w:r>
        <w:t xml:space="preserve"> this first sub-objective, indicator 2 – Health Situation Rooms – Level II accredited, is a natural continuation of indicator 1 and since even more complex should also be taken into account for that purpose.</w:t>
      </w:r>
      <w:r w:rsidR="00663440" w:rsidRPr="00565B73">
        <w:rPr>
          <w:b/>
        </w:rPr>
        <w:t xml:space="preserve"> </w:t>
      </w:r>
    </w:p>
    <w:p w:rsidR="003B53B2" w:rsidRPr="00816C1F" w:rsidRDefault="003B53B2" w:rsidP="00F96463">
      <w:pPr>
        <w:pStyle w:val="HTMLPreformatted"/>
        <w:autoSpaceDE w:val="0"/>
        <w:autoSpaceDN w:val="0"/>
        <w:adjustRightInd w:val="0"/>
        <w:jc w:val="both"/>
        <w:rPr>
          <w:rFonts w:cs="Times New Roman"/>
          <w:b/>
          <w:bCs/>
          <w:iCs/>
        </w:rPr>
      </w:pPr>
    </w:p>
    <w:p w:rsidR="00F96463" w:rsidRPr="00F96463" w:rsidRDefault="00F96463" w:rsidP="00F96463">
      <w:pPr>
        <w:pStyle w:val="ListParagraph"/>
        <w:jc w:val="center"/>
        <w:rPr>
          <w:rFonts w:eastAsia="Times New Roman"/>
          <w:b/>
          <w:bCs/>
          <w:szCs w:val="20"/>
          <w:lang w:eastAsia="en-US"/>
        </w:rPr>
      </w:pPr>
      <w:r w:rsidRPr="00F96463">
        <w:rPr>
          <w:rFonts w:eastAsia="Times New Roman"/>
          <w:b/>
          <w:bCs/>
          <w:szCs w:val="20"/>
          <w:lang w:eastAsia="en-US"/>
        </w:rPr>
        <w:t>Table 1: Results Framework and Monitoring</w:t>
      </w:r>
    </w:p>
    <w:tbl>
      <w:tblPr>
        <w:tblStyle w:val="TableGrid"/>
        <w:tblW w:w="0" w:type="auto"/>
        <w:jc w:val="center"/>
        <w:tblLook w:val="04A0" w:firstRow="1" w:lastRow="0" w:firstColumn="1" w:lastColumn="0" w:noHBand="0" w:noVBand="1"/>
      </w:tblPr>
      <w:tblGrid>
        <w:gridCol w:w="3140"/>
        <w:gridCol w:w="1070"/>
        <w:gridCol w:w="910"/>
        <w:gridCol w:w="876"/>
        <w:gridCol w:w="2325"/>
      </w:tblGrid>
      <w:tr w:rsidR="00F96463" w:rsidRPr="00615529" w:rsidTr="001E287E">
        <w:trPr>
          <w:tblHeader/>
          <w:jc w:val="center"/>
        </w:trPr>
        <w:tc>
          <w:tcPr>
            <w:tcW w:w="3140" w:type="dxa"/>
            <w:shd w:val="clear" w:color="auto" w:fill="F2F2F2" w:themeFill="background1" w:themeFillShade="F2"/>
            <w:vAlign w:val="center"/>
          </w:tcPr>
          <w:p w:rsidR="00F96463" w:rsidRPr="00615529" w:rsidRDefault="00F96463" w:rsidP="00CB57A8">
            <w:pPr>
              <w:jc w:val="center"/>
              <w:rPr>
                <w:rFonts w:eastAsia="Times New Roman"/>
                <w:b/>
                <w:bCs/>
                <w:lang w:eastAsia="en-US"/>
              </w:rPr>
            </w:pPr>
            <w:r w:rsidRPr="00615529">
              <w:rPr>
                <w:rFonts w:eastAsia="Times New Roman"/>
                <w:b/>
                <w:bCs/>
                <w:lang w:eastAsia="en-US"/>
              </w:rPr>
              <w:t>Indicators</w:t>
            </w:r>
          </w:p>
        </w:tc>
        <w:tc>
          <w:tcPr>
            <w:tcW w:w="1070" w:type="dxa"/>
            <w:shd w:val="clear" w:color="auto" w:fill="F2F2F2" w:themeFill="background1" w:themeFillShade="F2"/>
            <w:vAlign w:val="center"/>
          </w:tcPr>
          <w:p w:rsidR="00F96463" w:rsidRPr="00615529" w:rsidRDefault="00F96463" w:rsidP="00CB57A8">
            <w:pPr>
              <w:jc w:val="center"/>
              <w:rPr>
                <w:rFonts w:eastAsia="Times New Roman"/>
                <w:b/>
                <w:bCs/>
                <w:lang w:eastAsia="en-US"/>
              </w:rPr>
            </w:pPr>
            <w:r w:rsidRPr="00615529">
              <w:rPr>
                <w:rFonts w:eastAsia="Times New Roman"/>
                <w:b/>
                <w:bCs/>
                <w:lang w:eastAsia="en-US"/>
              </w:rPr>
              <w:t>Baseline Value</w:t>
            </w:r>
          </w:p>
        </w:tc>
        <w:tc>
          <w:tcPr>
            <w:tcW w:w="910" w:type="dxa"/>
            <w:shd w:val="clear" w:color="auto" w:fill="F2F2F2" w:themeFill="background1" w:themeFillShade="F2"/>
            <w:vAlign w:val="center"/>
          </w:tcPr>
          <w:p w:rsidR="00F96463" w:rsidRPr="00615529" w:rsidRDefault="00F96463" w:rsidP="00CB57A8">
            <w:pPr>
              <w:jc w:val="center"/>
              <w:rPr>
                <w:rFonts w:eastAsia="Times New Roman"/>
                <w:b/>
                <w:bCs/>
                <w:lang w:eastAsia="en-US"/>
              </w:rPr>
            </w:pPr>
            <w:r w:rsidRPr="00615529">
              <w:rPr>
                <w:rFonts w:eastAsia="Times New Roman"/>
                <w:b/>
                <w:bCs/>
                <w:lang w:eastAsia="en-US"/>
              </w:rPr>
              <w:t>End Target</w:t>
            </w:r>
          </w:p>
        </w:tc>
        <w:tc>
          <w:tcPr>
            <w:tcW w:w="876" w:type="dxa"/>
            <w:shd w:val="clear" w:color="auto" w:fill="F2F2F2" w:themeFill="background1" w:themeFillShade="F2"/>
            <w:vAlign w:val="center"/>
          </w:tcPr>
          <w:p w:rsidR="00F96463" w:rsidRPr="00615529" w:rsidRDefault="00F96463" w:rsidP="00CB57A8">
            <w:pPr>
              <w:jc w:val="center"/>
              <w:rPr>
                <w:rFonts w:eastAsia="Times New Roman"/>
                <w:b/>
                <w:bCs/>
                <w:lang w:eastAsia="en-US"/>
              </w:rPr>
            </w:pPr>
            <w:r w:rsidRPr="00615529">
              <w:rPr>
                <w:rFonts w:eastAsia="Times New Roman"/>
                <w:b/>
                <w:bCs/>
                <w:lang w:eastAsia="en-US"/>
              </w:rPr>
              <w:t>Final Value</w:t>
            </w:r>
          </w:p>
        </w:tc>
        <w:tc>
          <w:tcPr>
            <w:tcW w:w="2325" w:type="dxa"/>
            <w:shd w:val="clear" w:color="auto" w:fill="F2F2F2" w:themeFill="background1" w:themeFillShade="F2"/>
            <w:vAlign w:val="center"/>
          </w:tcPr>
          <w:p w:rsidR="00F96463" w:rsidRPr="00615529" w:rsidRDefault="00F96463" w:rsidP="00CB57A8">
            <w:pPr>
              <w:jc w:val="center"/>
              <w:rPr>
                <w:rFonts w:eastAsia="Times New Roman"/>
                <w:b/>
                <w:bCs/>
                <w:lang w:eastAsia="en-US"/>
              </w:rPr>
            </w:pPr>
            <w:r w:rsidRPr="00615529">
              <w:rPr>
                <w:rFonts w:eastAsia="Times New Roman"/>
                <w:b/>
                <w:bCs/>
                <w:lang w:eastAsia="en-US"/>
              </w:rPr>
              <w:t>Description of achievements with respect to end target</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rPr>
                <w:rFonts w:eastAsia="Times New Roman"/>
                <w:bCs/>
                <w:lang w:eastAsia="en-US"/>
              </w:rPr>
              <w:t>1. Health Situation Rooms certified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0</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38</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36</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Nearly achieved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rPr>
                <w:rFonts w:eastAsia="Times New Roman"/>
                <w:bCs/>
                <w:lang w:eastAsia="en-US"/>
              </w:rPr>
              <w:t>2. Health Situation Rooms Level II accreditation</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0</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16</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28</w:t>
            </w:r>
          </w:p>
        </w:tc>
        <w:tc>
          <w:tcPr>
            <w:tcW w:w="2325" w:type="dxa"/>
          </w:tcPr>
          <w:p w:rsidR="00F96463" w:rsidRPr="00615529" w:rsidRDefault="00F96463" w:rsidP="00273E0B">
            <w:pPr>
              <w:jc w:val="center"/>
              <w:rPr>
                <w:rFonts w:eastAsia="Times New Roman"/>
                <w:bCs/>
                <w:lang w:eastAsia="en-US"/>
              </w:rPr>
            </w:pPr>
            <w:r w:rsidRPr="00615529">
              <w:rPr>
                <w:rFonts w:eastAsia="Times New Roman"/>
                <w:bCs/>
                <w:lang w:eastAsia="en-US"/>
              </w:rPr>
              <w:t xml:space="preserve">Surpassed </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rPr>
                <w:rFonts w:eastAsia="Times New Roman"/>
                <w:bCs/>
                <w:lang w:eastAsia="en-US"/>
              </w:rPr>
              <w:t>3. Operational Modules of Social Communication (MOCS) implemented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0%</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90%</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90%</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Achieved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t>4. Operational modules of social communication for indigenous peoples implemented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0%</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90%</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90%</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Achieved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t>5. Dose of A/H1N1 vaccine applied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1%</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90%</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100%</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Surpassed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t>6. Dose of pneumococcal vaccine applied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1%</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85%</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99.3%</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Surpassed</w:t>
            </w:r>
          </w:p>
        </w:tc>
      </w:tr>
      <w:tr w:rsidR="0083217A" w:rsidRPr="00615529" w:rsidTr="00B856DD">
        <w:trPr>
          <w:jc w:val="center"/>
        </w:trPr>
        <w:tc>
          <w:tcPr>
            <w:tcW w:w="3140" w:type="dxa"/>
          </w:tcPr>
          <w:p w:rsidR="0083217A" w:rsidRPr="00615529" w:rsidRDefault="0083217A" w:rsidP="00016870">
            <w:r>
              <w:t xml:space="preserve">7. </w:t>
            </w:r>
            <w:r w:rsidR="00B856DD">
              <w:t xml:space="preserve">Dose of A/H1N1 vaccine included in National </w:t>
            </w:r>
            <w:r w:rsidR="00AD72F0">
              <w:t>Calendar</w:t>
            </w:r>
            <w:r w:rsidR="00B856DD">
              <w:t xml:space="preserve"> applied</w:t>
            </w:r>
          </w:p>
        </w:tc>
        <w:tc>
          <w:tcPr>
            <w:tcW w:w="1070" w:type="dxa"/>
          </w:tcPr>
          <w:p w:rsidR="0083217A" w:rsidRPr="00615529" w:rsidRDefault="00B856DD" w:rsidP="00615529">
            <w:pPr>
              <w:jc w:val="center"/>
              <w:rPr>
                <w:rFonts w:eastAsia="Times New Roman"/>
                <w:bCs/>
                <w:lang w:eastAsia="en-US"/>
              </w:rPr>
            </w:pPr>
            <w:r>
              <w:rPr>
                <w:rFonts w:eastAsia="Times New Roman"/>
                <w:bCs/>
                <w:lang w:eastAsia="en-US"/>
              </w:rPr>
              <w:t>0%</w:t>
            </w:r>
          </w:p>
        </w:tc>
        <w:tc>
          <w:tcPr>
            <w:tcW w:w="910" w:type="dxa"/>
          </w:tcPr>
          <w:p w:rsidR="0083217A" w:rsidRPr="00615529" w:rsidRDefault="00B856DD" w:rsidP="00615529">
            <w:pPr>
              <w:jc w:val="center"/>
              <w:rPr>
                <w:rFonts w:eastAsia="Times New Roman"/>
                <w:bCs/>
                <w:lang w:eastAsia="en-US"/>
              </w:rPr>
            </w:pPr>
            <w:r>
              <w:rPr>
                <w:rFonts w:eastAsia="Times New Roman"/>
                <w:bCs/>
                <w:lang w:eastAsia="en-US"/>
              </w:rPr>
              <w:t>80%</w:t>
            </w:r>
          </w:p>
        </w:tc>
        <w:tc>
          <w:tcPr>
            <w:tcW w:w="876" w:type="dxa"/>
          </w:tcPr>
          <w:p w:rsidR="0083217A" w:rsidRPr="00615529" w:rsidRDefault="00B856DD" w:rsidP="00615529">
            <w:pPr>
              <w:jc w:val="center"/>
              <w:rPr>
                <w:rFonts w:eastAsia="Times New Roman"/>
                <w:bCs/>
                <w:lang w:eastAsia="en-US"/>
              </w:rPr>
            </w:pPr>
            <w:r>
              <w:rPr>
                <w:rFonts w:eastAsia="Times New Roman"/>
                <w:bCs/>
                <w:lang w:eastAsia="en-US"/>
              </w:rPr>
              <w:t>91%</w:t>
            </w:r>
          </w:p>
        </w:tc>
        <w:tc>
          <w:tcPr>
            <w:tcW w:w="2325" w:type="dxa"/>
          </w:tcPr>
          <w:p w:rsidR="0083217A" w:rsidRPr="00615529" w:rsidRDefault="00B856DD" w:rsidP="00615529">
            <w:pPr>
              <w:jc w:val="center"/>
              <w:rPr>
                <w:rFonts w:eastAsia="Times New Roman"/>
                <w:bCs/>
                <w:lang w:eastAsia="en-US"/>
              </w:rPr>
            </w:pPr>
            <w:r>
              <w:rPr>
                <w:rFonts w:eastAsia="Times New Roman"/>
                <w:bCs/>
                <w:lang w:eastAsia="en-US"/>
              </w:rPr>
              <w:t>Surpassed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t>8. Dose of pneumococcal vaccine included in National Calendar applied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52%</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80%</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86%</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Surpassed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t>9. Outpatient treatment provided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0%</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90%</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99%</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Surpassed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t xml:space="preserve">11. Inpatient treatment </w:t>
            </w:r>
            <w:r w:rsidRPr="00615529">
              <w:lastRenderedPageBreak/>
              <w:t>provided in ICU</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lastRenderedPageBreak/>
              <w:t>27,284</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30,000</w:t>
            </w:r>
          </w:p>
        </w:tc>
        <w:tc>
          <w:tcPr>
            <w:tcW w:w="876" w:type="dxa"/>
          </w:tcPr>
          <w:p w:rsidR="00F96463" w:rsidRPr="00615529" w:rsidRDefault="00F96463" w:rsidP="00615529">
            <w:pPr>
              <w:jc w:val="center"/>
              <w:rPr>
                <w:rFonts w:eastAsia="Times New Roman"/>
                <w:bCs/>
                <w:lang w:eastAsia="en-US"/>
              </w:rPr>
            </w:pPr>
            <w:r w:rsidRPr="00615529">
              <w:rPr>
                <w:rFonts w:eastAsia="Times New Roman"/>
                <w:bCs/>
                <w:lang w:eastAsia="en-US"/>
              </w:rPr>
              <w:t>40,936</w:t>
            </w: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Surpassed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lastRenderedPageBreak/>
              <w:t>13. Influenza diagnostic laboratory test performed</w:t>
            </w:r>
          </w:p>
        </w:tc>
        <w:tc>
          <w:tcPr>
            <w:tcW w:w="1070" w:type="dxa"/>
          </w:tcPr>
          <w:p w:rsidR="00F96463" w:rsidRPr="00615529" w:rsidRDefault="00F96463" w:rsidP="00615529">
            <w:pPr>
              <w:jc w:val="center"/>
              <w:rPr>
                <w:rFonts w:eastAsia="Times New Roman"/>
                <w:bCs/>
                <w:lang w:eastAsia="en-US"/>
              </w:rPr>
            </w:pPr>
            <w:r w:rsidRPr="00615529">
              <w:rPr>
                <w:rFonts w:eastAsia="Times New Roman"/>
                <w:bCs/>
                <w:lang w:eastAsia="en-US"/>
              </w:rPr>
              <w:t>0</w:t>
            </w:r>
          </w:p>
        </w:tc>
        <w:tc>
          <w:tcPr>
            <w:tcW w:w="910" w:type="dxa"/>
          </w:tcPr>
          <w:p w:rsidR="00F96463" w:rsidRPr="00615529" w:rsidRDefault="00F96463" w:rsidP="00615529">
            <w:pPr>
              <w:jc w:val="center"/>
              <w:rPr>
                <w:rFonts w:eastAsia="Times New Roman"/>
                <w:bCs/>
                <w:lang w:eastAsia="en-US"/>
              </w:rPr>
            </w:pPr>
            <w:r w:rsidRPr="00615529">
              <w:rPr>
                <w:rFonts w:eastAsia="Times New Roman"/>
                <w:bCs/>
                <w:lang w:eastAsia="en-US"/>
              </w:rPr>
              <w:t>54,000</w:t>
            </w:r>
          </w:p>
        </w:tc>
        <w:tc>
          <w:tcPr>
            <w:tcW w:w="876" w:type="dxa"/>
          </w:tcPr>
          <w:p w:rsidR="00F96463" w:rsidRPr="00615529" w:rsidRDefault="001B487D" w:rsidP="001B487D">
            <w:pPr>
              <w:jc w:val="center"/>
              <w:rPr>
                <w:rFonts w:eastAsia="Times New Roman"/>
                <w:bCs/>
                <w:lang w:eastAsia="en-US"/>
              </w:rPr>
            </w:pPr>
            <w:r>
              <w:rPr>
                <w:rFonts w:eastAsia="Times New Roman"/>
                <w:bCs/>
                <w:lang w:eastAsia="en-US"/>
              </w:rPr>
              <w:t>65,</w:t>
            </w:r>
            <w:r w:rsidR="00A71F89">
              <w:rPr>
                <w:rFonts w:eastAsia="Times New Roman"/>
                <w:bCs/>
                <w:lang w:eastAsia="en-US"/>
              </w:rPr>
              <w:t>341</w:t>
            </w:r>
          </w:p>
        </w:tc>
        <w:tc>
          <w:tcPr>
            <w:tcW w:w="2325" w:type="dxa"/>
          </w:tcPr>
          <w:p w:rsidR="00F96463" w:rsidRPr="00615529" w:rsidRDefault="00007E92" w:rsidP="00615529">
            <w:pPr>
              <w:jc w:val="center"/>
              <w:rPr>
                <w:rFonts w:eastAsia="Times New Roman"/>
                <w:bCs/>
                <w:lang w:eastAsia="en-US"/>
              </w:rPr>
            </w:pPr>
            <w:r>
              <w:rPr>
                <w:rFonts w:eastAsia="Times New Roman"/>
                <w:bCs/>
                <w:lang w:eastAsia="en-US"/>
              </w:rPr>
              <w:t>Surpassed</w:t>
            </w:r>
          </w:p>
        </w:tc>
      </w:tr>
      <w:tr w:rsidR="00F96463" w:rsidRPr="00615529" w:rsidTr="00B856DD">
        <w:trPr>
          <w:jc w:val="center"/>
        </w:trPr>
        <w:tc>
          <w:tcPr>
            <w:tcW w:w="3140" w:type="dxa"/>
          </w:tcPr>
          <w:p w:rsidR="00F96463" w:rsidRPr="00615529" w:rsidRDefault="00F96463" w:rsidP="00016870">
            <w:pPr>
              <w:rPr>
                <w:rFonts w:eastAsia="Times New Roman"/>
                <w:bCs/>
                <w:lang w:eastAsia="en-US"/>
              </w:rPr>
            </w:pPr>
            <w:r w:rsidRPr="00615529">
              <w:t>14. Independent technical audits performed</w:t>
            </w:r>
          </w:p>
        </w:tc>
        <w:tc>
          <w:tcPr>
            <w:tcW w:w="1070" w:type="dxa"/>
          </w:tcPr>
          <w:p w:rsidR="00F96463" w:rsidRPr="00615529" w:rsidRDefault="00F96463" w:rsidP="00016870">
            <w:pPr>
              <w:rPr>
                <w:rFonts w:eastAsia="Times New Roman"/>
                <w:bCs/>
                <w:lang w:eastAsia="en-US"/>
              </w:rPr>
            </w:pPr>
            <w:r w:rsidRPr="00615529">
              <w:rPr>
                <w:rFonts w:eastAsia="Times New Roman"/>
                <w:bCs/>
                <w:lang w:eastAsia="en-US"/>
              </w:rPr>
              <w:t>8</w:t>
            </w:r>
          </w:p>
        </w:tc>
        <w:tc>
          <w:tcPr>
            <w:tcW w:w="910" w:type="dxa"/>
          </w:tcPr>
          <w:p w:rsidR="00F96463" w:rsidRPr="00615529" w:rsidRDefault="00F96463" w:rsidP="00016870">
            <w:pPr>
              <w:rPr>
                <w:rFonts w:eastAsia="Times New Roman"/>
                <w:bCs/>
                <w:lang w:eastAsia="en-US"/>
              </w:rPr>
            </w:pPr>
            <w:r w:rsidRPr="00615529">
              <w:rPr>
                <w:rFonts w:eastAsia="Times New Roman"/>
                <w:bCs/>
                <w:lang w:eastAsia="en-US"/>
              </w:rPr>
              <w:t>8</w:t>
            </w:r>
          </w:p>
        </w:tc>
        <w:tc>
          <w:tcPr>
            <w:tcW w:w="876" w:type="dxa"/>
          </w:tcPr>
          <w:p w:rsidR="00F96463" w:rsidRPr="00615529" w:rsidRDefault="00F96463" w:rsidP="00016870">
            <w:pPr>
              <w:rPr>
                <w:rFonts w:eastAsia="Times New Roman"/>
                <w:bCs/>
                <w:lang w:eastAsia="en-US"/>
              </w:rPr>
            </w:pPr>
          </w:p>
        </w:tc>
        <w:tc>
          <w:tcPr>
            <w:tcW w:w="2325" w:type="dxa"/>
          </w:tcPr>
          <w:p w:rsidR="00F96463" w:rsidRPr="00615529" w:rsidRDefault="00F96463" w:rsidP="00615529">
            <w:pPr>
              <w:jc w:val="center"/>
              <w:rPr>
                <w:rFonts w:eastAsia="Times New Roman"/>
                <w:bCs/>
                <w:lang w:eastAsia="en-US"/>
              </w:rPr>
            </w:pPr>
            <w:r w:rsidRPr="00615529">
              <w:rPr>
                <w:rFonts w:eastAsia="Times New Roman"/>
                <w:bCs/>
                <w:lang w:eastAsia="en-US"/>
              </w:rPr>
              <w:t>Achieved</w:t>
            </w:r>
          </w:p>
        </w:tc>
      </w:tr>
    </w:tbl>
    <w:p w:rsidR="00F96463" w:rsidRPr="00F96463" w:rsidRDefault="00F96463" w:rsidP="00F96463">
      <w:pPr>
        <w:pStyle w:val="ListParagraph"/>
        <w:rPr>
          <w:rFonts w:eastAsia="Times New Roman"/>
          <w:bCs/>
          <w:szCs w:val="20"/>
          <w:lang w:eastAsia="en-US"/>
        </w:rPr>
      </w:pPr>
    </w:p>
    <w:p w:rsidR="00F446EA" w:rsidRDefault="006D7082" w:rsidP="00565B73">
      <w:pPr>
        <w:pStyle w:val="HTMLPreformatted"/>
        <w:numPr>
          <w:ilvl w:val="0"/>
          <w:numId w:val="7"/>
        </w:numPr>
        <w:autoSpaceDE w:val="0"/>
        <w:autoSpaceDN w:val="0"/>
        <w:adjustRightInd w:val="0"/>
        <w:ind w:left="0" w:firstLine="0"/>
        <w:jc w:val="both"/>
      </w:pPr>
      <w:r>
        <w:rPr>
          <w:b/>
        </w:rPr>
        <w:t>By Project completion, 36 situation rooms in 22 national jurisdictions could generate health information at the provincial and departmental level in</w:t>
      </w:r>
      <w:r w:rsidR="004875C9">
        <w:rPr>
          <w:b/>
        </w:rPr>
        <w:t xml:space="preserve"> </w:t>
      </w:r>
      <w:r>
        <w:rPr>
          <w:b/>
        </w:rPr>
        <w:t xml:space="preserve">a </w:t>
      </w:r>
      <w:r w:rsidR="00007E92">
        <w:rPr>
          <w:b/>
        </w:rPr>
        <w:t>systemic</w:t>
      </w:r>
      <w:r>
        <w:rPr>
          <w:b/>
        </w:rPr>
        <w:t xml:space="preserve"> and timely manner. </w:t>
      </w:r>
      <w:r w:rsidR="00F446EA">
        <w:t xml:space="preserve">Health related decision-making </w:t>
      </w:r>
      <w:r>
        <w:t>was</w:t>
      </w:r>
      <w:r w:rsidR="00F446EA">
        <w:t xml:space="preserve"> strengthened and systematized by the situation rooms improved ability to collect and analyze </w:t>
      </w:r>
      <w:r w:rsidR="00CD7180">
        <w:t>information to</w:t>
      </w:r>
      <w:r w:rsidR="00F446EA">
        <w:t xml:space="preserve"> describe existing health situations and prioritize health problems.</w:t>
      </w:r>
      <w:r w:rsidR="00F446EA">
        <w:rPr>
          <w:rStyle w:val="FootnoteReference"/>
        </w:rPr>
        <w:footnoteReference w:id="32"/>
      </w:r>
      <w:r w:rsidR="00F446EA">
        <w:t xml:space="preserve"> </w:t>
      </w:r>
      <w:r w:rsidR="00007E92">
        <w:t>Surveillance</w:t>
      </w:r>
      <w:r>
        <w:t xml:space="preserve"> capacity was strengthened through the reinforcement of human and capital resources in the HSRs. </w:t>
      </w:r>
      <w:r w:rsidR="00F446EA" w:rsidRPr="006C7195">
        <w:t>During Project implementation it was decided to extend the certification process for two additional years, and apply a more in depth and complex certification process in the third year to promote institutionalization and improve the quality of generated information.</w:t>
      </w:r>
      <w:r w:rsidR="00F446EA" w:rsidRPr="00565B73">
        <w:t xml:space="preserve"> </w:t>
      </w:r>
      <w:r w:rsidR="00936A37">
        <w:t>Thirty-seven of the 38 HSRs were certified in 2010 and 2011 and 36 in 2012 by an ITA, practically achieving the target (95 percent achieved) for key indicator 1.</w:t>
      </w:r>
      <w:r w:rsidR="00936A37">
        <w:rPr>
          <w:rStyle w:val="FootnoteReference"/>
        </w:rPr>
        <w:footnoteReference w:id="33"/>
      </w:r>
      <w:r w:rsidR="00936A37">
        <w:t xml:space="preserve"> </w:t>
      </w:r>
      <w:r w:rsidR="00936A37" w:rsidRPr="00C42EEF">
        <w:rPr>
          <w:szCs w:val="24"/>
        </w:rPr>
        <w:t xml:space="preserve">The HSR certification criteria were based on the following: (i) institutional mechanisms for the integration and diffusion of information, (ii) </w:t>
      </w:r>
      <w:r w:rsidR="00936A37">
        <w:rPr>
          <w:szCs w:val="24"/>
        </w:rPr>
        <w:t>health</w:t>
      </w:r>
      <w:r w:rsidR="00936A37" w:rsidRPr="00C42EEF">
        <w:rPr>
          <w:szCs w:val="24"/>
        </w:rPr>
        <w:t xml:space="preserve"> quality improvements, (iii) improvements in the technical quality of </w:t>
      </w:r>
      <w:r w:rsidR="00936A37">
        <w:rPr>
          <w:szCs w:val="24"/>
        </w:rPr>
        <w:t>the</w:t>
      </w:r>
      <w:r w:rsidR="00936A37" w:rsidRPr="00C42EEF">
        <w:rPr>
          <w:szCs w:val="24"/>
        </w:rPr>
        <w:t xml:space="preserve"> analysis, and (iv) HSR functioning</w:t>
      </w:r>
      <w:r w:rsidR="00936A37">
        <w:t xml:space="preserve">. The target for the </w:t>
      </w:r>
      <w:r w:rsidR="00936A37" w:rsidRPr="00816C1F">
        <w:t>Level II accreditation</w:t>
      </w:r>
      <w:r w:rsidR="00936A37">
        <w:t xml:space="preserve"> (indicator 2) was surpassed, with 28 situation rooms </w:t>
      </w:r>
      <w:r w:rsidR="00007E92">
        <w:t xml:space="preserve">(compared to a target of 16) </w:t>
      </w:r>
      <w:r w:rsidR="00936A37">
        <w:t>reaching a very high level of certification.</w:t>
      </w:r>
      <w:r w:rsidR="00936A37">
        <w:rPr>
          <w:rStyle w:val="FootnoteReference"/>
        </w:rPr>
        <w:footnoteReference w:id="34"/>
      </w:r>
      <w:r w:rsidR="00936A37" w:rsidRPr="00816C1F">
        <w:t xml:space="preserve"> </w:t>
      </w:r>
      <w:r w:rsidR="00936A37">
        <w:t>Financing of the situation rooms was related with disbursements and the annual certification process.</w:t>
      </w:r>
      <w:r w:rsidR="00936A37">
        <w:rPr>
          <w:b/>
        </w:rPr>
        <w:t xml:space="preserve"> </w:t>
      </w:r>
    </w:p>
    <w:p w:rsidR="00A25712" w:rsidRDefault="00A25712" w:rsidP="00A25712">
      <w:pPr>
        <w:pStyle w:val="HTMLPreformatted"/>
        <w:autoSpaceDE w:val="0"/>
        <w:autoSpaceDN w:val="0"/>
        <w:adjustRightInd w:val="0"/>
        <w:jc w:val="both"/>
      </w:pPr>
    </w:p>
    <w:p w:rsidR="003B53B2" w:rsidRDefault="003B53B2" w:rsidP="00063612">
      <w:pPr>
        <w:pStyle w:val="HTMLPreformatted"/>
        <w:numPr>
          <w:ilvl w:val="0"/>
          <w:numId w:val="7"/>
        </w:numPr>
        <w:autoSpaceDE w:val="0"/>
        <w:autoSpaceDN w:val="0"/>
        <w:adjustRightInd w:val="0"/>
        <w:ind w:left="0" w:firstLine="0"/>
        <w:jc w:val="both"/>
      </w:pPr>
      <w:r>
        <w:rPr>
          <w:b/>
        </w:rPr>
        <w:t xml:space="preserve">The Project supported the reinforcement of human and capital resources in the </w:t>
      </w:r>
      <w:r w:rsidR="00F446EA">
        <w:rPr>
          <w:b/>
        </w:rPr>
        <w:t>HSRs</w:t>
      </w:r>
      <w:r w:rsidRPr="00951A31">
        <w:rPr>
          <w:b/>
        </w:rPr>
        <w:t xml:space="preserve"> </w:t>
      </w:r>
      <w:r>
        <w:rPr>
          <w:b/>
        </w:rPr>
        <w:t>t</w:t>
      </w:r>
      <w:r w:rsidRPr="00B64AE5">
        <w:rPr>
          <w:b/>
        </w:rPr>
        <w:t>o streng</w:t>
      </w:r>
      <w:r>
        <w:rPr>
          <w:b/>
        </w:rPr>
        <w:t>t</w:t>
      </w:r>
      <w:r w:rsidRPr="00B64AE5">
        <w:rPr>
          <w:b/>
        </w:rPr>
        <w:t>hen surveillance capacity</w:t>
      </w:r>
      <w:r w:rsidR="00F96463">
        <w:rPr>
          <w:b/>
        </w:rPr>
        <w:t>.</w:t>
      </w:r>
      <w:r>
        <w:rPr>
          <w:b/>
        </w:rPr>
        <w:t xml:space="preserve"> </w:t>
      </w:r>
      <w:r w:rsidRPr="00203A47">
        <w:t xml:space="preserve">Each </w:t>
      </w:r>
      <w:r>
        <w:t xml:space="preserve">situation room </w:t>
      </w:r>
      <w:r w:rsidRPr="00203A47">
        <w:t>contract</w:t>
      </w:r>
      <w:r>
        <w:t>ed</w:t>
      </w:r>
      <w:r w:rsidRPr="00203A47">
        <w:t xml:space="preserve"> a minimum of two epidemiologists and an assistant, install</w:t>
      </w:r>
      <w:r>
        <w:t>ed</w:t>
      </w:r>
      <w:r w:rsidRPr="00203A47">
        <w:t xml:space="preserve"> </w:t>
      </w:r>
      <w:r>
        <w:t xml:space="preserve">an </w:t>
      </w:r>
      <w:r w:rsidRPr="00203A47">
        <w:t>internet connection, and cover</w:t>
      </w:r>
      <w:r>
        <w:t>ed</w:t>
      </w:r>
      <w:r w:rsidRPr="00203A47">
        <w:t xml:space="preserve"> office costs and a training module speci</w:t>
      </w:r>
      <w:r w:rsidR="00F96463">
        <w:t>alized for the hired personnel.</w:t>
      </w:r>
      <w:r w:rsidRPr="00203A47">
        <w:t xml:space="preserve"> </w:t>
      </w:r>
      <w:r>
        <w:t xml:space="preserve">A shortage of </w:t>
      </w:r>
      <w:r w:rsidR="00EA1C2E">
        <w:t>epidemiologists</w:t>
      </w:r>
      <w:r>
        <w:t xml:space="preserve">, led the Project to finance a postgraduate course at the University of Cordoba specializing in </w:t>
      </w:r>
      <w:r w:rsidR="00273E0B">
        <w:t>e</w:t>
      </w:r>
      <w:r>
        <w:t xml:space="preserve">pidemiology for more than 200 professionals in two cohorts, </w:t>
      </w:r>
      <w:r w:rsidR="00474797">
        <w:t>which were then staffed in the s</w:t>
      </w:r>
      <w:r>
        <w:t xml:space="preserve">ituation rooms or employed in the national and provincial </w:t>
      </w:r>
      <w:r w:rsidR="004114D9">
        <w:t>Epidemiology</w:t>
      </w:r>
      <w:r w:rsidR="00F96463">
        <w:t xml:space="preserve"> offices.</w:t>
      </w:r>
      <w:r>
        <w:t xml:space="preserve"> An </w:t>
      </w:r>
      <w:r w:rsidR="00EA1C2E">
        <w:t>evaluation</w:t>
      </w:r>
      <w:r>
        <w:t xml:space="preserve"> of the first cohort found that most students were satisfied with the course. </w:t>
      </w:r>
      <w:r w:rsidR="005700AC" w:rsidRPr="005700AC">
        <w:rPr>
          <w:szCs w:val="24"/>
        </w:rPr>
        <w:t xml:space="preserve">Fifty-eight percent of those surveyed stated that their expectations had been met, while 24 percent stated that their expectations had been </w:t>
      </w:r>
      <w:r w:rsidR="005700AC" w:rsidRPr="005700AC">
        <w:rPr>
          <w:szCs w:val="24"/>
        </w:rPr>
        <w:lastRenderedPageBreak/>
        <w:t xml:space="preserve">surpassed. </w:t>
      </w:r>
      <w:r w:rsidR="00474797">
        <w:t>The c</w:t>
      </w:r>
      <w:r>
        <w:t xml:space="preserve">omponent financed workshops and training events for the strengthening of epidemiological vigilance, and completed a number of studies tied to A/H1N1. </w:t>
      </w:r>
    </w:p>
    <w:p w:rsidR="003B53B2" w:rsidRDefault="003B53B2" w:rsidP="003B53B2">
      <w:pPr>
        <w:pStyle w:val="HTMLPreformatted"/>
        <w:autoSpaceDE w:val="0"/>
        <w:autoSpaceDN w:val="0"/>
        <w:adjustRightInd w:val="0"/>
        <w:jc w:val="both"/>
      </w:pPr>
    </w:p>
    <w:p w:rsidR="003B53B2" w:rsidRPr="00816C1F" w:rsidRDefault="00565B73" w:rsidP="00063612">
      <w:pPr>
        <w:pStyle w:val="HTMLPreformatted"/>
        <w:numPr>
          <w:ilvl w:val="0"/>
          <w:numId w:val="7"/>
        </w:numPr>
        <w:autoSpaceDE w:val="0"/>
        <w:autoSpaceDN w:val="0"/>
        <w:adjustRightInd w:val="0"/>
        <w:ind w:left="0" w:firstLine="0"/>
        <w:jc w:val="both"/>
      </w:pPr>
      <w:r>
        <w:rPr>
          <w:rFonts w:cs="Times New Roman"/>
          <w:b/>
          <w:bCs/>
          <w:iCs/>
        </w:rPr>
        <w:t>Key indi</w:t>
      </w:r>
      <w:r w:rsidR="003B53B2" w:rsidRPr="00816C1F">
        <w:rPr>
          <w:b/>
        </w:rPr>
        <w:t xml:space="preserve">cator </w:t>
      </w:r>
      <w:r w:rsidR="003B53B2">
        <w:rPr>
          <w:b/>
        </w:rPr>
        <w:t>3</w:t>
      </w:r>
      <w:r>
        <w:rPr>
          <w:b/>
        </w:rPr>
        <w:t xml:space="preserve">, </w:t>
      </w:r>
      <w:r w:rsidR="003B53B2">
        <w:rPr>
          <w:b/>
        </w:rPr>
        <w:t>implementation of the Operational M</w:t>
      </w:r>
      <w:r w:rsidR="003B53B2" w:rsidRPr="00816C1F">
        <w:rPr>
          <w:b/>
        </w:rPr>
        <w:t>odules of Social Communication, w</w:t>
      </w:r>
      <w:r>
        <w:rPr>
          <w:b/>
        </w:rPr>
        <w:t>as</w:t>
      </w:r>
      <w:r w:rsidR="003B53B2" w:rsidRPr="00816C1F">
        <w:rPr>
          <w:b/>
        </w:rPr>
        <w:t xml:space="preserve"> achieved. </w:t>
      </w:r>
      <w:r w:rsidR="003B53B2">
        <w:t xml:space="preserve">The objective of the MOCS was to create local communication campaigns that </w:t>
      </w:r>
      <w:r w:rsidR="003B53B2" w:rsidRPr="00816C1F">
        <w:t>increase</w:t>
      </w:r>
      <w:r w:rsidR="003B53B2">
        <w:t>d</w:t>
      </w:r>
      <w:r w:rsidR="003B53B2" w:rsidRPr="00816C1F">
        <w:t xml:space="preserve"> public awareness of influenza, encourage</w:t>
      </w:r>
      <w:r w:rsidR="003B53B2">
        <w:t>d</w:t>
      </w:r>
      <w:r w:rsidR="003B53B2" w:rsidRPr="00816C1F">
        <w:t xml:space="preserve"> prevention through vaccination, and promote</w:t>
      </w:r>
      <w:r w:rsidR="003B53B2">
        <w:t>d</w:t>
      </w:r>
      <w:r w:rsidR="003B53B2" w:rsidRPr="00816C1F">
        <w:t xml:space="preserve"> self-care against the transmission of infectious diseases</w:t>
      </w:r>
      <w:r w:rsidR="003B53B2">
        <w:t>, by focusing on prevention measures for respiratory diseases, and promotion of early doctor visits.</w:t>
      </w:r>
      <w:r w:rsidR="003B53B2">
        <w:rPr>
          <w:rStyle w:val="FootnoteReference"/>
        </w:rPr>
        <w:footnoteReference w:id="35"/>
      </w:r>
      <w:r w:rsidR="003B53B2">
        <w:t xml:space="preserve"> </w:t>
      </w:r>
      <w:r w:rsidR="003B53B2" w:rsidRPr="00816C1F">
        <w:t xml:space="preserve">The </w:t>
      </w:r>
      <w:r w:rsidR="003B53B2">
        <w:t>M</w:t>
      </w:r>
      <w:r w:rsidR="003B53B2" w:rsidRPr="00816C1F">
        <w:t>OCS design</w:t>
      </w:r>
      <w:r w:rsidR="003B53B2">
        <w:t>ed</w:t>
      </w:r>
      <w:r w:rsidR="003B53B2" w:rsidRPr="00816C1F">
        <w:t>, produc</w:t>
      </w:r>
      <w:r w:rsidR="003B53B2">
        <w:t>ed</w:t>
      </w:r>
      <w:r w:rsidR="003B53B2" w:rsidRPr="00816C1F">
        <w:t xml:space="preserve"> and disseminat</w:t>
      </w:r>
      <w:r w:rsidR="003B53B2">
        <w:t>ed</w:t>
      </w:r>
      <w:r w:rsidR="003B53B2" w:rsidRPr="00816C1F">
        <w:t xml:space="preserve"> audiovisual and graphic materials, to run </w:t>
      </w:r>
      <w:r w:rsidR="003B53B2">
        <w:t xml:space="preserve">integrated </w:t>
      </w:r>
      <w:r w:rsidR="003B53B2" w:rsidRPr="00816C1F">
        <w:t>local culturally appropriate communication campaigns.</w:t>
      </w:r>
      <w:r w:rsidR="00F96463">
        <w:t xml:space="preserve"> </w:t>
      </w:r>
      <w:r w:rsidR="0069666D">
        <w:t xml:space="preserve">Indicator achievement for evaluation purposes was measured according to reports on MOCS activities approved by the MSN, however ITA validation was needed to receive outcome disbursements. </w:t>
      </w:r>
      <w:r w:rsidR="00474797">
        <w:t>Ninety</w:t>
      </w:r>
      <w:r w:rsidR="00474797" w:rsidRPr="00D37982">
        <w:t xml:space="preserve"> percent </w:t>
      </w:r>
      <w:r w:rsidR="00474797">
        <w:t>were implemented and approved by the MSN, and 83 percent were validated by ITA</w:t>
      </w:r>
      <w:r w:rsidR="00474797" w:rsidRPr="00D37982">
        <w:t>. Likewise, 90 percent of the 45 MOCS adapted for indigenous populations were implemented</w:t>
      </w:r>
      <w:r w:rsidR="00474797">
        <w:t xml:space="preserve"> (indicator 4)</w:t>
      </w:r>
      <w:r w:rsidR="00474797" w:rsidRPr="00D37982">
        <w:t xml:space="preserve">, </w:t>
      </w:r>
      <w:r w:rsidR="00474797">
        <w:t xml:space="preserve">and </w:t>
      </w:r>
      <w:r w:rsidR="00474797" w:rsidRPr="00D37982">
        <w:t>80 percent were validated</w:t>
      </w:r>
      <w:r w:rsidR="00474797">
        <w:t xml:space="preserve"> by ITA.</w:t>
      </w:r>
      <w:r w:rsidR="00474797" w:rsidRPr="00D37982">
        <w:rPr>
          <w:rStyle w:val="FootnoteReference"/>
        </w:rPr>
        <w:footnoteReference w:id="36"/>
      </w:r>
      <w:r w:rsidR="003B53B2">
        <w:t xml:space="preserve"> A survey carried out in September 2011 to evaluate the experience of MOCS in terms of vaccine prevention promotion and improvement of inter institutional relations had positive results.</w:t>
      </w:r>
      <w:r w:rsidR="003B53B2">
        <w:rPr>
          <w:rStyle w:val="FootnoteReference"/>
        </w:rPr>
        <w:footnoteReference w:id="37"/>
      </w:r>
      <w:r w:rsidR="003B53B2">
        <w:t xml:space="preserve"> </w:t>
      </w:r>
    </w:p>
    <w:p w:rsidR="003B53B2" w:rsidRDefault="003B53B2" w:rsidP="003B53B2">
      <w:pPr>
        <w:pStyle w:val="HTMLPreformatted"/>
        <w:autoSpaceDE w:val="0"/>
        <w:autoSpaceDN w:val="0"/>
        <w:adjustRightInd w:val="0"/>
        <w:jc w:val="both"/>
        <w:rPr>
          <w:rFonts w:cs="Times New Roman"/>
          <w:b/>
          <w:bCs/>
          <w:i/>
        </w:rPr>
      </w:pPr>
    </w:p>
    <w:p w:rsidR="00565B73" w:rsidRDefault="00936A37" w:rsidP="00060E9B">
      <w:pPr>
        <w:pStyle w:val="HTMLPreformatted"/>
        <w:numPr>
          <w:ilvl w:val="0"/>
          <w:numId w:val="7"/>
        </w:numPr>
        <w:autoSpaceDE w:val="0"/>
        <w:autoSpaceDN w:val="0"/>
        <w:adjustRightInd w:val="0"/>
        <w:ind w:left="0" w:firstLine="0"/>
        <w:jc w:val="both"/>
        <w:rPr>
          <w:rFonts w:cs="Times New Roman"/>
        </w:rPr>
      </w:pPr>
      <w:r>
        <w:rPr>
          <w:noProof/>
        </w:rPr>
        <w:drawing>
          <wp:anchor distT="0" distB="0" distL="114300" distR="114300" simplePos="0" relativeHeight="251660288" behindDoc="0" locked="0" layoutInCell="1" allowOverlap="1" wp14:anchorId="507BB779" wp14:editId="353A6D82">
            <wp:simplePos x="0" y="0"/>
            <wp:positionH relativeFrom="column">
              <wp:posOffset>113030</wp:posOffset>
            </wp:positionH>
            <wp:positionV relativeFrom="paragraph">
              <wp:posOffset>57150</wp:posOffset>
            </wp:positionV>
            <wp:extent cx="2929890" cy="1701165"/>
            <wp:effectExtent l="0" t="0" r="381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29890" cy="1701165"/>
                    </a:xfrm>
                    <a:prstGeom prst="rect">
                      <a:avLst/>
                    </a:prstGeom>
                  </pic:spPr>
                </pic:pic>
              </a:graphicData>
            </a:graphic>
            <wp14:sizeRelH relativeFrom="margin">
              <wp14:pctWidth>0</wp14:pctWidth>
            </wp14:sizeRelH>
            <wp14:sizeRelV relativeFrom="margin">
              <wp14:pctHeight>0</wp14:pctHeight>
            </wp14:sizeRelV>
          </wp:anchor>
        </w:drawing>
      </w:r>
      <w:r w:rsidR="00565B73">
        <w:rPr>
          <w:rFonts w:cs="Times New Roman"/>
          <w:b/>
          <w:bCs/>
        </w:rPr>
        <w:t>The Project’s effic</w:t>
      </w:r>
      <w:r w:rsidR="006F51EC">
        <w:rPr>
          <w:rFonts w:cs="Times New Roman"/>
          <w:b/>
          <w:bCs/>
        </w:rPr>
        <w:t>acy</w:t>
      </w:r>
      <w:r w:rsidR="00565B73">
        <w:rPr>
          <w:rFonts w:cs="Times New Roman"/>
          <w:b/>
          <w:bCs/>
        </w:rPr>
        <w:t xml:space="preserve"> was </w:t>
      </w:r>
      <w:r w:rsidR="00780126">
        <w:rPr>
          <w:rFonts w:cs="Times New Roman"/>
          <w:b/>
          <w:bCs/>
        </w:rPr>
        <w:t xml:space="preserve">high </w:t>
      </w:r>
      <w:r w:rsidR="00565B73">
        <w:rPr>
          <w:rFonts w:cs="Times New Roman"/>
          <w:b/>
          <w:bCs/>
        </w:rPr>
        <w:t xml:space="preserve">in its capacity to strengthen </w:t>
      </w:r>
      <w:r w:rsidR="00565B73" w:rsidRPr="00B435CF">
        <w:rPr>
          <w:rFonts w:cs="Times New Roman"/>
          <w:b/>
          <w:bCs/>
          <w:iCs/>
        </w:rPr>
        <w:t>the response capacity of the health system to control</w:t>
      </w:r>
      <w:r w:rsidR="00565B73">
        <w:rPr>
          <w:rFonts w:cs="Times New Roman"/>
          <w:bCs/>
          <w:iCs/>
        </w:rPr>
        <w:t xml:space="preserve"> </w:t>
      </w:r>
      <w:r w:rsidR="00565B73">
        <w:rPr>
          <w:rFonts w:cs="Times New Roman"/>
          <w:b/>
          <w:bCs/>
        </w:rPr>
        <w:t xml:space="preserve">a second A/H1N1 wave. </w:t>
      </w:r>
      <w:r w:rsidR="00565B73" w:rsidRPr="00AB4C4F">
        <w:rPr>
          <w:rFonts w:cs="Times New Roman"/>
          <w:bCs/>
        </w:rPr>
        <w:t xml:space="preserve">This sub-objective was measured by </w:t>
      </w:r>
      <w:r w:rsidR="00B856DD">
        <w:rPr>
          <w:rFonts w:cs="Times New Roman"/>
          <w:bCs/>
        </w:rPr>
        <w:t>three</w:t>
      </w:r>
      <w:r w:rsidR="00565B73" w:rsidRPr="00AB4C4F">
        <w:rPr>
          <w:rFonts w:cs="Times New Roman"/>
          <w:bCs/>
        </w:rPr>
        <w:t xml:space="preserve"> key indicators: </w:t>
      </w:r>
      <w:r w:rsidR="006F51EC">
        <w:rPr>
          <w:rFonts w:cs="Times New Roman"/>
          <w:bCs/>
        </w:rPr>
        <w:t>d</w:t>
      </w:r>
      <w:r w:rsidR="00565B73" w:rsidRPr="00AB4C4F">
        <w:rPr>
          <w:rFonts w:cs="Times New Roman"/>
          <w:bCs/>
        </w:rPr>
        <w:t>ose of</w:t>
      </w:r>
      <w:r w:rsidR="00565B73" w:rsidRPr="00AB4C4F">
        <w:rPr>
          <w:rFonts w:cs="Times New Roman"/>
        </w:rPr>
        <w:t xml:space="preserve"> A/H1N1 vaccine applied (key indicator 5), </w:t>
      </w:r>
      <w:r w:rsidR="00565B73" w:rsidRPr="00AB4C4F">
        <w:t>dose of pneumococcal vaccine applied (key indicator 6) and influenza diagnostic laboratory tests carried out in 2010 and 2011 (key indicator 13)</w:t>
      </w:r>
      <w:r w:rsidR="00565B73" w:rsidRPr="00AB4C4F">
        <w:rPr>
          <w:rFonts w:cs="Times New Roman"/>
          <w:bCs/>
        </w:rPr>
        <w:t xml:space="preserve">. </w:t>
      </w:r>
      <w:r w:rsidR="00565B73" w:rsidRPr="00AB4C4F">
        <w:t xml:space="preserve">Achievement of the sub-objective was substantial </w:t>
      </w:r>
      <w:r w:rsidR="00565B73">
        <w:t xml:space="preserve">as reflected </w:t>
      </w:r>
      <w:r w:rsidR="003A42BE">
        <w:t>in high</w:t>
      </w:r>
      <w:r w:rsidR="00565B73">
        <w:t xml:space="preserve"> coverage levels and low mortality in 2010 and 2011. </w:t>
      </w:r>
      <w:r w:rsidR="00565B73" w:rsidRPr="00566B2F">
        <w:rPr>
          <w:rFonts w:cs="Times New Roman"/>
        </w:rPr>
        <w:t>Coordination</w:t>
      </w:r>
      <w:r w:rsidR="00565B73" w:rsidRPr="00E40526">
        <w:rPr>
          <w:rFonts w:cs="Times New Roman"/>
        </w:rPr>
        <w:t xml:space="preserve"> between the National Government and the provinces for the control and prevention </w:t>
      </w:r>
      <w:r w:rsidR="00565B73">
        <w:rPr>
          <w:rFonts w:cs="Times New Roman"/>
        </w:rPr>
        <w:t xml:space="preserve">of influenza-like illnesses was highly effective. </w:t>
      </w:r>
      <w:r w:rsidR="00AD72F0" w:rsidRPr="00E40526">
        <w:rPr>
          <w:rFonts w:cs="Times New Roman"/>
        </w:rPr>
        <w:t xml:space="preserve">The infection rate </w:t>
      </w:r>
      <w:r w:rsidR="00AD72F0">
        <w:rPr>
          <w:rFonts w:cs="Times New Roman"/>
        </w:rPr>
        <w:t>for</w:t>
      </w:r>
      <w:r w:rsidR="00AD72F0" w:rsidRPr="00E40526">
        <w:rPr>
          <w:rFonts w:cs="Times New Roman"/>
        </w:rPr>
        <w:t xml:space="preserve"> all kinds of influenza w</w:t>
      </w:r>
      <w:r w:rsidR="00AD72F0">
        <w:rPr>
          <w:rFonts w:cs="Times New Roman"/>
        </w:rPr>
        <w:t>as</w:t>
      </w:r>
      <w:r w:rsidR="00AD72F0" w:rsidRPr="00E40526">
        <w:rPr>
          <w:rFonts w:cs="Times New Roman"/>
        </w:rPr>
        <w:t xml:space="preserve"> 49 percent lower in 2010 than in the same period in 2009</w:t>
      </w:r>
      <w:r w:rsidR="00AD72F0">
        <w:rPr>
          <w:rFonts w:cs="Times New Roman"/>
        </w:rPr>
        <w:t>, with only two deaths being attributed to A/H1N1 (neither a high-risk individual)</w:t>
      </w:r>
      <w:r w:rsidR="00AD72F0" w:rsidRPr="00E40526">
        <w:rPr>
          <w:rFonts w:cs="Times New Roman"/>
        </w:rPr>
        <w:t>.</w:t>
      </w:r>
      <w:r w:rsidR="00AD72F0">
        <w:rPr>
          <w:rFonts w:cs="Times New Roman"/>
        </w:rPr>
        <w:t xml:space="preserve"> </w:t>
      </w:r>
      <w:r w:rsidR="00565B73">
        <w:rPr>
          <w:rFonts w:cs="Times New Roman"/>
        </w:rPr>
        <w:t>Graph 1 displays the difference between 2009 and 2010 in weekly cases of individuals with Influenza-like symptoms.</w:t>
      </w:r>
      <w:r w:rsidR="00565B73">
        <w:rPr>
          <w:rStyle w:val="FootnoteReference"/>
          <w:rFonts w:cs="Times New Roman"/>
        </w:rPr>
        <w:footnoteReference w:id="38"/>
      </w:r>
      <w:r w:rsidR="00565B73">
        <w:rPr>
          <w:rFonts w:cs="Times New Roman"/>
        </w:rPr>
        <w:t xml:space="preserve">  </w:t>
      </w:r>
    </w:p>
    <w:p w:rsidR="003B53B2" w:rsidRDefault="006F51EC" w:rsidP="00063612">
      <w:pPr>
        <w:pStyle w:val="HTMLPreformatted"/>
        <w:numPr>
          <w:ilvl w:val="0"/>
          <w:numId w:val="7"/>
        </w:numPr>
        <w:autoSpaceDE w:val="0"/>
        <w:autoSpaceDN w:val="0"/>
        <w:adjustRightInd w:val="0"/>
        <w:ind w:left="0" w:firstLine="0"/>
        <w:jc w:val="both"/>
        <w:rPr>
          <w:rFonts w:cs="Times New Roman"/>
        </w:rPr>
      </w:pPr>
      <w:r>
        <w:rPr>
          <w:rFonts w:cs="Times New Roman"/>
          <w:b/>
          <w:bCs/>
          <w:iCs/>
        </w:rPr>
        <w:lastRenderedPageBreak/>
        <w:t xml:space="preserve">Key </w:t>
      </w:r>
      <w:r w:rsidR="003B53B2">
        <w:rPr>
          <w:rFonts w:cs="Times New Roman"/>
          <w:b/>
        </w:rPr>
        <w:t>indicator 5, dose of A/H1N</w:t>
      </w:r>
      <w:r w:rsidR="00F96463">
        <w:rPr>
          <w:rFonts w:cs="Times New Roman"/>
          <w:b/>
        </w:rPr>
        <w:t>1 vaccine applied was achieved.</w:t>
      </w:r>
      <w:r w:rsidR="003B53B2">
        <w:rPr>
          <w:rFonts w:cs="Times New Roman"/>
          <w:b/>
        </w:rPr>
        <w:t xml:space="preserve"> </w:t>
      </w:r>
      <w:r w:rsidR="003B53B2">
        <w:rPr>
          <w:rFonts w:cs="Times New Roman"/>
        </w:rPr>
        <w:t xml:space="preserve">The GOA began the A/H1N1 vaccination campaign in February 2010 and 14 days before the </w:t>
      </w:r>
      <w:r w:rsidR="00EA1C2E">
        <w:rPr>
          <w:rFonts w:cs="Times New Roman"/>
        </w:rPr>
        <w:t>beginning</w:t>
      </w:r>
      <w:r w:rsidR="003B53B2">
        <w:rPr>
          <w:rFonts w:cs="Times New Roman"/>
        </w:rPr>
        <w:t xml:space="preserve"> of winter h</w:t>
      </w:r>
      <w:r w:rsidR="00F96463">
        <w:rPr>
          <w:rFonts w:cs="Times New Roman"/>
        </w:rPr>
        <w:t>ad reached 80 percent coverage.</w:t>
      </w:r>
      <w:r w:rsidR="003B53B2">
        <w:rPr>
          <w:rFonts w:cs="Times New Roman"/>
        </w:rPr>
        <w:t xml:space="preserve"> Coverage was aimed at those most at risk, and reached 93 percent and 108 percent coverage, respectively in 2010 and 2011, surpassing the 90 percent Project target.</w:t>
      </w:r>
      <w:r w:rsidR="003B53B2">
        <w:rPr>
          <w:rStyle w:val="FootnoteReference"/>
          <w:rFonts w:cs="Times New Roman"/>
        </w:rPr>
        <w:footnoteReference w:id="39"/>
      </w:r>
      <w:r w:rsidR="00F96463">
        <w:rPr>
          <w:rFonts w:cs="Times New Roman"/>
        </w:rPr>
        <w:t xml:space="preserve"> </w:t>
      </w:r>
      <w:r w:rsidR="003B53B2">
        <w:rPr>
          <w:rFonts w:cs="Times New Roman"/>
        </w:rPr>
        <w:t xml:space="preserve">Though the MSN covered the cost of the vaccines, the </w:t>
      </w:r>
      <w:r w:rsidR="00AC14AA">
        <w:rPr>
          <w:rFonts w:cs="Times New Roman"/>
        </w:rPr>
        <w:t xml:space="preserve">World </w:t>
      </w:r>
      <w:r w:rsidR="003B53B2">
        <w:rPr>
          <w:rFonts w:cs="Times New Roman"/>
        </w:rPr>
        <w:t>Bank</w:t>
      </w:r>
      <w:r w:rsidR="008E2DBB">
        <w:rPr>
          <w:rFonts w:cs="Times New Roman"/>
        </w:rPr>
        <w:t xml:space="preserve"> loan</w:t>
      </w:r>
      <w:r w:rsidR="003B53B2">
        <w:rPr>
          <w:rFonts w:cs="Times New Roman"/>
        </w:rPr>
        <w:t xml:space="preserve"> covered the costs associated with vaccine injection, with the latter </w:t>
      </w:r>
      <w:r w:rsidR="00EA1C2E">
        <w:rPr>
          <w:rFonts w:cs="Times New Roman"/>
        </w:rPr>
        <w:t>transferring</w:t>
      </w:r>
      <w:r w:rsidR="003B53B2">
        <w:rPr>
          <w:rFonts w:cs="Times New Roman"/>
        </w:rPr>
        <w:t xml:space="preserve"> to the provinces a set amount per vaccine applied. During the first restructuring, funds allocated to category 4 (outputs) were increased to finance a second complimentary vaccination, namely the 2011 National Free Vaccinat</w:t>
      </w:r>
      <w:r w:rsidR="00F96463">
        <w:rPr>
          <w:rFonts w:cs="Times New Roman"/>
        </w:rPr>
        <w:t>ion Campaign against Influenza.</w:t>
      </w:r>
      <w:r w:rsidR="003B53B2">
        <w:rPr>
          <w:rFonts w:cs="Times New Roman"/>
        </w:rPr>
        <w:t xml:space="preserve"> This Campaign was a result of the positive impact on reducing virus communicability of the 2010 campaign, and with the objective of guaranteeing free vaccination and maximum coverage in the whole country for the defined risk population groups. The Campaign also allowed the ministry to provide ambulatory attention to patients with symptoms compatible with Influenza. </w:t>
      </w:r>
      <w:r w:rsidR="00474797">
        <w:rPr>
          <w:rFonts w:cs="Times New Roman"/>
        </w:rPr>
        <w:t xml:space="preserve">Indicator 7, dose of A/H1N1 vaccine included in the national calendar applied, surpassed the established target (80 percent) in 2011 and 2012. </w:t>
      </w:r>
    </w:p>
    <w:p w:rsidR="006C351A" w:rsidRDefault="006C351A" w:rsidP="00C836A6">
      <w:pPr>
        <w:pStyle w:val="HTMLPreformatted"/>
        <w:autoSpaceDE w:val="0"/>
        <w:autoSpaceDN w:val="0"/>
        <w:adjustRightInd w:val="0"/>
        <w:jc w:val="both"/>
        <w:rPr>
          <w:rFonts w:cs="Times New Roman"/>
        </w:rPr>
      </w:pPr>
    </w:p>
    <w:p w:rsidR="006C351A" w:rsidRPr="006C351A" w:rsidRDefault="006C351A" w:rsidP="006C351A">
      <w:pPr>
        <w:pStyle w:val="HTMLPreformatted"/>
        <w:numPr>
          <w:ilvl w:val="0"/>
          <w:numId w:val="7"/>
        </w:numPr>
        <w:autoSpaceDE w:val="0"/>
        <w:autoSpaceDN w:val="0"/>
        <w:adjustRightInd w:val="0"/>
        <w:ind w:left="0" w:firstLine="0"/>
        <w:jc w:val="both"/>
      </w:pPr>
      <w:r>
        <w:rPr>
          <w:b/>
        </w:rPr>
        <w:t>Positive externalities attributable to public health-related i</w:t>
      </w:r>
      <w:r w:rsidRPr="00816C1F">
        <w:rPr>
          <w:b/>
        </w:rPr>
        <w:t>nvestments benefit</w:t>
      </w:r>
      <w:r>
        <w:rPr>
          <w:b/>
        </w:rPr>
        <w:t>ted</w:t>
      </w:r>
      <w:r w:rsidRPr="00816C1F">
        <w:rPr>
          <w:b/>
        </w:rPr>
        <w:t xml:space="preserve"> the whole population.</w:t>
      </w:r>
      <w:r w:rsidR="00F96463">
        <w:t xml:space="preserve"> </w:t>
      </w:r>
      <w:r>
        <w:t xml:space="preserve">Vaccination of those </w:t>
      </w:r>
      <w:r w:rsidRPr="00816C1F">
        <w:t xml:space="preserve">most </w:t>
      </w:r>
      <w:r>
        <w:t>susceptible and vulnerable</w:t>
      </w:r>
      <w:r w:rsidRPr="00816C1F">
        <w:t xml:space="preserve"> to the A/H1N1 virus</w:t>
      </w:r>
      <w:r>
        <w:t xml:space="preserve"> reduced both mortality and communicability, while the reduction in transmission had national as </w:t>
      </w:r>
      <w:r w:rsidR="00F96463">
        <w:t>well as international benefits.</w:t>
      </w:r>
      <w:r>
        <w:t xml:space="preserve"> Lastly, b</w:t>
      </w:r>
      <w:r w:rsidRPr="00816C1F">
        <w:t>y strengthening the Government’s capacity and capability to confront an influenza epidemic,</w:t>
      </w:r>
      <w:r>
        <w:t xml:space="preserve"> the Project built </w:t>
      </w:r>
      <w:r w:rsidRPr="00816C1F">
        <w:t xml:space="preserve">the GOA’s capability to </w:t>
      </w:r>
      <w:r>
        <w:t>monitor and respond to a host of health priorities</w:t>
      </w:r>
      <w:r w:rsidRPr="00816C1F">
        <w:t xml:space="preserve">.  </w:t>
      </w:r>
    </w:p>
    <w:p w:rsidR="003B53B2" w:rsidRDefault="003B53B2" w:rsidP="003B53B2">
      <w:pPr>
        <w:pStyle w:val="HTMLPreformatted"/>
        <w:autoSpaceDE w:val="0"/>
        <w:autoSpaceDN w:val="0"/>
        <w:adjustRightInd w:val="0"/>
        <w:jc w:val="both"/>
        <w:rPr>
          <w:rFonts w:cs="Times New Roman"/>
          <w:b/>
        </w:rPr>
      </w:pPr>
    </w:p>
    <w:p w:rsidR="004E6923" w:rsidRPr="004875C9" w:rsidRDefault="00936A37" w:rsidP="00936A37">
      <w:pPr>
        <w:pStyle w:val="HTMLPreformatted"/>
        <w:numPr>
          <w:ilvl w:val="0"/>
          <w:numId w:val="7"/>
        </w:numPr>
        <w:autoSpaceDE w:val="0"/>
        <w:autoSpaceDN w:val="0"/>
        <w:adjustRightInd w:val="0"/>
        <w:ind w:left="0" w:firstLine="0"/>
        <w:jc w:val="both"/>
        <w:rPr>
          <w:rFonts w:ascii="Times" w:hAnsi="Times" w:cs="Times"/>
        </w:rPr>
      </w:pPr>
      <w:r>
        <w:rPr>
          <w:rFonts w:cs="Times New Roman"/>
          <w:b/>
        </w:rPr>
        <w:t xml:space="preserve">Key indicator </w:t>
      </w:r>
      <w:r>
        <w:rPr>
          <w:b/>
        </w:rPr>
        <w:t xml:space="preserve">6, dose of </w:t>
      </w:r>
      <w:r w:rsidRPr="0004627C">
        <w:rPr>
          <w:b/>
        </w:rPr>
        <w:t>pneumococcal vaccine applied</w:t>
      </w:r>
      <w:r>
        <w:t xml:space="preserve"> </w:t>
      </w:r>
      <w:r>
        <w:rPr>
          <w:b/>
        </w:rPr>
        <w:t xml:space="preserve">successfully </w:t>
      </w:r>
      <w:r w:rsidRPr="00441974">
        <w:rPr>
          <w:b/>
        </w:rPr>
        <w:t>reached its target in 2011.</w:t>
      </w:r>
      <w:r>
        <w:t xml:space="preserve"> Insufficient coverage in 2010 (36 percent coverage) likely resulted from an initial focus on the influenza campaign due to the fear of a subsequent A/H1N1 wave, </w:t>
      </w:r>
      <w:r w:rsidRPr="00816C1F">
        <w:t>an overestimation of the target</w:t>
      </w:r>
      <w:r>
        <w:t xml:space="preserve">, lack of registration and notification by health personnel of applied doses, and ambiguousness regarding the target population. Once these factors were addressed, and information regarding applied doses was included in the SNVS, coverage climbed to 99.3 percent by 2011. Starting in January 2012, the vaccine </w:t>
      </w:r>
      <w:r w:rsidRPr="00F061C8">
        <w:t>was introduced in the national calendar vaccination schedule</w:t>
      </w:r>
      <w:r w:rsidRPr="00680AC2">
        <w:t xml:space="preserve"> </w:t>
      </w:r>
      <w:r w:rsidRPr="00786038">
        <w:t xml:space="preserve">for children less than two years of </w:t>
      </w:r>
      <w:r w:rsidRPr="00F061C8">
        <w:t>age. Indicator 8, dose of pneumococcal vaccine included in the national calendar applied surpassed the target (80 percent) in 2012.</w:t>
      </w:r>
    </w:p>
    <w:p w:rsidR="001E287E" w:rsidRDefault="001E287E">
      <w:pPr>
        <w:rPr>
          <w:rFonts w:eastAsia="Times New Roman" w:cs="Courier New"/>
          <w:szCs w:val="20"/>
          <w:lang w:eastAsia="en-US"/>
        </w:rPr>
      </w:pPr>
      <w:r>
        <w:br w:type="page"/>
      </w:r>
    </w:p>
    <w:tbl>
      <w:tblPr>
        <w:tblStyle w:val="TableGrid"/>
        <w:tblW w:w="0" w:type="auto"/>
        <w:jc w:val="center"/>
        <w:tblLook w:val="04A0" w:firstRow="1" w:lastRow="0" w:firstColumn="1" w:lastColumn="0" w:noHBand="0" w:noVBand="1"/>
      </w:tblPr>
      <w:tblGrid>
        <w:gridCol w:w="8856"/>
      </w:tblGrid>
      <w:tr w:rsidR="003B53B2" w:rsidTr="00063612">
        <w:trPr>
          <w:jc w:val="center"/>
        </w:trPr>
        <w:tc>
          <w:tcPr>
            <w:tcW w:w="8856" w:type="dxa"/>
          </w:tcPr>
          <w:p w:rsidR="003B53B2" w:rsidRPr="000971DA" w:rsidRDefault="003B53B2" w:rsidP="00F50D5B">
            <w:pPr>
              <w:pStyle w:val="HTMLPreformatted"/>
              <w:autoSpaceDE w:val="0"/>
              <w:autoSpaceDN w:val="0"/>
              <w:adjustRightInd w:val="0"/>
              <w:jc w:val="both"/>
              <w:rPr>
                <w:rFonts w:cs="Times New Roman"/>
                <w:i/>
              </w:rPr>
            </w:pPr>
            <w:r w:rsidRPr="000971DA">
              <w:rPr>
                <w:rFonts w:cs="Times New Roman"/>
                <w:i/>
              </w:rPr>
              <w:lastRenderedPageBreak/>
              <w:t xml:space="preserve">PRONACEI identified the following achievements from the 2010 and 2011 vaccination campaigns: </w:t>
            </w:r>
          </w:p>
          <w:p w:rsidR="003B53B2" w:rsidRPr="000971DA" w:rsidRDefault="003B53B2" w:rsidP="00305FBA">
            <w:pPr>
              <w:pStyle w:val="HTMLPreformatted"/>
              <w:numPr>
                <w:ilvl w:val="0"/>
                <w:numId w:val="3"/>
              </w:numPr>
              <w:autoSpaceDE w:val="0"/>
              <w:autoSpaceDN w:val="0"/>
              <w:adjustRightInd w:val="0"/>
              <w:jc w:val="both"/>
              <w:rPr>
                <w:rFonts w:cs="Times New Roman"/>
                <w:i/>
              </w:rPr>
            </w:pPr>
            <w:r w:rsidRPr="000971DA">
              <w:rPr>
                <w:rFonts w:cs="Times New Roman"/>
                <w:i/>
              </w:rPr>
              <w:t xml:space="preserve">Adequate local demand for the vaccine </w:t>
            </w:r>
          </w:p>
          <w:p w:rsidR="003B53B2" w:rsidRPr="000971DA" w:rsidRDefault="003B53B2" w:rsidP="00305FBA">
            <w:pPr>
              <w:pStyle w:val="HTMLPreformatted"/>
              <w:numPr>
                <w:ilvl w:val="0"/>
                <w:numId w:val="3"/>
              </w:numPr>
              <w:autoSpaceDE w:val="0"/>
              <w:autoSpaceDN w:val="0"/>
              <w:adjustRightInd w:val="0"/>
              <w:jc w:val="both"/>
              <w:rPr>
                <w:rFonts w:cs="Times New Roman"/>
                <w:i/>
              </w:rPr>
            </w:pPr>
            <w:r w:rsidRPr="000971DA">
              <w:rPr>
                <w:rFonts w:cs="Times New Roman"/>
                <w:i/>
              </w:rPr>
              <w:t>Coordinated and harmonized message by the relevant actors</w:t>
            </w:r>
          </w:p>
          <w:p w:rsidR="003B53B2" w:rsidRPr="000971DA" w:rsidRDefault="003B53B2" w:rsidP="00305FBA">
            <w:pPr>
              <w:pStyle w:val="HTMLPreformatted"/>
              <w:numPr>
                <w:ilvl w:val="0"/>
                <w:numId w:val="3"/>
              </w:numPr>
              <w:autoSpaceDE w:val="0"/>
              <w:autoSpaceDN w:val="0"/>
              <w:adjustRightInd w:val="0"/>
              <w:jc w:val="both"/>
              <w:rPr>
                <w:rFonts w:cs="Times New Roman"/>
                <w:i/>
              </w:rPr>
            </w:pPr>
            <w:r w:rsidRPr="000971DA">
              <w:rPr>
                <w:rFonts w:cs="Times New Roman"/>
                <w:i/>
              </w:rPr>
              <w:t>Effective and safe vaccine</w:t>
            </w:r>
          </w:p>
          <w:p w:rsidR="003B53B2" w:rsidRPr="000971DA" w:rsidRDefault="003B53B2" w:rsidP="00305FBA">
            <w:pPr>
              <w:pStyle w:val="HTMLPreformatted"/>
              <w:numPr>
                <w:ilvl w:val="0"/>
                <w:numId w:val="3"/>
              </w:numPr>
              <w:autoSpaceDE w:val="0"/>
              <w:autoSpaceDN w:val="0"/>
              <w:adjustRightInd w:val="0"/>
              <w:jc w:val="both"/>
              <w:rPr>
                <w:rFonts w:cs="Times New Roman"/>
                <w:i/>
              </w:rPr>
            </w:pPr>
            <w:r w:rsidRPr="000971DA">
              <w:rPr>
                <w:rFonts w:cs="Times New Roman"/>
                <w:i/>
              </w:rPr>
              <w:t>Distribution of technical norms before the campaign</w:t>
            </w:r>
          </w:p>
          <w:p w:rsidR="003B53B2" w:rsidRPr="000971DA" w:rsidRDefault="003B53B2" w:rsidP="00305FBA">
            <w:pPr>
              <w:pStyle w:val="HTMLPreformatted"/>
              <w:numPr>
                <w:ilvl w:val="0"/>
                <w:numId w:val="3"/>
              </w:numPr>
              <w:autoSpaceDE w:val="0"/>
              <w:autoSpaceDN w:val="0"/>
              <w:adjustRightInd w:val="0"/>
              <w:jc w:val="both"/>
              <w:rPr>
                <w:rFonts w:cs="Times New Roman"/>
                <w:i/>
              </w:rPr>
            </w:pPr>
            <w:r w:rsidRPr="000971DA">
              <w:rPr>
                <w:rFonts w:cs="Times New Roman"/>
                <w:i/>
              </w:rPr>
              <w:t>Adequate marketing diffusion</w:t>
            </w:r>
          </w:p>
          <w:p w:rsidR="003B53B2" w:rsidRPr="000971DA" w:rsidRDefault="003B53B2" w:rsidP="00305FBA">
            <w:pPr>
              <w:pStyle w:val="HTMLPreformatted"/>
              <w:numPr>
                <w:ilvl w:val="0"/>
                <w:numId w:val="3"/>
              </w:numPr>
              <w:autoSpaceDE w:val="0"/>
              <w:autoSpaceDN w:val="0"/>
              <w:adjustRightInd w:val="0"/>
              <w:jc w:val="both"/>
              <w:rPr>
                <w:rFonts w:cs="Times New Roman"/>
                <w:i/>
              </w:rPr>
            </w:pPr>
            <w:r w:rsidRPr="000971DA">
              <w:rPr>
                <w:rFonts w:cs="Times New Roman"/>
                <w:i/>
              </w:rPr>
              <w:t xml:space="preserve">Improvement in the registration of </w:t>
            </w:r>
            <w:r w:rsidR="00EA1C2E" w:rsidRPr="000971DA">
              <w:rPr>
                <w:rFonts w:cs="Times New Roman"/>
                <w:i/>
              </w:rPr>
              <w:t>doses</w:t>
            </w:r>
            <w:r w:rsidRPr="000971DA">
              <w:rPr>
                <w:rFonts w:cs="Times New Roman"/>
                <w:i/>
              </w:rPr>
              <w:t xml:space="preserve"> applied in the SNVS</w:t>
            </w:r>
          </w:p>
          <w:p w:rsidR="003B53B2" w:rsidRPr="000971DA" w:rsidRDefault="00EA1C2E" w:rsidP="00305FBA">
            <w:pPr>
              <w:pStyle w:val="HTMLPreformatted"/>
              <w:numPr>
                <w:ilvl w:val="0"/>
                <w:numId w:val="3"/>
              </w:numPr>
              <w:autoSpaceDE w:val="0"/>
              <w:autoSpaceDN w:val="0"/>
              <w:adjustRightInd w:val="0"/>
              <w:jc w:val="both"/>
              <w:rPr>
                <w:rFonts w:cs="Times New Roman"/>
                <w:i/>
              </w:rPr>
            </w:pPr>
            <w:r w:rsidRPr="000971DA">
              <w:rPr>
                <w:rFonts w:cs="Times New Roman"/>
                <w:i/>
              </w:rPr>
              <w:t>Introduction</w:t>
            </w:r>
            <w:r w:rsidR="003B53B2" w:rsidRPr="000971DA">
              <w:rPr>
                <w:rFonts w:cs="Times New Roman"/>
                <w:i/>
              </w:rPr>
              <w:t xml:space="preserve"> of the flu vaccine into the National Vaccination Calendar</w:t>
            </w:r>
          </w:p>
          <w:p w:rsidR="003B53B2" w:rsidRDefault="003B53B2" w:rsidP="00305FBA">
            <w:pPr>
              <w:pStyle w:val="HTMLPreformatted"/>
              <w:numPr>
                <w:ilvl w:val="0"/>
                <w:numId w:val="3"/>
              </w:numPr>
              <w:autoSpaceDE w:val="0"/>
              <w:autoSpaceDN w:val="0"/>
              <w:adjustRightInd w:val="0"/>
              <w:jc w:val="both"/>
              <w:rPr>
                <w:rFonts w:cs="Times New Roman"/>
              </w:rPr>
            </w:pPr>
            <w:r w:rsidRPr="000971DA">
              <w:rPr>
                <w:rFonts w:cs="Times New Roman"/>
                <w:i/>
              </w:rPr>
              <w:t>Execution of training workshops in the provinces</w:t>
            </w:r>
          </w:p>
        </w:tc>
      </w:tr>
    </w:tbl>
    <w:p w:rsidR="00E86084" w:rsidRDefault="00E86084" w:rsidP="003B53B2">
      <w:pPr>
        <w:pStyle w:val="HTMLPreformatted"/>
        <w:autoSpaceDE w:val="0"/>
        <w:autoSpaceDN w:val="0"/>
        <w:adjustRightInd w:val="0"/>
        <w:jc w:val="both"/>
        <w:rPr>
          <w:rFonts w:cs="Times New Roman"/>
        </w:rPr>
      </w:pPr>
    </w:p>
    <w:p w:rsidR="0069666D" w:rsidRDefault="00A02389" w:rsidP="00A02389">
      <w:pPr>
        <w:pStyle w:val="HTMLPreformatted"/>
        <w:numPr>
          <w:ilvl w:val="0"/>
          <w:numId w:val="7"/>
        </w:numPr>
        <w:autoSpaceDE w:val="0"/>
        <w:autoSpaceDN w:val="0"/>
        <w:adjustRightInd w:val="0"/>
        <w:ind w:left="0" w:firstLine="0"/>
        <w:jc w:val="both"/>
      </w:pPr>
      <w:r>
        <w:rPr>
          <w:b/>
        </w:rPr>
        <w:t>Key indicator 13</w:t>
      </w:r>
      <w:r w:rsidRPr="00D5337E">
        <w:rPr>
          <w:b/>
        </w:rPr>
        <w:t xml:space="preserve">, influenza diagnostic laboratory tests carried out in 2010 and 2011, was </w:t>
      </w:r>
      <w:r w:rsidR="00007E92">
        <w:rPr>
          <w:b/>
        </w:rPr>
        <w:t>surpassed</w:t>
      </w:r>
      <w:r w:rsidRPr="00D5337E">
        <w:rPr>
          <w:b/>
        </w:rPr>
        <w:t>.</w:t>
      </w:r>
      <w:r>
        <w:t xml:space="preserve"> Surveillance of ARI’s via laboratory tests provides information regarding the frequency and distribution of the main respiratory viruses, the virus subtypes and characteristics of the affected population to adopt prevention measures and policies to control and manage public health. </w:t>
      </w:r>
      <w:r w:rsidR="001B487D">
        <w:t xml:space="preserve">Sixty-five thousand </w:t>
      </w:r>
      <w:r w:rsidR="004875C9">
        <w:t>three</w:t>
      </w:r>
      <w:r w:rsidR="001B487D">
        <w:t xml:space="preserve"> hundred and </w:t>
      </w:r>
      <w:r w:rsidR="004875C9">
        <w:t>forty one</w:t>
      </w:r>
      <w:r w:rsidR="001B487D">
        <w:t xml:space="preserve"> l</w:t>
      </w:r>
      <w:r>
        <w:t xml:space="preserve">aboratory tests were performed in </w:t>
      </w:r>
      <w:r w:rsidR="001B487D">
        <w:t xml:space="preserve">2010 and </w:t>
      </w:r>
      <w:r>
        <w:t xml:space="preserve">2011 </w:t>
      </w:r>
      <w:r w:rsidR="001B487D">
        <w:t>surpassing</w:t>
      </w:r>
      <w:r>
        <w:t xml:space="preserve"> the 54,000 target. The number of influenza samples analyzed also increased annually, with an 11.53 percent increase with respect to the average in 2010-2012. In 2013 all the provinces submitted samples for respiratory viruses, with 111 laboratories providing samples of hospitalized patients and 45 of ambulatory patients</w:t>
      </w:r>
    </w:p>
    <w:p w:rsidR="00A02389" w:rsidRPr="00733D69" w:rsidRDefault="00A02389" w:rsidP="00A02389">
      <w:pPr>
        <w:pStyle w:val="HTMLPreformatted"/>
        <w:autoSpaceDE w:val="0"/>
        <w:autoSpaceDN w:val="0"/>
        <w:adjustRightInd w:val="0"/>
        <w:jc w:val="both"/>
      </w:pPr>
    </w:p>
    <w:p w:rsidR="003B53B2" w:rsidRDefault="003B53B2" w:rsidP="00330F28">
      <w:pPr>
        <w:pStyle w:val="HTMLPreformatted"/>
        <w:numPr>
          <w:ilvl w:val="0"/>
          <w:numId w:val="7"/>
        </w:numPr>
        <w:autoSpaceDE w:val="0"/>
        <w:autoSpaceDN w:val="0"/>
        <w:adjustRightInd w:val="0"/>
        <w:ind w:left="0" w:firstLine="0"/>
        <w:jc w:val="both"/>
      </w:pPr>
      <w:r w:rsidRPr="00C14D32">
        <w:rPr>
          <w:b/>
        </w:rPr>
        <w:t xml:space="preserve">In addition to </w:t>
      </w:r>
      <w:r w:rsidRPr="00565B73">
        <w:rPr>
          <w:b/>
        </w:rPr>
        <w:t>prevention</w:t>
      </w:r>
      <w:r w:rsidR="00565B73" w:rsidRPr="00565B73">
        <w:rPr>
          <w:b/>
        </w:rPr>
        <w:t>, t</w:t>
      </w:r>
      <w:r w:rsidRPr="00565B73">
        <w:rPr>
          <w:b/>
        </w:rPr>
        <w:t>he Project sought to improve attention in hospitals by financing the provision of antiviral treatments and the realization of laboratory tests, as well as the provision of</w:t>
      </w:r>
      <w:r w:rsidR="00F96463" w:rsidRPr="00565B73">
        <w:rPr>
          <w:b/>
        </w:rPr>
        <w:t xml:space="preserve"> inputs and hospital equipment.</w:t>
      </w:r>
      <w:r w:rsidRPr="00C14D32">
        <w:t xml:space="preserve"> The targets for indicator</w:t>
      </w:r>
      <w:r w:rsidR="00CE7FDD">
        <w:t>s</w:t>
      </w:r>
      <w:r w:rsidR="00F96463">
        <w:t xml:space="preserve"> 9 and 11 were achieved.</w:t>
      </w:r>
      <w:r w:rsidRPr="00C14D32">
        <w:rPr>
          <w:b/>
        </w:rPr>
        <w:t xml:space="preserve"> </w:t>
      </w:r>
      <w:r w:rsidRPr="00812C1F">
        <w:t>The target for indicator 9, outp</w:t>
      </w:r>
      <w:r w:rsidR="00B856DD">
        <w:t>atient</w:t>
      </w:r>
      <w:r w:rsidRPr="00812C1F">
        <w:t xml:space="preserve"> treatment provided, was surpassed in both 2010 and 2011 as revealed in the SNVS.</w:t>
      </w:r>
      <w:r w:rsidRPr="00C14D32">
        <w:rPr>
          <w:b/>
        </w:rPr>
        <w:t xml:space="preserve"> </w:t>
      </w:r>
      <w:r w:rsidRPr="002E34B0">
        <w:t xml:space="preserve">Over 100 percent of the registered cases of Influenza-type illnesses were treated in 2010, and 99 percent in 2011. In addition to improving </w:t>
      </w:r>
      <w:r>
        <w:t>virus</w:t>
      </w:r>
      <w:r w:rsidRPr="002E34B0">
        <w:t xml:space="preserve"> registration, th</w:t>
      </w:r>
      <w:r w:rsidR="008E2DBB">
        <w:t>is result</w:t>
      </w:r>
      <w:r w:rsidRPr="002E34B0">
        <w:t xml:space="preserve"> also contributed to the strengthening </w:t>
      </w:r>
      <w:r>
        <w:t xml:space="preserve">and </w:t>
      </w:r>
      <w:r w:rsidRPr="002E34B0">
        <w:t>legitimiz</w:t>
      </w:r>
      <w:r>
        <w:t xml:space="preserve">ation </w:t>
      </w:r>
      <w:r w:rsidRPr="002E34B0">
        <w:t>of the SNVS system</w:t>
      </w:r>
      <w:r w:rsidR="00F96463">
        <w:t>.</w:t>
      </w:r>
      <w:r w:rsidRPr="00812C1F">
        <w:t xml:space="preserve"> </w:t>
      </w:r>
      <w:r w:rsidR="00330F28" w:rsidRPr="00E8527A">
        <w:rPr>
          <w:rFonts w:cs="Times New Roman"/>
          <w:bCs/>
          <w:iCs/>
        </w:rPr>
        <w:t xml:space="preserve">Intermediate </w:t>
      </w:r>
      <w:r w:rsidR="00E8527A">
        <w:rPr>
          <w:rFonts w:cs="Times New Roman"/>
          <w:bCs/>
          <w:iCs/>
        </w:rPr>
        <w:t>health</w:t>
      </w:r>
      <w:r w:rsidR="00E8527A" w:rsidRPr="00E8527A">
        <w:rPr>
          <w:rFonts w:cs="Times New Roman"/>
          <w:bCs/>
          <w:iCs/>
        </w:rPr>
        <w:t xml:space="preserve"> </w:t>
      </w:r>
      <w:r w:rsidR="00330F28" w:rsidRPr="00E8527A">
        <w:rPr>
          <w:rFonts w:cs="Times New Roman"/>
          <w:bCs/>
          <w:iCs/>
        </w:rPr>
        <w:t>outcome</w:t>
      </w:r>
      <w:r w:rsidR="00330F28">
        <w:rPr>
          <w:rFonts w:cs="Times New Roman"/>
          <w:b/>
          <w:bCs/>
          <w:iCs/>
        </w:rPr>
        <w:t xml:space="preserve"> </w:t>
      </w:r>
      <w:r w:rsidR="00330F28">
        <w:t>i</w:t>
      </w:r>
      <w:r w:rsidRPr="00812C1F">
        <w:t>ndicator 11, inpatient treatment provided in hospital due to ARI</w:t>
      </w:r>
      <w:r w:rsidR="00936A37">
        <w:t>,</w:t>
      </w:r>
      <w:r w:rsidRPr="00812C1F">
        <w:t xml:space="preserve"> was achieved with 40,936 individuals receiving treatment (10,000 individuals over the target).</w:t>
      </w:r>
    </w:p>
    <w:p w:rsidR="004111D6" w:rsidRDefault="004111D6" w:rsidP="004111D6">
      <w:pPr>
        <w:pStyle w:val="ListParagraph"/>
      </w:pPr>
    </w:p>
    <w:p w:rsidR="004111D6" w:rsidRDefault="004111D6" w:rsidP="004111D6">
      <w:pPr>
        <w:pStyle w:val="HTMLPreformatted"/>
        <w:numPr>
          <w:ilvl w:val="0"/>
          <w:numId w:val="7"/>
        </w:numPr>
        <w:autoSpaceDE w:val="0"/>
        <w:autoSpaceDN w:val="0"/>
        <w:adjustRightInd w:val="0"/>
        <w:ind w:left="0" w:firstLine="0"/>
        <w:jc w:val="both"/>
      </w:pPr>
      <w:r w:rsidRPr="009B7C03">
        <w:rPr>
          <w:b/>
        </w:rPr>
        <w:t xml:space="preserve">The purchase of </w:t>
      </w:r>
      <w:r>
        <w:rPr>
          <w:b/>
        </w:rPr>
        <w:t>medical</w:t>
      </w:r>
      <w:r w:rsidRPr="009B7C03">
        <w:rPr>
          <w:b/>
        </w:rPr>
        <w:t xml:space="preserve"> equipment strengthened </w:t>
      </w:r>
      <w:r>
        <w:rPr>
          <w:b/>
        </w:rPr>
        <w:t xml:space="preserve">Argentina’s </w:t>
      </w:r>
      <w:r w:rsidRPr="009B7C03">
        <w:rPr>
          <w:b/>
        </w:rPr>
        <w:t xml:space="preserve">health care </w:t>
      </w:r>
      <w:r>
        <w:rPr>
          <w:b/>
        </w:rPr>
        <w:t>network</w:t>
      </w:r>
      <w:r>
        <w:t>. In an effort to strengthen the quality of care and health network, 608 beds (37.33 percent of those available) were equipped with a multi-parametric monitor, while 164 ambulances were purchased, providing an important tool to reduce mortality, improve rapid attention and increase social inclusion. An additional 46 provincial neonatal ambulances improve the timely attention for neonates while they are transferred to hospitals, which in turn will likely reduce infant mortality, especially for those which travel long distances to specialized hospitals.</w:t>
      </w:r>
      <w:r w:rsidRPr="00816C1F">
        <w:t xml:space="preserve"> </w:t>
      </w:r>
      <w:r>
        <w:t>The Project also contributed to the strengthening of epidemiological vigilance through the purchase and distribution of IT equipment intended for the SNVS.</w:t>
      </w:r>
    </w:p>
    <w:p w:rsidR="00565B73" w:rsidRDefault="00565B73" w:rsidP="006C7195">
      <w:pPr>
        <w:pStyle w:val="HTMLPreformatted"/>
        <w:autoSpaceDE w:val="0"/>
        <w:autoSpaceDN w:val="0"/>
        <w:adjustRightInd w:val="0"/>
        <w:jc w:val="both"/>
      </w:pPr>
    </w:p>
    <w:p w:rsidR="001E287E" w:rsidRDefault="001E287E" w:rsidP="006C7195">
      <w:pPr>
        <w:pStyle w:val="HTMLPreformatted"/>
        <w:autoSpaceDE w:val="0"/>
        <w:autoSpaceDN w:val="0"/>
        <w:adjustRightInd w:val="0"/>
        <w:jc w:val="both"/>
      </w:pPr>
    </w:p>
    <w:p w:rsidR="003B53B2" w:rsidRPr="00AA39F2" w:rsidRDefault="003B53B2" w:rsidP="00063612">
      <w:pPr>
        <w:pStyle w:val="HTMLPreformatted"/>
        <w:numPr>
          <w:ilvl w:val="0"/>
          <w:numId w:val="7"/>
        </w:numPr>
        <w:autoSpaceDE w:val="0"/>
        <w:autoSpaceDN w:val="0"/>
        <w:adjustRightInd w:val="0"/>
        <w:ind w:left="0" w:firstLine="0"/>
        <w:jc w:val="both"/>
        <w:rPr>
          <w:rFonts w:cs="Times New Roman"/>
          <w:bCs/>
        </w:rPr>
      </w:pPr>
      <w:r>
        <w:rPr>
          <w:rFonts w:cs="Times New Roman"/>
          <w:b/>
          <w:bCs/>
        </w:rPr>
        <w:lastRenderedPageBreak/>
        <w:t>Project management was strengthened through the use of existing management units within the MSN at the national and provincial level for Project execution.</w:t>
      </w:r>
      <w:r w:rsidR="00F96463">
        <w:rPr>
          <w:rFonts w:cs="Times New Roman"/>
          <w:bCs/>
        </w:rPr>
        <w:t xml:space="preserve"> </w:t>
      </w:r>
      <w:r>
        <w:rPr>
          <w:rFonts w:cs="Times New Roman"/>
          <w:bCs/>
        </w:rPr>
        <w:t xml:space="preserve">The use of </w:t>
      </w:r>
      <w:r w:rsidR="00EA1C2E">
        <w:rPr>
          <w:rFonts w:cs="Times New Roman"/>
          <w:bCs/>
        </w:rPr>
        <w:t>existing</w:t>
      </w:r>
      <w:r>
        <w:rPr>
          <w:rFonts w:cs="Times New Roman"/>
          <w:bCs/>
        </w:rPr>
        <w:t xml:space="preserve"> units instead of the </w:t>
      </w:r>
      <w:r w:rsidR="008E2DBB">
        <w:rPr>
          <w:rFonts w:cs="Times New Roman"/>
          <w:bCs/>
        </w:rPr>
        <w:t>establishment</w:t>
      </w:r>
      <w:r>
        <w:rPr>
          <w:rFonts w:cs="Times New Roman"/>
          <w:bCs/>
        </w:rPr>
        <w:t xml:space="preserve"> of a Project coordinating unit meant that capacity was built within each unit and remained their o</w:t>
      </w:r>
      <w:r w:rsidR="00F96463">
        <w:rPr>
          <w:rFonts w:cs="Times New Roman"/>
          <w:bCs/>
        </w:rPr>
        <w:t xml:space="preserve">nce the Project was completed. </w:t>
      </w:r>
      <w:r>
        <w:rPr>
          <w:rFonts w:cs="Times New Roman"/>
          <w:bCs/>
        </w:rPr>
        <w:t>This was particularly true for the improvement of monitoring capacities requir</w:t>
      </w:r>
      <w:r w:rsidR="00F96463">
        <w:rPr>
          <w:rFonts w:cs="Times New Roman"/>
          <w:bCs/>
        </w:rPr>
        <w:t>ed for the output-linked ITA’s.</w:t>
      </w:r>
      <w:r>
        <w:rPr>
          <w:rFonts w:cs="Times New Roman"/>
          <w:bCs/>
        </w:rPr>
        <w:t xml:space="preserve"> Further, t</w:t>
      </w:r>
      <w:r w:rsidRPr="00AA39F2">
        <w:t xml:space="preserve">he </w:t>
      </w:r>
      <w:r>
        <w:t xml:space="preserve">RBF mechanism </w:t>
      </w:r>
      <w:r w:rsidRPr="00AA39F2">
        <w:t xml:space="preserve">raised the provinces incentive to </w:t>
      </w:r>
      <w:r>
        <w:t xml:space="preserve">comply with Project requirements and strengthened the ability of the national </w:t>
      </w:r>
      <w:r w:rsidR="00B856DD">
        <w:t>G</w:t>
      </w:r>
      <w:r>
        <w:t xml:space="preserve">overnment to influence provincial health policy. </w:t>
      </w:r>
    </w:p>
    <w:p w:rsidR="003B53B2" w:rsidRPr="00816C1F" w:rsidRDefault="003B53B2" w:rsidP="003B53B2">
      <w:pPr>
        <w:pStyle w:val="HTMLPreformatted"/>
        <w:autoSpaceDE w:val="0"/>
        <w:autoSpaceDN w:val="0"/>
        <w:adjustRightInd w:val="0"/>
        <w:jc w:val="both"/>
        <w:rPr>
          <w:rFonts w:cs="Times New Roman"/>
          <w:bCs/>
        </w:rPr>
      </w:pPr>
    </w:p>
    <w:p w:rsidR="00524B3E" w:rsidRPr="001E245F" w:rsidRDefault="00524B3E" w:rsidP="00CC628D">
      <w:pPr>
        <w:pStyle w:val="HTMLPreformatted"/>
        <w:jc w:val="center"/>
        <w:rPr>
          <w:rFonts w:cs="Times New Roman"/>
          <w:b/>
        </w:rPr>
      </w:pPr>
      <w:r w:rsidRPr="001E245F">
        <w:rPr>
          <w:rFonts w:cs="Times New Roman"/>
          <w:b/>
        </w:rPr>
        <w:t xml:space="preserve">Table </w:t>
      </w:r>
      <w:r w:rsidR="00CC628D">
        <w:rPr>
          <w:rFonts w:cs="Times New Roman"/>
          <w:b/>
        </w:rPr>
        <w:t>2</w:t>
      </w:r>
      <w:r w:rsidRPr="001E245F">
        <w:rPr>
          <w:rFonts w:cs="Times New Roman"/>
          <w:b/>
        </w:rPr>
        <w:t>: Outputs and Source of Verification</w:t>
      </w:r>
    </w:p>
    <w:tbl>
      <w:tblPr>
        <w:tblStyle w:val="TableGrid"/>
        <w:tblW w:w="0" w:type="auto"/>
        <w:jc w:val="center"/>
        <w:tblLook w:val="04A0" w:firstRow="1" w:lastRow="0" w:firstColumn="1" w:lastColumn="0" w:noHBand="0" w:noVBand="1"/>
      </w:tblPr>
      <w:tblGrid>
        <w:gridCol w:w="4428"/>
        <w:gridCol w:w="4428"/>
      </w:tblGrid>
      <w:tr w:rsidR="00524B3E" w:rsidRPr="00CB57A8" w:rsidTr="001E287E">
        <w:trPr>
          <w:tblHeader/>
          <w:jc w:val="center"/>
        </w:trPr>
        <w:tc>
          <w:tcPr>
            <w:tcW w:w="4428" w:type="dxa"/>
            <w:shd w:val="clear" w:color="auto" w:fill="F2F2F2" w:themeFill="background1" w:themeFillShade="F2"/>
          </w:tcPr>
          <w:p w:rsidR="00524B3E" w:rsidRPr="00CB57A8" w:rsidRDefault="00524B3E" w:rsidP="00524B3E">
            <w:pPr>
              <w:pStyle w:val="HTMLPreformatted"/>
              <w:jc w:val="both"/>
              <w:rPr>
                <w:rFonts w:cs="Times New Roman"/>
                <w:b/>
                <w:i/>
                <w:szCs w:val="24"/>
              </w:rPr>
            </w:pPr>
            <w:r w:rsidRPr="00CB57A8">
              <w:rPr>
                <w:rFonts w:cs="Times New Roman"/>
                <w:b/>
                <w:i/>
                <w:szCs w:val="24"/>
              </w:rPr>
              <w:t>Outputs Component 1</w:t>
            </w:r>
          </w:p>
        </w:tc>
        <w:tc>
          <w:tcPr>
            <w:tcW w:w="4428" w:type="dxa"/>
            <w:shd w:val="clear" w:color="auto" w:fill="F2F2F2" w:themeFill="background1" w:themeFillShade="F2"/>
          </w:tcPr>
          <w:p w:rsidR="00524B3E" w:rsidRPr="00CB57A8" w:rsidRDefault="00524B3E" w:rsidP="00524B3E">
            <w:pPr>
              <w:pStyle w:val="HTMLPreformatted"/>
              <w:jc w:val="both"/>
              <w:rPr>
                <w:rFonts w:cs="Times New Roman"/>
                <w:b/>
                <w:i/>
                <w:szCs w:val="24"/>
              </w:rPr>
            </w:pPr>
            <w:r w:rsidRPr="00CB57A8">
              <w:rPr>
                <w:rFonts w:cs="Times New Roman"/>
                <w:b/>
                <w:i/>
                <w:szCs w:val="24"/>
              </w:rPr>
              <w:t>Source of Verification</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Health Situation Rooms Certified</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 xml:space="preserve">MSN report verified by the Independent </w:t>
            </w:r>
            <w:r w:rsidR="00EA1C2E" w:rsidRPr="00CB57A8">
              <w:rPr>
                <w:rFonts w:cs="Times New Roman"/>
                <w:szCs w:val="24"/>
              </w:rPr>
              <w:t>Technical</w:t>
            </w:r>
            <w:r w:rsidRPr="00CB57A8">
              <w:rPr>
                <w:rFonts w:cs="Times New Roman"/>
                <w:szCs w:val="24"/>
              </w:rPr>
              <w:t xml:space="preserve"> Audit (ITA)</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 xml:space="preserve">Operational Modules of Social Communication implemented (excluding indigenous peoples) </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MSN report verified by the ITA</w:t>
            </w:r>
          </w:p>
        </w:tc>
      </w:tr>
      <w:tr w:rsidR="00524B3E" w:rsidRPr="00CB57A8" w:rsidTr="001E287E">
        <w:trPr>
          <w:trHeight w:val="386"/>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Operational Modules of Social Communication implemented for indigenous peoples</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MSN report verified by the ITA</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i/>
                <w:szCs w:val="24"/>
              </w:rPr>
            </w:pPr>
            <w:r w:rsidRPr="00CB57A8">
              <w:rPr>
                <w:rFonts w:cs="Times New Roman"/>
                <w:i/>
                <w:szCs w:val="24"/>
              </w:rPr>
              <w:t>Output Components 2</w:t>
            </w:r>
          </w:p>
        </w:tc>
        <w:tc>
          <w:tcPr>
            <w:tcW w:w="4428" w:type="dxa"/>
          </w:tcPr>
          <w:p w:rsidR="00524B3E" w:rsidRPr="00CB57A8" w:rsidRDefault="00524B3E" w:rsidP="00E86084">
            <w:pPr>
              <w:pStyle w:val="HTMLPreformatted"/>
              <w:rPr>
                <w:rFonts w:cs="Times New Roman"/>
                <w:i/>
                <w:color w:val="FFFF00"/>
                <w:szCs w:val="24"/>
              </w:rPr>
            </w:pPr>
            <w:r w:rsidRPr="00CB57A8">
              <w:rPr>
                <w:rFonts w:cs="Times New Roman"/>
                <w:i/>
                <w:szCs w:val="24"/>
              </w:rPr>
              <w:t>Source of verification</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Dose of A/H1N1 vaccine applied</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Report of applied vaccines issued by EPI and verified by ITA</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Dose of Pneumococcal vaccine applied</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Report of applied vaccines issued by EPI and verified by ITA</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Outpatient treatment provided</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SNVS-based report issued by MSN and verified by ITA</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Inpatient treatment provided in hospitalization</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SNVS-based report issued by MSN and verified by ITA</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Inpatient treatment provided in ICU</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SNVS-based report issued by MSN and verified by ITA</w:t>
            </w:r>
          </w:p>
        </w:tc>
      </w:tr>
      <w:tr w:rsidR="00524B3E" w:rsidRPr="00CB57A8" w:rsidTr="001E287E">
        <w:trPr>
          <w:jc w:val="center"/>
        </w:trPr>
        <w:tc>
          <w:tcPr>
            <w:tcW w:w="4428" w:type="dxa"/>
          </w:tcPr>
          <w:p w:rsidR="00524B3E" w:rsidRPr="00CB57A8" w:rsidRDefault="00524B3E" w:rsidP="00524B3E">
            <w:pPr>
              <w:pStyle w:val="HTMLPreformatted"/>
              <w:jc w:val="both"/>
              <w:rPr>
                <w:rFonts w:cs="Times New Roman"/>
                <w:szCs w:val="24"/>
              </w:rPr>
            </w:pPr>
            <w:r w:rsidRPr="00CB57A8">
              <w:rPr>
                <w:rFonts w:cs="Times New Roman"/>
                <w:szCs w:val="24"/>
              </w:rPr>
              <w:t>Influenza diagnostic laboratory test carried out</w:t>
            </w:r>
          </w:p>
        </w:tc>
        <w:tc>
          <w:tcPr>
            <w:tcW w:w="4428" w:type="dxa"/>
          </w:tcPr>
          <w:p w:rsidR="00524B3E" w:rsidRPr="00CB57A8" w:rsidRDefault="00524B3E" w:rsidP="00E86084">
            <w:pPr>
              <w:pStyle w:val="HTMLPreformatted"/>
              <w:rPr>
                <w:rFonts w:cs="Times New Roman"/>
                <w:szCs w:val="24"/>
              </w:rPr>
            </w:pPr>
            <w:r w:rsidRPr="00CB57A8">
              <w:rPr>
                <w:rFonts w:cs="Times New Roman"/>
                <w:szCs w:val="24"/>
              </w:rPr>
              <w:t>Test beneficiaries listed in SIVILA’s Nominal Registry, and verified by ITA</w:t>
            </w:r>
          </w:p>
        </w:tc>
      </w:tr>
    </w:tbl>
    <w:p w:rsidR="00C67D43" w:rsidRPr="00816C1F" w:rsidRDefault="00C67D43" w:rsidP="003262E3">
      <w:pPr>
        <w:jc w:val="both"/>
      </w:pPr>
    </w:p>
    <w:p w:rsidR="009D112E" w:rsidRDefault="009D112E">
      <w:pPr>
        <w:rPr>
          <w:b/>
          <w:bCs/>
          <w:color w:val="000000"/>
        </w:rPr>
      </w:pPr>
      <w:bookmarkStart w:id="195" w:name="_Toc158019379"/>
      <w:bookmarkStart w:id="196" w:name="_IL17"/>
      <w:r>
        <w:br w:type="page"/>
      </w:r>
    </w:p>
    <w:p w:rsidR="00E07BAC" w:rsidRPr="00CC628D" w:rsidRDefault="00C67D43" w:rsidP="00CC628D">
      <w:pPr>
        <w:pStyle w:val="Heading2"/>
        <w:jc w:val="center"/>
        <w:rPr>
          <w:sz w:val="26"/>
          <w:szCs w:val="26"/>
        </w:rPr>
      </w:pPr>
      <w:bookmarkStart w:id="197" w:name="_Toc384896519"/>
      <w:r w:rsidRPr="00CC628D">
        <w:rPr>
          <w:sz w:val="26"/>
          <w:szCs w:val="26"/>
        </w:rPr>
        <w:lastRenderedPageBreak/>
        <w:t>Annex 3. Economic and Financial Analysis</w:t>
      </w:r>
      <w:bookmarkEnd w:id="195"/>
      <w:bookmarkEnd w:id="197"/>
    </w:p>
    <w:p w:rsidR="00EE7B50" w:rsidRPr="00816C1F" w:rsidRDefault="00EE7B50" w:rsidP="003262E3">
      <w:pPr>
        <w:jc w:val="both"/>
      </w:pPr>
      <w:bookmarkStart w:id="198" w:name="ANN5"/>
      <w:bookmarkEnd w:id="196"/>
      <w:bookmarkEnd w:id="198"/>
    </w:p>
    <w:p w:rsidR="00AB02DF" w:rsidRDefault="00AB02DF" w:rsidP="00305FBA">
      <w:pPr>
        <w:pStyle w:val="ListParagraph"/>
        <w:numPr>
          <w:ilvl w:val="0"/>
          <w:numId w:val="5"/>
        </w:numPr>
        <w:ind w:left="0" w:firstLine="0"/>
        <w:jc w:val="both"/>
      </w:pPr>
      <w:r w:rsidRPr="00AA1BF7">
        <w:rPr>
          <w:b/>
        </w:rPr>
        <w:t>Th</w:t>
      </w:r>
      <w:r w:rsidR="00E066D4">
        <w:rPr>
          <w:b/>
        </w:rPr>
        <w:t>e present a</w:t>
      </w:r>
      <w:r w:rsidRPr="00AA1BF7">
        <w:rPr>
          <w:b/>
        </w:rPr>
        <w:t xml:space="preserve">nnex exhibits the results of the economic evaluation of the Project using information </w:t>
      </w:r>
      <w:r w:rsidR="00C833C1" w:rsidRPr="00AA1BF7">
        <w:rPr>
          <w:b/>
        </w:rPr>
        <w:t>provided</w:t>
      </w:r>
      <w:r w:rsidRPr="00AA1BF7">
        <w:rPr>
          <w:b/>
        </w:rPr>
        <w:t xml:space="preserve"> by the MSN on the impact of </w:t>
      </w:r>
      <w:r w:rsidR="001C39AC">
        <w:rPr>
          <w:b/>
        </w:rPr>
        <w:t>health</w:t>
      </w:r>
      <w:r w:rsidRPr="00AA1BF7">
        <w:rPr>
          <w:b/>
        </w:rPr>
        <w:t xml:space="preserve"> measures against the A/H1N1 Influenza virus. </w:t>
      </w:r>
      <w:r w:rsidRPr="00C833C1">
        <w:t>Th</w:t>
      </w:r>
      <w:r w:rsidR="00C833C1" w:rsidRPr="00C833C1">
        <w:t>e</w:t>
      </w:r>
      <w:r w:rsidRPr="00C833C1">
        <w:t xml:space="preserve"> analysis takes into account not just the </w:t>
      </w:r>
      <w:r w:rsidR="00B856DD">
        <w:t>health</w:t>
      </w:r>
      <w:r w:rsidRPr="00C833C1">
        <w:t xml:space="preserve"> measure</w:t>
      </w:r>
      <w:r w:rsidR="00C833C1">
        <w:t>s</w:t>
      </w:r>
      <w:r w:rsidRPr="00C833C1">
        <w:t xml:space="preserve"> financed by the </w:t>
      </w:r>
      <w:r w:rsidR="00A02389">
        <w:t>P</w:t>
      </w:r>
      <w:r w:rsidRPr="00C833C1">
        <w:t xml:space="preserve">roject but also the entirety of </w:t>
      </w:r>
      <w:r w:rsidR="001C39AC">
        <w:t>health</w:t>
      </w:r>
      <w:r w:rsidRPr="00C833C1">
        <w:t xml:space="preserve"> measures implemented by the MSN to combat A/H1N1.</w:t>
      </w:r>
    </w:p>
    <w:p w:rsidR="00C833C1" w:rsidRDefault="00C833C1" w:rsidP="00AB02DF">
      <w:pPr>
        <w:jc w:val="both"/>
      </w:pPr>
    </w:p>
    <w:p w:rsidR="00AB02DF" w:rsidRDefault="00AB02DF" w:rsidP="00305FBA">
      <w:pPr>
        <w:pStyle w:val="ListParagraph"/>
        <w:numPr>
          <w:ilvl w:val="0"/>
          <w:numId w:val="5"/>
        </w:numPr>
        <w:ind w:left="0" w:firstLine="0"/>
        <w:jc w:val="both"/>
      </w:pPr>
      <w:r w:rsidRPr="00E066D4">
        <w:rPr>
          <w:b/>
        </w:rPr>
        <w:t xml:space="preserve">In Argentina the Influenza A/H1N1 </w:t>
      </w:r>
      <w:r w:rsidR="004111D6">
        <w:rPr>
          <w:b/>
        </w:rPr>
        <w:t>pandemic</w:t>
      </w:r>
      <w:r w:rsidRPr="00E066D4">
        <w:rPr>
          <w:b/>
        </w:rPr>
        <w:t xml:space="preserve"> had a high impact in terms of morbidity</w:t>
      </w:r>
      <w:r>
        <w:t xml:space="preserve"> </w:t>
      </w:r>
      <w:r w:rsidRPr="00E066D4">
        <w:rPr>
          <w:b/>
        </w:rPr>
        <w:t>and mortality</w:t>
      </w:r>
      <w:r>
        <w:t>. The peak of the transmission occurred between epidemiological week 25 and 26 throughout the country. According to SNVS in 2009 there were 1</w:t>
      </w:r>
      <w:r w:rsidR="005760A9">
        <w:t>,</w:t>
      </w:r>
      <w:r>
        <w:t>590</w:t>
      </w:r>
      <w:r w:rsidR="005760A9">
        <w:t>,</w:t>
      </w:r>
      <w:r>
        <w:t xml:space="preserve">660 cases of </w:t>
      </w:r>
      <w:r w:rsidR="00E83EC5" w:rsidRPr="00733D69">
        <w:t>I</w:t>
      </w:r>
      <w:r w:rsidR="00E83EC5" w:rsidRPr="00733D69">
        <w:rPr>
          <w:rFonts w:eastAsia="Times New Roman"/>
        </w:rPr>
        <w:t>nfluenza type illness (</w:t>
      </w:r>
      <w:r w:rsidR="00E83EC5" w:rsidRPr="00AD72F0">
        <w:rPr>
          <w:rFonts w:eastAsia="Times New Roman"/>
          <w:i/>
        </w:rPr>
        <w:t>En</w:t>
      </w:r>
      <w:r w:rsidR="00E83EC5" w:rsidRPr="00733D69">
        <w:rPr>
          <w:rFonts w:eastAsia="Times New Roman"/>
          <w:i/>
        </w:rPr>
        <w:t xml:space="preserve">fermedad tipo </w:t>
      </w:r>
      <w:r w:rsidR="003A42BE" w:rsidRPr="00733D69">
        <w:rPr>
          <w:rFonts w:eastAsia="Times New Roman"/>
          <w:i/>
        </w:rPr>
        <w:t>influenza</w:t>
      </w:r>
      <w:r w:rsidR="00E83EC5" w:rsidRPr="00733D69">
        <w:rPr>
          <w:rFonts w:eastAsia="Times New Roman"/>
        </w:rPr>
        <w:t xml:space="preserve"> </w:t>
      </w:r>
      <w:r w:rsidR="00E83EC5">
        <w:rPr>
          <w:rFonts w:eastAsia="Times New Roman"/>
        </w:rPr>
        <w:t>–</w:t>
      </w:r>
      <w:r w:rsidR="00E83EC5" w:rsidRPr="00733D69">
        <w:rPr>
          <w:rFonts w:eastAsia="Times New Roman"/>
        </w:rPr>
        <w:t xml:space="preserve"> </w:t>
      </w:r>
      <w:r>
        <w:t>ETI</w:t>
      </w:r>
      <w:r w:rsidR="00E83EC5">
        <w:t>)</w:t>
      </w:r>
      <w:r>
        <w:t>. In 2010 there were 1</w:t>
      </w:r>
      <w:r w:rsidR="004111D6">
        <w:t>,</w:t>
      </w:r>
      <w:r>
        <w:t>321</w:t>
      </w:r>
      <w:r w:rsidR="004111D6">
        <w:t>,</w:t>
      </w:r>
      <w:r>
        <w:t>248 registered cases of ETI with a peak of 51</w:t>
      </w:r>
      <w:r w:rsidR="005760A9">
        <w:t>,</w:t>
      </w:r>
      <w:r>
        <w:t>337 registered cases in week 33. Figure 1 reveals the evolution of ETI cases in 2009 y 2010. In 2009 14</w:t>
      </w:r>
      <w:r w:rsidR="004111D6">
        <w:t>,</w:t>
      </w:r>
      <w:r>
        <w:t xml:space="preserve">160 cases required hospitalization for </w:t>
      </w:r>
      <w:r w:rsidR="00217825">
        <w:t>ARI</w:t>
      </w:r>
      <w:r>
        <w:t xml:space="preserve"> </w:t>
      </w:r>
      <w:r w:rsidR="00C833C1">
        <w:t>cases</w:t>
      </w:r>
      <w:r>
        <w:t>, representing a hospitalization rate of 34</w:t>
      </w:r>
      <w:r w:rsidR="005760A9">
        <w:t>.</w:t>
      </w:r>
      <w:r>
        <w:t>9 cases per 100</w:t>
      </w:r>
      <w:r w:rsidR="005760A9">
        <w:t>,</w:t>
      </w:r>
      <w:r>
        <w:t>000 inhabitants. The age groups most affected were those under 5 years old and between 45 and 64 years of age. Confirmed deaths by influenza in the period of major circulation were 626, throughout the 21 provinces. The age group with the highest morality rate was the 50 a 59 year olds</w:t>
      </w:r>
      <w:r w:rsidR="00AA1BF7">
        <w:t>.</w:t>
      </w:r>
    </w:p>
    <w:p w:rsidR="00CC628D" w:rsidRDefault="00CC628D" w:rsidP="00CC628D">
      <w:pPr>
        <w:pStyle w:val="ListParagraph"/>
      </w:pPr>
    </w:p>
    <w:p w:rsidR="00AA1BF7" w:rsidRPr="00E86084" w:rsidRDefault="00E86084" w:rsidP="00E86084">
      <w:pPr>
        <w:jc w:val="center"/>
        <w:rPr>
          <w:b/>
        </w:rPr>
      </w:pPr>
      <w:r w:rsidRPr="00E86084">
        <w:rPr>
          <w:b/>
        </w:rPr>
        <w:t>Figure 1: Weekly Cases of Influenza Illness in Argentina, 2009 and 2010</w:t>
      </w:r>
    </w:p>
    <w:p w:rsidR="00AB02DF" w:rsidRDefault="00AB02DF" w:rsidP="00AB02DF">
      <w:pPr>
        <w:jc w:val="center"/>
        <w:rPr>
          <w:lang w:val="es-AR"/>
        </w:rPr>
      </w:pPr>
      <w:r>
        <w:rPr>
          <w:noProof/>
          <w:lang w:eastAsia="en-US"/>
        </w:rPr>
        <w:drawing>
          <wp:inline distT="0" distB="0" distL="0" distR="0" wp14:anchorId="1D87D1D2" wp14:editId="7E89249A">
            <wp:extent cx="5080883" cy="2130949"/>
            <wp:effectExtent l="0" t="0" r="2476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628D" w:rsidRPr="00060E9B" w:rsidRDefault="00E86084" w:rsidP="00060E9B">
      <w:pPr>
        <w:ind w:left="720"/>
        <w:rPr>
          <w:i/>
          <w:sz w:val="20"/>
          <w:szCs w:val="20"/>
        </w:rPr>
      </w:pPr>
      <w:r w:rsidRPr="00060E9B">
        <w:rPr>
          <w:sz w:val="20"/>
          <w:szCs w:val="20"/>
        </w:rPr>
        <w:t xml:space="preserve">         </w:t>
      </w:r>
      <w:r w:rsidRPr="00060E9B">
        <w:rPr>
          <w:i/>
          <w:sz w:val="20"/>
          <w:szCs w:val="20"/>
        </w:rPr>
        <w:t>Source:</w:t>
      </w:r>
      <w:r w:rsidRPr="0063364B">
        <w:rPr>
          <w:i/>
          <w:sz w:val="20"/>
          <w:szCs w:val="20"/>
        </w:rPr>
        <w:t xml:space="preserve"> Semana </w:t>
      </w:r>
      <w:r w:rsidR="00540B57" w:rsidRPr="0063364B">
        <w:rPr>
          <w:i/>
          <w:sz w:val="20"/>
          <w:szCs w:val="20"/>
        </w:rPr>
        <w:t>Epidemiológica</w:t>
      </w:r>
    </w:p>
    <w:p w:rsidR="00CC628D" w:rsidRPr="006C7195" w:rsidRDefault="00CC628D" w:rsidP="00AB02DF">
      <w:pPr>
        <w:jc w:val="center"/>
      </w:pPr>
    </w:p>
    <w:p w:rsidR="00C833C1" w:rsidRPr="006C7195" w:rsidRDefault="00C833C1" w:rsidP="00C833C1">
      <w:pPr>
        <w:rPr>
          <w:b/>
        </w:rPr>
      </w:pPr>
    </w:p>
    <w:p w:rsidR="00AB02DF" w:rsidRPr="00BC55CD" w:rsidRDefault="00C833C1" w:rsidP="00CC628D">
      <w:pPr>
        <w:jc w:val="center"/>
        <w:rPr>
          <w:b/>
        </w:rPr>
      </w:pPr>
      <w:r w:rsidRPr="00BC55CD">
        <w:rPr>
          <w:b/>
        </w:rPr>
        <w:t>Table</w:t>
      </w:r>
      <w:r w:rsidR="00AB02DF" w:rsidRPr="00BC55CD">
        <w:rPr>
          <w:b/>
        </w:rPr>
        <w:t xml:space="preserve"> 1:</w:t>
      </w:r>
      <w:r w:rsidR="00CC628D">
        <w:rPr>
          <w:b/>
        </w:rPr>
        <w:t xml:space="preserve"> </w:t>
      </w:r>
      <w:r w:rsidR="00E066D4">
        <w:rPr>
          <w:b/>
        </w:rPr>
        <w:t>Health I</w:t>
      </w:r>
      <w:r w:rsidRPr="00BC55CD">
        <w:rPr>
          <w:b/>
        </w:rPr>
        <w:t xml:space="preserve">mpact of </w:t>
      </w:r>
      <w:r w:rsidR="004111D6">
        <w:rPr>
          <w:b/>
        </w:rPr>
        <w:t xml:space="preserve">A/H1N1 </w:t>
      </w:r>
      <w:r w:rsidR="00E066D4">
        <w:rPr>
          <w:b/>
        </w:rPr>
        <w:t>I</w:t>
      </w:r>
      <w:r w:rsidR="00AB02DF" w:rsidRPr="00BC55CD">
        <w:rPr>
          <w:b/>
        </w:rPr>
        <w:t>nfluenza</w:t>
      </w:r>
      <w:r w:rsidR="004111D6">
        <w:rPr>
          <w:b/>
        </w:rPr>
        <w:t xml:space="preserve"> </w:t>
      </w:r>
      <w:r w:rsidRPr="00BC55CD">
        <w:rPr>
          <w:b/>
        </w:rPr>
        <w:t>i</w:t>
      </w:r>
      <w:r w:rsidR="00AB02DF" w:rsidRPr="00BC55CD">
        <w:rPr>
          <w:b/>
        </w:rPr>
        <w:t>n Argentina</w:t>
      </w:r>
    </w:p>
    <w:tbl>
      <w:tblPr>
        <w:tblStyle w:val="LightList-Accent5"/>
        <w:tblW w:w="8297"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1176"/>
        <w:gridCol w:w="1199"/>
      </w:tblGrid>
      <w:tr w:rsidR="00AB02DF" w:rsidRPr="00305FBA" w:rsidTr="00CB57A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22" w:type="dxa"/>
            <w:shd w:val="clear" w:color="auto" w:fill="F2F2F2" w:themeFill="background1" w:themeFillShade="F2"/>
            <w:noWrap/>
            <w:hideMark/>
          </w:tcPr>
          <w:p w:rsidR="00AB02DF" w:rsidRPr="00BC55CD" w:rsidRDefault="00AB02DF">
            <w:pPr>
              <w:rPr>
                <w:rFonts w:cs="Times New Roman"/>
                <w:sz w:val="22"/>
                <w:szCs w:val="22"/>
                <w:lang w:val="en-US"/>
              </w:rPr>
            </w:pPr>
          </w:p>
        </w:tc>
        <w:tc>
          <w:tcPr>
            <w:tcW w:w="1176" w:type="dxa"/>
            <w:shd w:val="clear" w:color="auto" w:fill="F2F2F2" w:themeFill="background1" w:themeFillShade="F2"/>
            <w:noWrap/>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AR"/>
              </w:rPr>
            </w:pPr>
            <w:r>
              <w:rPr>
                <w:rFonts w:ascii="Times New Roman" w:eastAsia="Times New Roman" w:hAnsi="Times New Roman" w:cs="Times New Roman"/>
                <w:color w:val="000000"/>
                <w:lang w:eastAsia="es-AR"/>
              </w:rPr>
              <w:t>2009</w:t>
            </w:r>
          </w:p>
        </w:tc>
        <w:tc>
          <w:tcPr>
            <w:tcW w:w="1199" w:type="dxa"/>
            <w:shd w:val="clear" w:color="auto" w:fill="F2F2F2" w:themeFill="background1" w:themeFillShade="F2"/>
            <w:noWrap/>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AR"/>
              </w:rPr>
            </w:pPr>
            <w:r>
              <w:rPr>
                <w:rFonts w:ascii="Times New Roman" w:eastAsia="Times New Roman" w:hAnsi="Times New Roman" w:cs="Times New Roman"/>
                <w:color w:val="000000"/>
                <w:lang w:eastAsia="es-AR"/>
              </w:rPr>
              <w:t>2010</w:t>
            </w:r>
          </w:p>
        </w:tc>
      </w:tr>
      <w:tr w:rsidR="00AB02DF" w:rsidTr="00CB57A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22" w:type="dxa"/>
            <w:tcBorders>
              <w:top w:val="none" w:sz="0" w:space="0" w:color="auto"/>
              <w:left w:val="none" w:sz="0" w:space="0" w:color="auto"/>
              <w:bottom w:val="none" w:sz="0" w:space="0" w:color="auto"/>
            </w:tcBorders>
            <w:noWrap/>
            <w:vAlign w:val="center"/>
            <w:hideMark/>
          </w:tcPr>
          <w:p w:rsidR="00AB02DF" w:rsidRDefault="00BC55CD" w:rsidP="00E066D4">
            <w:pPr>
              <w:rPr>
                <w:rFonts w:ascii="Times New Roman" w:eastAsia="Times New Roman" w:hAnsi="Times New Roman" w:cs="Times New Roman"/>
                <w:b w:val="0"/>
                <w:color w:val="000000"/>
                <w:lang w:eastAsia="es-AR"/>
              </w:rPr>
            </w:pPr>
            <w:r w:rsidRPr="00305FBA">
              <w:rPr>
                <w:rFonts w:ascii="Times New Roman" w:eastAsia="Times New Roman" w:hAnsi="Times New Roman" w:cs="Times New Roman"/>
                <w:b w:val="0"/>
                <w:color w:val="000000"/>
                <w:lang w:val="en-AU" w:eastAsia="es-AR"/>
              </w:rPr>
              <w:t>Notified</w:t>
            </w:r>
            <w:r>
              <w:rPr>
                <w:rFonts w:ascii="Times New Roman" w:eastAsia="Times New Roman" w:hAnsi="Times New Roman" w:cs="Times New Roman"/>
                <w:b w:val="0"/>
                <w:color w:val="000000"/>
                <w:lang w:eastAsia="es-AR"/>
              </w:rPr>
              <w:t xml:space="preserve"> </w:t>
            </w:r>
            <w:r w:rsidR="00E066D4">
              <w:rPr>
                <w:rFonts w:ascii="Times New Roman" w:eastAsia="Times New Roman" w:hAnsi="Times New Roman" w:cs="Times New Roman"/>
                <w:b w:val="0"/>
                <w:color w:val="000000"/>
                <w:lang w:eastAsia="es-AR"/>
              </w:rPr>
              <w:t>i</w:t>
            </w:r>
            <w:r>
              <w:rPr>
                <w:rFonts w:ascii="Times New Roman" w:eastAsia="Times New Roman" w:hAnsi="Times New Roman" w:cs="Times New Roman"/>
                <w:b w:val="0"/>
                <w:color w:val="000000"/>
                <w:lang w:eastAsia="es-AR"/>
              </w:rPr>
              <w:t>nfluenza</w:t>
            </w:r>
            <w:r w:rsidR="00E066D4" w:rsidRPr="00305FBA">
              <w:rPr>
                <w:rFonts w:ascii="Times New Roman" w:eastAsia="Times New Roman" w:hAnsi="Times New Roman" w:cs="Times New Roman"/>
                <w:b w:val="0"/>
                <w:color w:val="000000"/>
                <w:lang w:val="en-AU" w:eastAsia="es-AR"/>
              </w:rPr>
              <w:t>-</w:t>
            </w:r>
            <w:r w:rsidRPr="00305FBA">
              <w:rPr>
                <w:rFonts w:ascii="Times New Roman" w:eastAsia="Times New Roman" w:hAnsi="Times New Roman" w:cs="Times New Roman"/>
                <w:b w:val="0"/>
                <w:color w:val="000000"/>
                <w:lang w:val="en-AU" w:eastAsia="es-AR"/>
              </w:rPr>
              <w:t>like illnesses</w:t>
            </w:r>
          </w:p>
        </w:tc>
        <w:tc>
          <w:tcPr>
            <w:tcW w:w="1176" w:type="dxa"/>
            <w:tcBorders>
              <w:top w:val="none" w:sz="0" w:space="0" w:color="auto"/>
              <w:bottom w:val="none" w:sz="0" w:space="0" w:color="auto"/>
            </w:tcBorders>
            <w:noWrap/>
            <w:vAlign w:val="center"/>
            <w:hideMark/>
          </w:tcPr>
          <w:p w:rsidR="00AB02DF"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1</w:t>
            </w:r>
            <w:r w:rsidR="002D5A95">
              <w:rPr>
                <w:rFonts w:ascii="Times New Roman" w:eastAsia="Times New Roman" w:hAnsi="Times New Roman" w:cs="Times New Roman"/>
                <w:color w:val="000000"/>
                <w:lang w:eastAsia="es-AR"/>
              </w:rPr>
              <w:t>,</w:t>
            </w:r>
            <w:r>
              <w:rPr>
                <w:rFonts w:ascii="Times New Roman" w:eastAsia="Times New Roman" w:hAnsi="Times New Roman" w:cs="Times New Roman"/>
                <w:color w:val="000000"/>
                <w:lang w:eastAsia="es-AR"/>
              </w:rPr>
              <w:t>590</w:t>
            </w:r>
            <w:r w:rsidR="002D5A95">
              <w:rPr>
                <w:rFonts w:ascii="Times New Roman" w:eastAsia="Times New Roman" w:hAnsi="Times New Roman" w:cs="Times New Roman"/>
                <w:color w:val="000000"/>
                <w:lang w:eastAsia="es-AR"/>
              </w:rPr>
              <w:t>,</w:t>
            </w:r>
            <w:r>
              <w:rPr>
                <w:rFonts w:ascii="Times New Roman" w:eastAsia="Times New Roman" w:hAnsi="Times New Roman" w:cs="Times New Roman"/>
                <w:color w:val="000000"/>
                <w:lang w:eastAsia="es-AR"/>
              </w:rPr>
              <w:t>660</w:t>
            </w:r>
          </w:p>
        </w:tc>
        <w:tc>
          <w:tcPr>
            <w:tcW w:w="1199" w:type="dxa"/>
            <w:tcBorders>
              <w:top w:val="none" w:sz="0" w:space="0" w:color="auto"/>
              <w:bottom w:val="none" w:sz="0" w:space="0" w:color="auto"/>
              <w:right w:val="none" w:sz="0" w:space="0" w:color="auto"/>
            </w:tcBorders>
            <w:noWrap/>
            <w:vAlign w:val="center"/>
            <w:hideMark/>
          </w:tcPr>
          <w:p w:rsidR="00AB02DF" w:rsidRDefault="00AB02DF" w:rsidP="005760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1</w:t>
            </w:r>
            <w:r w:rsidR="005760A9">
              <w:rPr>
                <w:rFonts w:ascii="Times New Roman" w:eastAsia="Times New Roman" w:hAnsi="Times New Roman" w:cs="Times New Roman"/>
                <w:color w:val="000000"/>
                <w:lang w:eastAsia="es-AR"/>
              </w:rPr>
              <w:t>,</w:t>
            </w:r>
            <w:r>
              <w:rPr>
                <w:rFonts w:ascii="Times New Roman" w:eastAsia="Times New Roman" w:hAnsi="Times New Roman" w:cs="Times New Roman"/>
                <w:color w:val="000000"/>
                <w:lang w:eastAsia="es-AR"/>
              </w:rPr>
              <w:t>321</w:t>
            </w:r>
            <w:r w:rsidR="005760A9">
              <w:rPr>
                <w:rFonts w:ascii="Times New Roman" w:eastAsia="Times New Roman" w:hAnsi="Times New Roman" w:cs="Times New Roman"/>
                <w:color w:val="000000"/>
                <w:lang w:eastAsia="es-AR"/>
              </w:rPr>
              <w:t>,</w:t>
            </w:r>
            <w:r>
              <w:rPr>
                <w:rFonts w:ascii="Times New Roman" w:eastAsia="Times New Roman" w:hAnsi="Times New Roman" w:cs="Times New Roman"/>
                <w:color w:val="000000"/>
                <w:lang w:eastAsia="es-AR"/>
              </w:rPr>
              <w:t>248</w:t>
            </w:r>
          </w:p>
        </w:tc>
      </w:tr>
      <w:tr w:rsidR="00AB02DF" w:rsidTr="00CB57A8">
        <w:trPr>
          <w:trHeight w:val="288"/>
          <w:jc w:val="center"/>
        </w:trPr>
        <w:tc>
          <w:tcPr>
            <w:cnfStyle w:val="001000000000" w:firstRow="0" w:lastRow="0" w:firstColumn="1" w:lastColumn="0" w:oddVBand="0" w:evenVBand="0" w:oddHBand="0" w:evenHBand="0" w:firstRowFirstColumn="0" w:firstRowLastColumn="0" w:lastRowFirstColumn="0" w:lastRowLastColumn="0"/>
            <w:tcW w:w="5922" w:type="dxa"/>
            <w:noWrap/>
            <w:vAlign w:val="center"/>
            <w:hideMark/>
          </w:tcPr>
          <w:p w:rsidR="00AB02DF" w:rsidRPr="00BC55CD" w:rsidRDefault="00AB02DF" w:rsidP="00BC55CD">
            <w:pPr>
              <w:rPr>
                <w:rFonts w:ascii="Times New Roman" w:eastAsia="Times New Roman" w:hAnsi="Times New Roman" w:cs="Times New Roman"/>
                <w:b w:val="0"/>
                <w:color w:val="000000"/>
                <w:lang w:val="en-US" w:eastAsia="es-AR"/>
              </w:rPr>
            </w:pPr>
            <w:r w:rsidRPr="00BC55CD">
              <w:rPr>
                <w:rFonts w:ascii="Times New Roman" w:eastAsia="Times New Roman" w:hAnsi="Times New Roman" w:cs="Times New Roman"/>
                <w:b w:val="0"/>
                <w:color w:val="000000"/>
                <w:lang w:val="en-US" w:eastAsia="es-AR"/>
              </w:rPr>
              <w:t>N</w:t>
            </w:r>
            <w:r w:rsidR="00BC55CD" w:rsidRPr="00BC55CD">
              <w:rPr>
                <w:rFonts w:ascii="Times New Roman" w:eastAsia="Times New Roman" w:hAnsi="Times New Roman" w:cs="Times New Roman"/>
                <w:b w:val="0"/>
                <w:color w:val="000000"/>
                <w:lang w:val="en-US" w:eastAsia="es-AR"/>
              </w:rPr>
              <w:t xml:space="preserve">umber of </w:t>
            </w:r>
            <w:r w:rsidRPr="00BC55CD">
              <w:rPr>
                <w:rFonts w:ascii="Times New Roman" w:eastAsia="Times New Roman" w:hAnsi="Times New Roman" w:cs="Times New Roman"/>
                <w:b w:val="0"/>
                <w:color w:val="000000"/>
                <w:lang w:val="en-US" w:eastAsia="es-AR"/>
              </w:rPr>
              <w:t>hospitaliza</w:t>
            </w:r>
            <w:r w:rsidR="00BC55CD" w:rsidRPr="00BC55CD">
              <w:rPr>
                <w:rFonts w:ascii="Times New Roman" w:eastAsia="Times New Roman" w:hAnsi="Times New Roman" w:cs="Times New Roman"/>
                <w:b w:val="0"/>
                <w:color w:val="000000"/>
                <w:lang w:val="en-US" w:eastAsia="es-AR"/>
              </w:rPr>
              <w:t xml:space="preserve">tions </w:t>
            </w:r>
            <w:r w:rsidR="00217825">
              <w:rPr>
                <w:rFonts w:ascii="Times New Roman" w:eastAsia="Times New Roman" w:hAnsi="Times New Roman" w:cs="Times New Roman"/>
                <w:b w:val="0"/>
                <w:color w:val="000000"/>
                <w:lang w:val="en-US" w:eastAsia="es-AR"/>
              </w:rPr>
              <w:t>ARI</w:t>
            </w:r>
            <w:r w:rsidRPr="00BC55CD">
              <w:rPr>
                <w:rFonts w:ascii="Times New Roman" w:eastAsia="Times New Roman" w:hAnsi="Times New Roman" w:cs="Times New Roman"/>
                <w:b w:val="0"/>
                <w:color w:val="000000"/>
                <w:lang w:val="en-US" w:eastAsia="es-AR"/>
              </w:rPr>
              <w:t xml:space="preserve"> </w:t>
            </w:r>
          </w:p>
        </w:tc>
        <w:tc>
          <w:tcPr>
            <w:tcW w:w="1176" w:type="dxa"/>
            <w:noWrap/>
            <w:vAlign w:val="center"/>
            <w:hideMark/>
          </w:tcPr>
          <w:p w:rsidR="00AB02DF" w:rsidRDefault="00AB02DF" w:rsidP="005760A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14</w:t>
            </w:r>
            <w:r w:rsidR="005760A9">
              <w:rPr>
                <w:rFonts w:ascii="Times New Roman" w:eastAsia="Times New Roman" w:hAnsi="Times New Roman" w:cs="Times New Roman"/>
                <w:color w:val="000000"/>
                <w:lang w:eastAsia="es-AR"/>
              </w:rPr>
              <w:t>,</w:t>
            </w:r>
            <w:r>
              <w:rPr>
                <w:rFonts w:ascii="Times New Roman" w:eastAsia="Times New Roman" w:hAnsi="Times New Roman" w:cs="Times New Roman"/>
                <w:color w:val="000000"/>
                <w:lang w:eastAsia="es-AR"/>
              </w:rPr>
              <w:t>160</w:t>
            </w:r>
          </w:p>
        </w:tc>
        <w:tc>
          <w:tcPr>
            <w:tcW w:w="1199" w:type="dxa"/>
            <w:noWrap/>
            <w:vAlign w:val="center"/>
            <w:hideMark/>
          </w:tcPr>
          <w:p w:rsidR="00AB02DF"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132</w:t>
            </w:r>
          </w:p>
        </w:tc>
      </w:tr>
      <w:tr w:rsidR="00AB02DF" w:rsidTr="00CB57A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22" w:type="dxa"/>
            <w:tcBorders>
              <w:top w:val="none" w:sz="0" w:space="0" w:color="auto"/>
              <w:left w:val="none" w:sz="0" w:space="0" w:color="auto"/>
              <w:bottom w:val="none" w:sz="0" w:space="0" w:color="auto"/>
            </w:tcBorders>
            <w:noWrap/>
            <w:vAlign w:val="center"/>
            <w:hideMark/>
          </w:tcPr>
          <w:p w:rsidR="00AB02DF" w:rsidRDefault="00BC55CD" w:rsidP="00BC55CD">
            <w:pPr>
              <w:rPr>
                <w:rFonts w:ascii="Times New Roman" w:eastAsia="Times New Roman" w:hAnsi="Times New Roman" w:cs="Times New Roman"/>
                <w:b w:val="0"/>
                <w:color w:val="000000"/>
                <w:lang w:eastAsia="es-AR"/>
              </w:rPr>
            </w:pPr>
            <w:r>
              <w:rPr>
                <w:rFonts w:ascii="Times New Roman" w:eastAsia="Times New Roman" w:hAnsi="Times New Roman" w:cs="Times New Roman"/>
                <w:b w:val="0"/>
                <w:color w:val="000000"/>
                <w:lang w:eastAsia="es-AR"/>
              </w:rPr>
              <w:t>Influenza</w:t>
            </w:r>
            <w:r w:rsidRPr="00540B57">
              <w:rPr>
                <w:rFonts w:ascii="Times New Roman" w:eastAsia="Times New Roman" w:hAnsi="Times New Roman" w:cs="Times New Roman"/>
                <w:b w:val="0"/>
                <w:color w:val="000000"/>
                <w:lang w:val="en-AU" w:eastAsia="es-AR"/>
              </w:rPr>
              <w:t xml:space="preserve"> confirmed</w:t>
            </w:r>
            <w:r>
              <w:rPr>
                <w:rFonts w:ascii="Times New Roman" w:eastAsia="Times New Roman" w:hAnsi="Times New Roman" w:cs="Times New Roman"/>
                <w:b w:val="0"/>
                <w:color w:val="000000"/>
                <w:lang w:eastAsia="es-AR"/>
              </w:rPr>
              <w:t xml:space="preserve"> c</w:t>
            </w:r>
            <w:r w:rsidR="00AB02DF">
              <w:rPr>
                <w:rFonts w:ascii="Times New Roman" w:eastAsia="Times New Roman" w:hAnsi="Times New Roman" w:cs="Times New Roman"/>
                <w:b w:val="0"/>
                <w:color w:val="000000"/>
                <w:lang w:eastAsia="es-AR"/>
              </w:rPr>
              <w:t>as</w:t>
            </w:r>
            <w:r>
              <w:rPr>
                <w:rFonts w:ascii="Times New Roman" w:eastAsia="Times New Roman" w:hAnsi="Times New Roman" w:cs="Times New Roman"/>
                <w:b w:val="0"/>
                <w:color w:val="000000"/>
                <w:lang w:eastAsia="es-AR"/>
              </w:rPr>
              <w:t>e</w:t>
            </w:r>
            <w:r w:rsidR="00AB02DF">
              <w:rPr>
                <w:rFonts w:ascii="Times New Roman" w:eastAsia="Times New Roman" w:hAnsi="Times New Roman" w:cs="Times New Roman"/>
                <w:b w:val="0"/>
                <w:color w:val="000000"/>
                <w:lang w:eastAsia="es-AR"/>
              </w:rPr>
              <w:t xml:space="preserve">s </w:t>
            </w:r>
          </w:p>
        </w:tc>
        <w:tc>
          <w:tcPr>
            <w:tcW w:w="1176" w:type="dxa"/>
            <w:tcBorders>
              <w:top w:val="none" w:sz="0" w:space="0" w:color="auto"/>
              <w:bottom w:val="none" w:sz="0" w:space="0" w:color="auto"/>
            </w:tcBorders>
            <w:noWrap/>
            <w:vAlign w:val="center"/>
            <w:hideMark/>
          </w:tcPr>
          <w:p w:rsidR="00AB02DF" w:rsidRDefault="00AB02DF" w:rsidP="005760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12</w:t>
            </w:r>
            <w:r w:rsidR="005760A9">
              <w:rPr>
                <w:rFonts w:ascii="Times New Roman" w:eastAsia="Times New Roman" w:hAnsi="Times New Roman" w:cs="Times New Roman"/>
                <w:color w:val="000000"/>
                <w:lang w:eastAsia="es-AR"/>
              </w:rPr>
              <w:t>,</w:t>
            </w:r>
            <w:r>
              <w:rPr>
                <w:rFonts w:ascii="Times New Roman" w:eastAsia="Times New Roman" w:hAnsi="Times New Roman" w:cs="Times New Roman"/>
                <w:color w:val="000000"/>
                <w:lang w:eastAsia="es-AR"/>
              </w:rPr>
              <w:t>170</w:t>
            </w:r>
          </w:p>
        </w:tc>
        <w:tc>
          <w:tcPr>
            <w:tcW w:w="1199" w:type="dxa"/>
            <w:tcBorders>
              <w:top w:val="none" w:sz="0" w:space="0" w:color="auto"/>
              <w:bottom w:val="none" w:sz="0" w:space="0" w:color="auto"/>
              <w:right w:val="none" w:sz="0" w:space="0" w:color="auto"/>
            </w:tcBorders>
            <w:noWrap/>
            <w:vAlign w:val="center"/>
            <w:hideMark/>
          </w:tcPr>
          <w:p w:rsidR="00AB02DF" w:rsidRDefault="00AB02DF" w:rsidP="005760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w:t>
            </w:r>
            <w:r w:rsidR="005760A9">
              <w:rPr>
                <w:rFonts w:ascii="Times New Roman" w:eastAsia="Times New Roman" w:hAnsi="Times New Roman" w:cs="Times New Roman"/>
                <w:color w:val="000000"/>
                <w:lang w:eastAsia="es-AR"/>
              </w:rPr>
              <w:t>,</w:t>
            </w:r>
            <w:r>
              <w:rPr>
                <w:rFonts w:ascii="Times New Roman" w:eastAsia="Times New Roman" w:hAnsi="Times New Roman" w:cs="Times New Roman"/>
                <w:color w:val="000000"/>
                <w:lang w:eastAsia="es-AR"/>
              </w:rPr>
              <w:t>559</w:t>
            </w:r>
          </w:p>
        </w:tc>
      </w:tr>
      <w:tr w:rsidR="00AB02DF" w:rsidTr="00CB57A8">
        <w:trPr>
          <w:trHeight w:val="288"/>
          <w:jc w:val="center"/>
        </w:trPr>
        <w:tc>
          <w:tcPr>
            <w:cnfStyle w:val="001000000000" w:firstRow="0" w:lastRow="0" w:firstColumn="1" w:lastColumn="0" w:oddVBand="0" w:evenVBand="0" w:oddHBand="0" w:evenHBand="0" w:firstRowFirstColumn="0" w:firstRowLastColumn="0" w:lastRowFirstColumn="0" w:lastRowLastColumn="0"/>
            <w:tcW w:w="5922" w:type="dxa"/>
            <w:noWrap/>
            <w:vAlign w:val="center"/>
            <w:hideMark/>
          </w:tcPr>
          <w:p w:rsidR="00AB02DF" w:rsidRPr="00BC55CD" w:rsidRDefault="00AB02DF" w:rsidP="00BC55CD">
            <w:pPr>
              <w:rPr>
                <w:rFonts w:ascii="Times New Roman" w:eastAsia="Times New Roman" w:hAnsi="Times New Roman" w:cs="Times New Roman"/>
                <w:b w:val="0"/>
                <w:color w:val="000000"/>
                <w:lang w:val="en-US" w:eastAsia="es-AR"/>
              </w:rPr>
            </w:pPr>
            <w:r w:rsidRPr="00BC55CD">
              <w:rPr>
                <w:rFonts w:ascii="Times New Roman" w:eastAsia="Times New Roman" w:hAnsi="Times New Roman" w:cs="Times New Roman"/>
                <w:b w:val="0"/>
                <w:color w:val="000000"/>
                <w:lang w:val="en-US" w:eastAsia="es-AR"/>
              </w:rPr>
              <w:t>N</w:t>
            </w:r>
            <w:r w:rsidR="00BC55CD" w:rsidRPr="00BC55CD">
              <w:rPr>
                <w:rFonts w:ascii="Times New Roman" w:eastAsia="Times New Roman" w:hAnsi="Times New Roman" w:cs="Times New Roman"/>
                <w:b w:val="0"/>
                <w:color w:val="000000"/>
                <w:lang w:val="en-US" w:eastAsia="es-AR"/>
              </w:rPr>
              <w:t xml:space="preserve">umber of confirmed </w:t>
            </w:r>
            <w:r w:rsidR="00EA1C2E" w:rsidRPr="00BC55CD">
              <w:rPr>
                <w:rFonts w:ascii="Times New Roman" w:eastAsia="Times New Roman" w:hAnsi="Times New Roman" w:cs="Times New Roman"/>
                <w:b w:val="0"/>
                <w:color w:val="000000"/>
                <w:lang w:val="en-US" w:eastAsia="es-AR"/>
              </w:rPr>
              <w:t>death</w:t>
            </w:r>
            <w:r w:rsidR="00EA1C2E" w:rsidRPr="00EA1C2E">
              <w:rPr>
                <w:rFonts w:eastAsia="Times New Roman"/>
                <w:b w:val="0"/>
                <w:color w:val="000000"/>
                <w:lang w:val="en-US" w:eastAsia="es-AR"/>
              </w:rPr>
              <w:t>s</w:t>
            </w:r>
            <w:r w:rsidR="00BC55CD" w:rsidRPr="00BC55CD">
              <w:rPr>
                <w:rFonts w:ascii="Times New Roman" w:eastAsia="Times New Roman" w:hAnsi="Times New Roman" w:cs="Times New Roman"/>
                <w:b w:val="0"/>
                <w:color w:val="000000"/>
                <w:lang w:val="en-US" w:eastAsia="es-AR"/>
              </w:rPr>
              <w:t xml:space="preserve"> due to pandemic </w:t>
            </w:r>
            <w:r w:rsidRPr="00BC55CD">
              <w:rPr>
                <w:rFonts w:ascii="Times New Roman" w:eastAsia="Times New Roman" w:hAnsi="Times New Roman" w:cs="Times New Roman"/>
                <w:b w:val="0"/>
                <w:color w:val="000000"/>
                <w:lang w:val="en-US" w:eastAsia="es-AR"/>
              </w:rPr>
              <w:t xml:space="preserve">influenza </w:t>
            </w:r>
          </w:p>
        </w:tc>
        <w:tc>
          <w:tcPr>
            <w:tcW w:w="1176" w:type="dxa"/>
            <w:noWrap/>
            <w:vAlign w:val="center"/>
            <w:hideMark/>
          </w:tcPr>
          <w:p w:rsidR="00AB02DF"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626</w:t>
            </w:r>
          </w:p>
        </w:tc>
        <w:tc>
          <w:tcPr>
            <w:tcW w:w="1199" w:type="dxa"/>
            <w:noWrap/>
            <w:vAlign w:val="center"/>
            <w:hideMark/>
          </w:tcPr>
          <w:p w:rsidR="00AB02DF"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27</w:t>
            </w:r>
          </w:p>
        </w:tc>
      </w:tr>
    </w:tbl>
    <w:p w:rsidR="00AB02DF" w:rsidRPr="00572AFD" w:rsidRDefault="00BC55CD" w:rsidP="00CB57A8">
      <w:pPr>
        <w:ind w:firstLine="720"/>
        <w:rPr>
          <w:i/>
          <w:sz w:val="20"/>
          <w:szCs w:val="20"/>
        </w:rPr>
      </w:pPr>
      <w:r w:rsidRPr="00572AFD">
        <w:rPr>
          <w:i/>
          <w:sz w:val="20"/>
          <w:szCs w:val="20"/>
        </w:rPr>
        <w:t>Source</w:t>
      </w:r>
      <w:r w:rsidR="00AB02DF" w:rsidRPr="00572AFD">
        <w:rPr>
          <w:i/>
          <w:sz w:val="20"/>
          <w:szCs w:val="20"/>
        </w:rPr>
        <w:t>: SNVS</w:t>
      </w:r>
    </w:p>
    <w:p w:rsidR="00AA1BF7" w:rsidRDefault="00AA1BF7" w:rsidP="00AB02DF">
      <w:pPr>
        <w:ind w:left="1418"/>
        <w:jc w:val="both"/>
        <w:rPr>
          <w:lang w:val="es-AR"/>
        </w:rPr>
      </w:pPr>
    </w:p>
    <w:p w:rsidR="00CC628D" w:rsidRDefault="00CC628D" w:rsidP="00AB02DF">
      <w:pPr>
        <w:ind w:left="1418"/>
        <w:jc w:val="both"/>
        <w:rPr>
          <w:lang w:val="es-AR"/>
        </w:rPr>
      </w:pPr>
    </w:p>
    <w:p w:rsidR="00AB02DF" w:rsidRDefault="00E066D4" w:rsidP="00305FBA">
      <w:pPr>
        <w:pStyle w:val="ListParagraph"/>
        <w:numPr>
          <w:ilvl w:val="0"/>
          <w:numId w:val="5"/>
        </w:numPr>
        <w:ind w:left="0" w:firstLine="0"/>
        <w:jc w:val="both"/>
      </w:pPr>
      <w:r>
        <w:rPr>
          <w:b/>
        </w:rPr>
        <w:lastRenderedPageBreak/>
        <w:t>The</w:t>
      </w:r>
      <w:r w:rsidR="00AB02DF" w:rsidRPr="00E066D4">
        <w:rPr>
          <w:b/>
        </w:rPr>
        <w:t xml:space="preserve"> surveillance system likely underestimate</w:t>
      </w:r>
      <w:r w:rsidR="00BC55CD" w:rsidRPr="00E066D4">
        <w:rPr>
          <w:b/>
        </w:rPr>
        <w:t>d</w:t>
      </w:r>
      <w:r w:rsidR="00AB02DF" w:rsidRPr="00E066D4">
        <w:rPr>
          <w:b/>
        </w:rPr>
        <w:t xml:space="preserve"> the real </w:t>
      </w:r>
      <w:r w:rsidR="001C39AC">
        <w:rPr>
          <w:b/>
        </w:rPr>
        <w:t>health</w:t>
      </w:r>
      <w:r w:rsidR="00AB02DF" w:rsidRPr="00E066D4">
        <w:rPr>
          <w:b/>
        </w:rPr>
        <w:t xml:space="preserve"> impact of the epidemic.</w:t>
      </w:r>
      <w:r w:rsidR="00AB02DF">
        <w:t xml:space="preserve"> A</w:t>
      </w:r>
      <w:r w:rsidR="00BC55CD">
        <w:t>s</w:t>
      </w:r>
      <w:r w:rsidR="00AB02DF">
        <w:t xml:space="preserve"> a result and due to data revealed through the SNVS, MSN estimates a larger number of symptomatic cases of influenza A</w:t>
      </w:r>
      <w:r>
        <w:t>/</w:t>
      </w:r>
      <w:r w:rsidR="00AB02DF">
        <w:t xml:space="preserve">H1N1, </w:t>
      </w:r>
      <w:r w:rsidR="0061268E">
        <w:t xml:space="preserve">severe acute respiratory </w:t>
      </w:r>
      <w:r w:rsidR="00E86084">
        <w:t>infections and</w:t>
      </w:r>
      <w:r w:rsidR="00AB02DF">
        <w:t xml:space="preserve"> deaths as exhibited in Table 2.</w:t>
      </w:r>
    </w:p>
    <w:p w:rsidR="000813D9" w:rsidRDefault="000813D9" w:rsidP="00AB02DF">
      <w:pPr>
        <w:jc w:val="center"/>
        <w:rPr>
          <w:b/>
        </w:rPr>
      </w:pPr>
    </w:p>
    <w:p w:rsidR="00AB02DF" w:rsidRPr="00BC55CD" w:rsidRDefault="00BC55CD" w:rsidP="00AB02DF">
      <w:pPr>
        <w:jc w:val="center"/>
        <w:rPr>
          <w:b/>
        </w:rPr>
      </w:pPr>
      <w:r w:rsidRPr="00BC55CD">
        <w:rPr>
          <w:b/>
        </w:rPr>
        <w:t>Table</w:t>
      </w:r>
      <w:r w:rsidR="00AB02DF" w:rsidRPr="00BC55CD">
        <w:rPr>
          <w:b/>
        </w:rPr>
        <w:t xml:space="preserve"> 2: Revis</w:t>
      </w:r>
      <w:r w:rsidRPr="00BC55CD">
        <w:rPr>
          <w:b/>
        </w:rPr>
        <w:t>ed</w:t>
      </w:r>
      <w:r w:rsidR="00AB02DF" w:rsidRPr="00BC55CD">
        <w:rPr>
          <w:b/>
        </w:rPr>
        <w:t xml:space="preserve"> </w:t>
      </w:r>
      <w:r w:rsidR="00E066D4">
        <w:rPr>
          <w:b/>
        </w:rPr>
        <w:t>H</w:t>
      </w:r>
      <w:r w:rsidRPr="00BC55CD">
        <w:rPr>
          <w:b/>
        </w:rPr>
        <w:t xml:space="preserve">ealth </w:t>
      </w:r>
      <w:r w:rsidR="00E066D4">
        <w:rPr>
          <w:b/>
        </w:rPr>
        <w:t>I</w:t>
      </w:r>
      <w:r w:rsidRPr="00BC55CD">
        <w:rPr>
          <w:b/>
        </w:rPr>
        <w:t xml:space="preserve">mpact of </w:t>
      </w:r>
      <w:r w:rsidR="00E066D4">
        <w:rPr>
          <w:b/>
        </w:rPr>
        <w:t>I</w:t>
      </w:r>
      <w:r w:rsidR="00AB02DF" w:rsidRPr="00BC55CD">
        <w:rPr>
          <w:b/>
        </w:rPr>
        <w:t>nfluenza A</w:t>
      </w:r>
      <w:r w:rsidR="00E066D4">
        <w:rPr>
          <w:b/>
        </w:rPr>
        <w:t>/</w:t>
      </w:r>
      <w:r w:rsidR="00AB02DF" w:rsidRPr="00BC55CD">
        <w:rPr>
          <w:b/>
        </w:rPr>
        <w:t xml:space="preserve">H1N1 </w:t>
      </w:r>
      <w:r w:rsidRPr="00BC55CD">
        <w:rPr>
          <w:b/>
        </w:rPr>
        <w:t>i</w:t>
      </w:r>
      <w:r w:rsidR="00AB02DF" w:rsidRPr="00BC55CD">
        <w:rPr>
          <w:b/>
        </w:rPr>
        <w:t>n Argentina</w:t>
      </w:r>
    </w:p>
    <w:tbl>
      <w:tblPr>
        <w:tblStyle w:val="LightList-Accent5"/>
        <w:tblW w:w="0" w:type="auto"/>
        <w:jc w:val="center"/>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1701"/>
        <w:gridCol w:w="1323"/>
      </w:tblGrid>
      <w:tr w:rsidR="00AB02DF" w:rsidTr="00572A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72" w:type="dxa"/>
            <w:shd w:val="clear" w:color="auto" w:fill="F2F2F2" w:themeFill="background1" w:themeFillShade="F2"/>
          </w:tcPr>
          <w:p w:rsidR="00AB02DF" w:rsidRPr="00BC55CD" w:rsidRDefault="00AB02DF">
            <w:pPr>
              <w:jc w:val="both"/>
              <w:rPr>
                <w:rFonts w:ascii="Times New Roman" w:hAnsi="Times New Roman" w:cs="Times New Roman"/>
                <w:lang w:val="en-US"/>
              </w:rPr>
            </w:pPr>
          </w:p>
        </w:tc>
        <w:tc>
          <w:tcPr>
            <w:tcW w:w="1701" w:type="dxa"/>
            <w:shd w:val="clear" w:color="auto" w:fill="F2F2F2" w:themeFill="background1" w:themeFillShade="F2"/>
            <w:hideMark/>
          </w:tcPr>
          <w:p w:rsidR="00AB02DF" w:rsidRDefault="00AB02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2009</w:t>
            </w:r>
          </w:p>
        </w:tc>
        <w:tc>
          <w:tcPr>
            <w:tcW w:w="1323" w:type="dxa"/>
            <w:shd w:val="clear" w:color="auto" w:fill="F2F2F2" w:themeFill="background1" w:themeFillShade="F2"/>
            <w:hideMark/>
          </w:tcPr>
          <w:p w:rsidR="00AB02DF" w:rsidRDefault="00AB02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2010</w:t>
            </w:r>
          </w:p>
        </w:tc>
      </w:tr>
      <w:tr w:rsidR="00AB02DF" w:rsidTr="00572AF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472" w:type="dxa"/>
            <w:tcBorders>
              <w:top w:val="none" w:sz="0" w:space="0" w:color="auto"/>
              <w:left w:val="none" w:sz="0" w:space="0" w:color="auto"/>
              <w:bottom w:val="none" w:sz="0" w:space="0" w:color="auto"/>
            </w:tcBorders>
            <w:vAlign w:val="center"/>
            <w:hideMark/>
          </w:tcPr>
          <w:p w:rsidR="00AB02DF" w:rsidRPr="00BC55CD" w:rsidRDefault="00BC55CD" w:rsidP="00E066D4">
            <w:pPr>
              <w:rPr>
                <w:rFonts w:ascii="Times New Roman" w:eastAsia="Times New Roman" w:hAnsi="Times New Roman" w:cs="Times New Roman"/>
                <w:b w:val="0"/>
                <w:color w:val="000000"/>
                <w:lang w:val="en-US" w:eastAsia="es-AR"/>
              </w:rPr>
            </w:pPr>
            <w:r w:rsidRPr="00BC55CD">
              <w:rPr>
                <w:rFonts w:ascii="Times New Roman" w:eastAsia="Times New Roman" w:hAnsi="Times New Roman" w:cs="Times New Roman"/>
                <w:b w:val="0"/>
                <w:color w:val="000000"/>
                <w:lang w:val="en-US" w:eastAsia="es-AR"/>
              </w:rPr>
              <w:t xml:space="preserve">Cases of </w:t>
            </w:r>
            <w:r w:rsidR="00E066D4">
              <w:rPr>
                <w:rFonts w:ascii="Times New Roman" w:eastAsia="Times New Roman" w:hAnsi="Times New Roman" w:cs="Times New Roman"/>
                <w:b w:val="0"/>
                <w:color w:val="000000"/>
                <w:lang w:val="en-US" w:eastAsia="es-AR"/>
              </w:rPr>
              <w:t>i</w:t>
            </w:r>
            <w:r w:rsidRPr="00BC55CD">
              <w:rPr>
                <w:rFonts w:ascii="Times New Roman" w:eastAsia="Times New Roman" w:hAnsi="Times New Roman" w:cs="Times New Roman"/>
                <w:b w:val="0"/>
                <w:color w:val="000000"/>
                <w:lang w:val="en-US" w:eastAsia="es-AR"/>
              </w:rPr>
              <w:t>nfluenza</w:t>
            </w:r>
            <w:r w:rsidR="00E066D4">
              <w:rPr>
                <w:rFonts w:ascii="Times New Roman" w:eastAsia="Times New Roman" w:hAnsi="Times New Roman" w:cs="Times New Roman"/>
                <w:b w:val="0"/>
                <w:color w:val="000000"/>
                <w:lang w:val="en-US" w:eastAsia="es-AR"/>
              </w:rPr>
              <w:t>-</w:t>
            </w:r>
            <w:r w:rsidRPr="00BC55CD">
              <w:rPr>
                <w:rFonts w:ascii="Times New Roman" w:eastAsia="Times New Roman" w:hAnsi="Times New Roman" w:cs="Times New Roman"/>
                <w:b w:val="0"/>
                <w:color w:val="000000"/>
                <w:lang w:val="en-US" w:eastAsia="es-AR"/>
              </w:rPr>
              <w:t xml:space="preserve">like illnesses </w:t>
            </w:r>
            <w:r w:rsidR="00AB02DF" w:rsidRPr="00BC55CD">
              <w:rPr>
                <w:rFonts w:ascii="Times New Roman" w:eastAsia="Times New Roman" w:hAnsi="Times New Roman" w:cs="Times New Roman"/>
                <w:b w:val="0"/>
                <w:color w:val="000000"/>
                <w:lang w:val="en-US" w:eastAsia="es-AR"/>
              </w:rPr>
              <w:t xml:space="preserve"> </w:t>
            </w:r>
          </w:p>
        </w:tc>
        <w:tc>
          <w:tcPr>
            <w:tcW w:w="1701" w:type="dxa"/>
            <w:tcBorders>
              <w:top w:val="none" w:sz="0" w:space="0" w:color="auto"/>
              <w:bottom w:val="none" w:sz="0" w:space="0" w:color="auto"/>
            </w:tcBorders>
            <w:vAlign w:val="center"/>
            <w:hideMark/>
          </w:tcPr>
          <w:p w:rsidR="00AB02DF" w:rsidRDefault="00AB02DF" w:rsidP="005760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5760A9">
              <w:rPr>
                <w:rFonts w:ascii="Times New Roman" w:hAnsi="Times New Roman" w:cs="Times New Roman"/>
              </w:rPr>
              <w:t>,</w:t>
            </w:r>
            <w:r>
              <w:rPr>
                <w:rFonts w:ascii="Times New Roman" w:hAnsi="Times New Roman" w:cs="Times New Roman"/>
              </w:rPr>
              <w:t>098</w:t>
            </w:r>
            <w:r w:rsidR="005760A9">
              <w:rPr>
                <w:rFonts w:ascii="Times New Roman" w:hAnsi="Times New Roman" w:cs="Times New Roman"/>
              </w:rPr>
              <w:t>,</w:t>
            </w:r>
            <w:r>
              <w:rPr>
                <w:rFonts w:ascii="Times New Roman" w:hAnsi="Times New Roman" w:cs="Times New Roman"/>
              </w:rPr>
              <w:t>864</w:t>
            </w:r>
          </w:p>
        </w:tc>
        <w:tc>
          <w:tcPr>
            <w:tcW w:w="1323" w:type="dxa"/>
            <w:tcBorders>
              <w:top w:val="none" w:sz="0" w:space="0" w:color="auto"/>
              <w:bottom w:val="none" w:sz="0" w:space="0" w:color="auto"/>
              <w:right w:val="none" w:sz="0" w:space="0" w:color="auto"/>
            </w:tcBorders>
            <w:vAlign w:val="center"/>
            <w:hideMark/>
          </w:tcPr>
          <w:p w:rsidR="00AB02DF" w:rsidRDefault="00AB02DF" w:rsidP="002D5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002D5A95">
              <w:rPr>
                <w:rFonts w:ascii="Times New Roman" w:hAnsi="Times New Roman" w:cs="Times New Roman"/>
              </w:rPr>
              <w:t>,</w:t>
            </w:r>
            <w:r>
              <w:rPr>
                <w:rFonts w:ascii="Times New Roman" w:hAnsi="Times New Roman" w:cs="Times New Roman"/>
              </w:rPr>
              <w:t>591</w:t>
            </w:r>
          </w:p>
        </w:tc>
      </w:tr>
      <w:tr w:rsidR="00AB02DF" w:rsidTr="00572AFD">
        <w:trPr>
          <w:trHeight w:val="422"/>
          <w:jc w:val="center"/>
        </w:trPr>
        <w:tc>
          <w:tcPr>
            <w:cnfStyle w:val="001000000000" w:firstRow="0" w:lastRow="0" w:firstColumn="1" w:lastColumn="0" w:oddVBand="0" w:evenVBand="0" w:oddHBand="0" w:evenHBand="0" w:firstRowFirstColumn="0" w:firstRowLastColumn="0" w:lastRowFirstColumn="0" w:lastRowLastColumn="0"/>
            <w:tcW w:w="5472" w:type="dxa"/>
            <w:vAlign w:val="center"/>
            <w:hideMark/>
          </w:tcPr>
          <w:p w:rsidR="00AB02DF" w:rsidRPr="00BC55CD" w:rsidRDefault="00AB02DF" w:rsidP="00BC55CD">
            <w:pPr>
              <w:rPr>
                <w:rFonts w:ascii="Times New Roman" w:eastAsia="Times New Roman" w:hAnsi="Times New Roman" w:cs="Times New Roman"/>
                <w:b w:val="0"/>
                <w:color w:val="000000"/>
                <w:lang w:val="en-US" w:eastAsia="es-AR"/>
              </w:rPr>
            </w:pPr>
            <w:r w:rsidRPr="00BC55CD">
              <w:rPr>
                <w:rFonts w:ascii="Times New Roman" w:eastAsia="Times New Roman" w:hAnsi="Times New Roman" w:cs="Times New Roman"/>
                <w:b w:val="0"/>
                <w:color w:val="000000"/>
                <w:lang w:val="en-US" w:eastAsia="es-AR"/>
              </w:rPr>
              <w:t>N</w:t>
            </w:r>
            <w:r w:rsidR="00BC55CD" w:rsidRPr="00BC55CD">
              <w:rPr>
                <w:rFonts w:ascii="Times New Roman" w:eastAsia="Times New Roman" w:hAnsi="Times New Roman" w:cs="Times New Roman"/>
                <w:b w:val="0"/>
                <w:color w:val="000000"/>
                <w:lang w:val="en-US" w:eastAsia="es-AR"/>
              </w:rPr>
              <w:t xml:space="preserve">umber of </w:t>
            </w:r>
            <w:r w:rsidRPr="00BC55CD">
              <w:rPr>
                <w:rFonts w:ascii="Times New Roman" w:eastAsia="Times New Roman" w:hAnsi="Times New Roman" w:cs="Times New Roman"/>
                <w:b w:val="0"/>
                <w:color w:val="000000"/>
                <w:lang w:val="en-US" w:eastAsia="es-AR"/>
              </w:rPr>
              <w:t>hospitaliza</w:t>
            </w:r>
            <w:r w:rsidR="00BC55CD" w:rsidRPr="00BC55CD">
              <w:rPr>
                <w:rFonts w:ascii="Times New Roman" w:eastAsia="Times New Roman" w:hAnsi="Times New Roman" w:cs="Times New Roman"/>
                <w:b w:val="0"/>
                <w:color w:val="000000"/>
                <w:lang w:val="en-US" w:eastAsia="es-AR"/>
              </w:rPr>
              <w:t xml:space="preserve">tions for serious </w:t>
            </w:r>
            <w:r w:rsidRPr="00BC55CD">
              <w:rPr>
                <w:rFonts w:ascii="Times New Roman" w:eastAsia="Times New Roman" w:hAnsi="Times New Roman" w:cs="Times New Roman"/>
                <w:b w:val="0"/>
                <w:color w:val="000000"/>
                <w:lang w:val="en-US" w:eastAsia="es-AR"/>
              </w:rPr>
              <w:t xml:space="preserve">IRA </w:t>
            </w:r>
          </w:p>
        </w:tc>
        <w:tc>
          <w:tcPr>
            <w:tcW w:w="1701" w:type="dxa"/>
            <w:vAlign w:val="center"/>
            <w:hideMark/>
          </w:tcPr>
          <w:p w:rsidR="00AB02DF" w:rsidRDefault="00AB02DF" w:rsidP="005760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r w:rsidR="005760A9">
              <w:rPr>
                <w:rFonts w:ascii="Times New Roman" w:hAnsi="Times New Roman" w:cs="Times New Roman"/>
              </w:rPr>
              <w:t>,</w:t>
            </w:r>
            <w:r>
              <w:rPr>
                <w:rFonts w:ascii="Times New Roman" w:hAnsi="Times New Roman" w:cs="Times New Roman"/>
              </w:rPr>
              <w:t>619</w:t>
            </w:r>
          </w:p>
        </w:tc>
        <w:tc>
          <w:tcPr>
            <w:tcW w:w="1323" w:type="dxa"/>
            <w:vAlign w:val="center"/>
            <w:hideMark/>
          </w:tcPr>
          <w:p w:rsidR="00AB02DF" w:rsidRDefault="00AB02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132</w:t>
            </w:r>
          </w:p>
        </w:tc>
      </w:tr>
      <w:tr w:rsidR="00AB02DF" w:rsidRPr="00EA1C2E" w:rsidTr="00572AFD">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5472" w:type="dxa"/>
            <w:tcBorders>
              <w:top w:val="none" w:sz="0" w:space="0" w:color="auto"/>
              <w:left w:val="none" w:sz="0" w:space="0" w:color="auto"/>
              <w:bottom w:val="none" w:sz="0" w:space="0" w:color="auto"/>
            </w:tcBorders>
            <w:vAlign w:val="center"/>
            <w:hideMark/>
          </w:tcPr>
          <w:p w:rsidR="00AB02DF" w:rsidRPr="00BC55CD" w:rsidRDefault="00AB02DF" w:rsidP="00BC55CD">
            <w:pPr>
              <w:rPr>
                <w:rFonts w:ascii="Times New Roman" w:eastAsia="Times New Roman" w:hAnsi="Times New Roman" w:cs="Times New Roman"/>
                <w:b w:val="0"/>
                <w:color w:val="000000"/>
                <w:lang w:val="en-US" w:eastAsia="es-AR"/>
              </w:rPr>
            </w:pPr>
            <w:r w:rsidRPr="00BC55CD">
              <w:rPr>
                <w:rFonts w:ascii="Times New Roman" w:eastAsia="Times New Roman" w:hAnsi="Times New Roman" w:cs="Times New Roman"/>
                <w:b w:val="0"/>
                <w:color w:val="000000"/>
                <w:lang w:val="en-US" w:eastAsia="es-AR"/>
              </w:rPr>
              <w:t>N</w:t>
            </w:r>
            <w:r w:rsidR="00BC55CD" w:rsidRPr="00BC55CD">
              <w:rPr>
                <w:rFonts w:ascii="Times New Roman" w:eastAsia="Times New Roman" w:hAnsi="Times New Roman" w:cs="Times New Roman"/>
                <w:b w:val="0"/>
                <w:color w:val="000000"/>
                <w:lang w:val="en-US" w:eastAsia="es-AR"/>
              </w:rPr>
              <w:t xml:space="preserve">umber of deaths due to pandemic </w:t>
            </w:r>
            <w:r w:rsidRPr="00BC55CD">
              <w:rPr>
                <w:rFonts w:ascii="Times New Roman" w:eastAsia="Times New Roman" w:hAnsi="Times New Roman" w:cs="Times New Roman"/>
                <w:b w:val="0"/>
                <w:color w:val="000000"/>
                <w:lang w:val="en-US" w:eastAsia="es-AR"/>
              </w:rPr>
              <w:t xml:space="preserve">influenza </w:t>
            </w:r>
          </w:p>
        </w:tc>
        <w:tc>
          <w:tcPr>
            <w:tcW w:w="1701" w:type="dxa"/>
            <w:tcBorders>
              <w:top w:val="none" w:sz="0" w:space="0" w:color="auto"/>
              <w:bottom w:val="none" w:sz="0" w:space="0" w:color="auto"/>
            </w:tcBorders>
            <w:vAlign w:val="center"/>
            <w:hideMark/>
          </w:tcPr>
          <w:p w:rsidR="00AB02DF" w:rsidRDefault="00AB02DF" w:rsidP="005760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5760A9">
              <w:rPr>
                <w:rFonts w:ascii="Times New Roman" w:hAnsi="Times New Roman" w:cs="Times New Roman"/>
              </w:rPr>
              <w:t>,</w:t>
            </w:r>
            <w:r>
              <w:rPr>
                <w:rFonts w:ascii="Times New Roman" w:hAnsi="Times New Roman" w:cs="Times New Roman"/>
              </w:rPr>
              <w:t>155</w:t>
            </w:r>
          </w:p>
        </w:tc>
        <w:tc>
          <w:tcPr>
            <w:tcW w:w="1323" w:type="dxa"/>
            <w:tcBorders>
              <w:top w:val="none" w:sz="0" w:space="0" w:color="auto"/>
              <w:bottom w:val="none" w:sz="0" w:space="0" w:color="auto"/>
              <w:right w:val="none" w:sz="0" w:space="0" w:color="auto"/>
            </w:tcBorders>
            <w:vAlign w:val="center"/>
            <w:hideMark/>
          </w:tcPr>
          <w:p w:rsidR="00AB02DF" w:rsidRDefault="00AB02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w:t>
            </w:r>
          </w:p>
        </w:tc>
      </w:tr>
    </w:tbl>
    <w:p w:rsidR="00AB02DF" w:rsidRPr="00572AFD" w:rsidRDefault="00BC55CD" w:rsidP="00572AFD">
      <w:pPr>
        <w:rPr>
          <w:i/>
          <w:sz w:val="20"/>
          <w:szCs w:val="20"/>
        </w:rPr>
      </w:pPr>
      <w:r w:rsidRPr="00572AFD">
        <w:rPr>
          <w:i/>
          <w:sz w:val="20"/>
          <w:szCs w:val="20"/>
        </w:rPr>
        <w:t>Source</w:t>
      </w:r>
      <w:r w:rsidR="00AB02DF" w:rsidRPr="00572AFD">
        <w:rPr>
          <w:i/>
          <w:sz w:val="20"/>
          <w:szCs w:val="20"/>
        </w:rPr>
        <w:t xml:space="preserve">: </w:t>
      </w:r>
      <w:r w:rsidR="00AA1BF7" w:rsidRPr="00572AFD">
        <w:rPr>
          <w:i/>
          <w:sz w:val="20"/>
          <w:szCs w:val="20"/>
        </w:rPr>
        <w:t xml:space="preserve">own estimates based on </w:t>
      </w:r>
      <w:r w:rsidR="00AB02DF" w:rsidRPr="00572AFD">
        <w:rPr>
          <w:i/>
          <w:sz w:val="20"/>
          <w:szCs w:val="20"/>
        </w:rPr>
        <w:t>MSN</w:t>
      </w:r>
      <w:r w:rsidR="00AA1BF7" w:rsidRPr="00572AFD">
        <w:rPr>
          <w:i/>
          <w:sz w:val="20"/>
          <w:szCs w:val="20"/>
        </w:rPr>
        <w:t xml:space="preserve"> information</w:t>
      </w:r>
    </w:p>
    <w:p w:rsidR="00BC55CD" w:rsidRPr="00AA1BF7" w:rsidRDefault="00BC55CD" w:rsidP="00AB02DF">
      <w:pPr>
        <w:jc w:val="both"/>
      </w:pPr>
    </w:p>
    <w:p w:rsidR="00AB02DF" w:rsidRPr="00BC55CD" w:rsidRDefault="00305FBA" w:rsidP="00305FBA">
      <w:pPr>
        <w:pStyle w:val="ListParagraph"/>
        <w:numPr>
          <w:ilvl w:val="0"/>
          <w:numId w:val="5"/>
        </w:numPr>
        <w:ind w:left="0" w:firstLine="0"/>
        <w:jc w:val="both"/>
      </w:pPr>
      <w:r w:rsidRPr="00E066D4">
        <w:rPr>
          <w:b/>
        </w:rPr>
        <w:t>The deaths due to influenza A/H1N1 resulted in a loss of 44</w:t>
      </w:r>
      <w:r w:rsidR="00816858">
        <w:rPr>
          <w:b/>
        </w:rPr>
        <w:t>,</w:t>
      </w:r>
      <w:r w:rsidRPr="00E066D4">
        <w:rPr>
          <w:b/>
        </w:rPr>
        <w:t>265 years of life in 2009 and 1</w:t>
      </w:r>
      <w:r w:rsidR="00816858">
        <w:rPr>
          <w:b/>
        </w:rPr>
        <w:t>,</w:t>
      </w:r>
      <w:r w:rsidRPr="00E066D4">
        <w:rPr>
          <w:b/>
        </w:rPr>
        <w:t>115 years in 2010 and in terms of burden of disease 52</w:t>
      </w:r>
      <w:r w:rsidR="00816858">
        <w:rPr>
          <w:b/>
        </w:rPr>
        <w:t>,</w:t>
      </w:r>
      <w:r w:rsidRPr="00E066D4">
        <w:rPr>
          <w:b/>
        </w:rPr>
        <w:t>529 y 11</w:t>
      </w:r>
      <w:r>
        <w:rPr>
          <w:b/>
        </w:rPr>
        <w:t>4</w:t>
      </w:r>
      <w:r w:rsidRPr="00E066D4">
        <w:rPr>
          <w:b/>
        </w:rPr>
        <w:t xml:space="preserve"> years lost for 2009 and 2010, respectively</w:t>
      </w:r>
      <w:r w:rsidRPr="00BC55CD">
        <w:t xml:space="preserve">.    </w:t>
      </w:r>
    </w:p>
    <w:p w:rsidR="00BC55CD" w:rsidRDefault="00BC55CD" w:rsidP="00AB02DF">
      <w:pPr>
        <w:jc w:val="both"/>
      </w:pPr>
    </w:p>
    <w:p w:rsidR="00AB02DF" w:rsidRDefault="00AB02DF" w:rsidP="00305FBA">
      <w:pPr>
        <w:pStyle w:val="ListParagraph"/>
        <w:numPr>
          <w:ilvl w:val="0"/>
          <w:numId w:val="5"/>
        </w:numPr>
        <w:ind w:left="0" w:firstLine="0"/>
        <w:jc w:val="both"/>
      </w:pPr>
      <w:r w:rsidRPr="00C6358E">
        <w:rPr>
          <w:b/>
        </w:rPr>
        <w:t xml:space="preserve">In addition to the loss of life and </w:t>
      </w:r>
      <w:r w:rsidR="00BC55CD" w:rsidRPr="00C6358E">
        <w:rPr>
          <w:b/>
        </w:rPr>
        <w:t>burden of disease, th</w:t>
      </w:r>
      <w:r w:rsidRPr="00C6358E">
        <w:rPr>
          <w:b/>
        </w:rPr>
        <w:t>e epidemic resulted in a substantial increase in demand for health services in particular in the first level of attention.</w:t>
      </w:r>
      <w:r>
        <w:t xml:space="preserve"> During the peak of the pandemic the health system was over exerted due to the increase in demand for services, in particular in the metropolitan zones where the viral circulation was superior (Raffo, 2011). This resulted in an excess burden on emergency and hospitalization sectors, with a deficit for beds, in particular in intensive care units, and delays and suspensions of programed surgeries. In addition the pandemic generated significant economic losses due to labor and school absenteeism and the fall in demand caused by the social distancing measures adopted, in particular the observed fall in tourism, purchases in commercial centers and tickets for sporting and cultural events. </w:t>
      </w:r>
    </w:p>
    <w:p w:rsidR="00BC55CD" w:rsidRDefault="00BC55CD" w:rsidP="00AB02DF">
      <w:pPr>
        <w:jc w:val="both"/>
        <w:rPr>
          <w:b/>
        </w:rPr>
      </w:pPr>
    </w:p>
    <w:p w:rsidR="00AB02DF" w:rsidRDefault="00AB02DF" w:rsidP="00AB02DF">
      <w:pPr>
        <w:jc w:val="both"/>
        <w:rPr>
          <w:b/>
        </w:rPr>
      </w:pPr>
      <w:r>
        <w:rPr>
          <w:b/>
        </w:rPr>
        <w:t>Cost and economic impact of the pandemic</w:t>
      </w:r>
    </w:p>
    <w:p w:rsidR="00BC55CD" w:rsidRDefault="00BC55CD" w:rsidP="00AB02DF">
      <w:pPr>
        <w:jc w:val="both"/>
      </w:pPr>
    </w:p>
    <w:p w:rsidR="00AB02DF" w:rsidRPr="00C6358E" w:rsidRDefault="00AB02DF" w:rsidP="00305FBA">
      <w:pPr>
        <w:pStyle w:val="ListParagraph"/>
        <w:numPr>
          <w:ilvl w:val="0"/>
          <w:numId w:val="5"/>
        </w:numPr>
        <w:ind w:left="0" w:firstLine="0"/>
        <w:jc w:val="both"/>
        <w:rPr>
          <w:b/>
        </w:rPr>
      </w:pPr>
      <w:r w:rsidRPr="00C6358E">
        <w:rPr>
          <w:b/>
        </w:rPr>
        <w:t xml:space="preserve">The measures adopted to combat the influenza A (H1N1) had a direct </w:t>
      </w:r>
      <w:r w:rsidR="001C39AC">
        <w:rPr>
          <w:b/>
        </w:rPr>
        <w:t>health</w:t>
      </w:r>
      <w:r w:rsidRPr="00C6358E">
        <w:rPr>
          <w:b/>
        </w:rPr>
        <w:t xml:space="preserve"> cost of </w:t>
      </w:r>
      <w:r w:rsidR="00C6358E">
        <w:rPr>
          <w:b/>
        </w:rPr>
        <w:t>US$</w:t>
      </w:r>
      <w:r w:rsidRPr="00C6358E">
        <w:rPr>
          <w:b/>
        </w:rPr>
        <w:t xml:space="preserve">628 million, including </w:t>
      </w:r>
      <w:r w:rsidR="00C6358E">
        <w:rPr>
          <w:b/>
        </w:rPr>
        <w:t xml:space="preserve">prevention </w:t>
      </w:r>
      <w:r w:rsidRPr="00C6358E">
        <w:rPr>
          <w:b/>
        </w:rPr>
        <w:t>costs (25</w:t>
      </w:r>
      <w:r w:rsidR="00816858">
        <w:rPr>
          <w:b/>
        </w:rPr>
        <w:t xml:space="preserve"> percent</w:t>
      </w:r>
      <w:r w:rsidRPr="00C6358E">
        <w:rPr>
          <w:b/>
        </w:rPr>
        <w:t xml:space="preserve">) </w:t>
      </w:r>
      <w:r w:rsidR="00C6358E">
        <w:rPr>
          <w:b/>
        </w:rPr>
        <w:t>and</w:t>
      </w:r>
      <w:r w:rsidRPr="00C6358E">
        <w:rPr>
          <w:b/>
        </w:rPr>
        <w:t xml:space="preserve"> </w:t>
      </w:r>
      <w:r w:rsidR="00C6358E">
        <w:rPr>
          <w:b/>
        </w:rPr>
        <w:t xml:space="preserve">treatment </w:t>
      </w:r>
      <w:r w:rsidRPr="00C6358E">
        <w:rPr>
          <w:b/>
        </w:rPr>
        <w:t>costs (75</w:t>
      </w:r>
      <w:r w:rsidR="00816858">
        <w:rPr>
          <w:b/>
        </w:rPr>
        <w:t xml:space="preserve"> percent</w:t>
      </w:r>
      <w:r w:rsidRPr="00C6358E">
        <w:rPr>
          <w:b/>
        </w:rPr>
        <w:t xml:space="preserve">). </w:t>
      </w:r>
    </w:p>
    <w:p w:rsidR="00AB02DF" w:rsidRPr="00C6358E" w:rsidRDefault="00AB02DF" w:rsidP="00AB02DF">
      <w:pPr>
        <w:jc w:val="center"/>
        <w:rPr>
          <w:b/>
        </w:rPr>
      </w:pPr>
    </w:p>
    <w:p w:rsidR="00AB02DF" w:rsidRPr="00BC55CD" w:rsidRDefault="00BC55CD" w:rsidP="00AB02DF">
      <w:pPr>
        <w:jc w:val="center"/>
        <w:rPr>
          <w:b/>
        </w:rPr>
      </w:pPr>
      <w:r w:rsidRPr="00BC55CD">
        <w:rPr>
          <w:b/>
        </w:rPr>
        <w:t>Table</w:t>
      </w:r>
      <w:r w:rsidR="00AB02DF" w:rsidRPr="00BC55CD">
        <w:rPr>
          <w:b/>
        </w:rPr>
        <w:t xml:space="preserve"> 3: </w:t>
      </w:r>
      <w:r w:rsidRPr="00BC55CD">
        <w:rPr>
          <w:b/>
        </w:rPr>
        <w:t>Health c</w:t>
      </w:r>
      <w:r w:rsidR="00AB02DF" w:rsidRPr="00BC55CD">
        <w:rPr>
          <w:b/>
        </w:rPr>
        <w:t xml:space="preserve">osts </w:t>
      </w:r>
      <w:r w:rsidRPr="00BC55CD">
        <w:rPr>
          <w:b/>
        </w:rPr>
        <w:t>of interventions to combat Influenza</w:t>
      </w:r>
      <w:r w:rsidR="00AB02DF" w:rsidRPr="00BC55CD">
        <w:rPr>
          <w:b/>
        </w:rPr>
        <w:t xml:space="preserve"> A</w:t>
      </w:r>
      <w:r w:rsidRPr="00BC55CD">
        <w:rPr>
          <w:b/>
        </w:rPr>
        <w:t>/</w:t>
      </w:r>
      <w:r w:rsidR="00AB02DF" w:rsidRPr="00BC55CD">
        <w:rPr>
          <w:b/>
        </w:rPr>
        <w:t>H1N1</w:t>
      </w:r>
    </w:p>
    <w:p w:rsidR="00AB02DF" w:rsidRDefault="00CC628D" w:rsidP="00AB02DF">
      <w:pPr>
        <w:jc w:val="center"/>
      </w:pPr>
      <w:r>
        <w:t>(</w:t>
      </w:r>
      <w:r w:rsidR="00540B57">
        <w:t>In</w:t>
      </w:r>
      <w:r w:rsidR="00AB02DF">
        <w:t xml:space="preserve"> mi</w:t>
      </w:r>
      <w:r w:rsidR="00BC55CD">
        <w:t>l</w:t>
      </w:r>
      <w:r w:rsidR="00AB02DF">
        <w:t>l</w:t>
      </w:r>
      <w:r w:rsidR="00BC55CD">
        <w:t>i</w:t>
      </w:r>
      <w:r w:rsidR="00AB02DF">
        <w:t xml:space="preserve">ons </w:t>
      </w:r>
      <w:r w:rsidR="00BC55CD">
        <w:t>of</w:t>
      </w:r>
      <w:r w:rsidR="00AB02DF">
        <w:t xml:space="preserve"> </w:t>
      </w:r>
      <w:r w:rsidR="00305FBA">
        <w:t>dollars</w:t>
      </w:r>
      <w:r>
        <w:t>)</w:t>
      </w:r>
    </w:p>
    <w:tbl>
      <w:tblPr>
        <w:tblStyle w:val="LightList-Accent5"/>
        <w:tblW w:w="8307"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1360"/>
        <w:gridCol w:w="1255"/>
        <w:gridCol w:w="1255"/>
        <w:gridCol w:w="820"/>
      </w:tblGrid>
      <w:tr w:rsidR="00AB02DF" w:rsidTr="00572AFD">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17" w:type="dxa"/>
            <w:shd w:val="clear" w:color="auto" w:fill="F2F2F2" w:themeFill="background1" w:themeFillShade="F2"/>
            <w:noWrap/>
            <w:hideMark/>
          </w:tcPr>
          <w:p w:rsidR="00AB02DF" w:rsidRDefault="00AB02DF">
            <w:pPr>
              <w:rPr>
                <w:rFonts w:cs="Times New Roman"/>
                <w:sz w:val="22"/>
                <w:szCs w:val="22"/>
              </w:rPr>
            </w:pPr>
          </w:p>
        </w:tc>
        <w:tc>
          <w:tcPr>
            <w:tcW w:w="1360" w:type="dxa"/>
            <w:shd w:val="clear" w:color="auto" w:fill="F2F2F2" w:themeFill="background1" w:themeFillShade="F2"/>
            <w:noWrap/>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2009</w:t>
            </w:r>
          </w:p>
        </w:tc>
        <w:tc>
          <w:tcPr>
            <w:tcW w:w="1255" w:type="dxa"/>
            <w:shd w:val="clear" w:color="auto" w:fill="F2F2F2" w:themeFill="background1" w:themeFillShade="F2"/>
            <w:noWrap/>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2010</w:t>
            </w:r>
          </w:p>
        </w:tc>
        <w:tc>
          <w:tcPr>
            <w:tcW w:w="1255" w:type="dxa"/>
            <w:shd w:val="clear" w:color="auto" w:fill="F2F2F2" w:themeFill="background1" w:themeFillShade="F2"/>
            <w:noWrap/>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Total</w:t>
            </w:r>
          </w:p>
        </w:tc>
        <w:tc>
          <w:tcPr>
            <w:tcW w:w="820" w:type="dxa"/>
            <w:shd w:val="clear" w:color="auto" w:fill="F2F2F2" w:themeFill="background1" w:themeFillShade="F2"/>
            <w:noWrap/>
            <w:hideMark/>
          </w:tcPr>
          <w:p w:rsidR="00AB02DF" w:rsidRDefault="0069666D">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i</w:t>
            </w:r>
            <w:r w:rsidR="00AB02DF">
              <w:rPr>
                <w:rFonts w:ascii="Times New Roman" w:eastAsia="Times New Roman" w:hAnsi="Times New Roman" w:cs="Times New Roman"/>
                <w:color w:val="000000"/>
                <w:lang w:eastAsia="es-AR"/>
              </w:rPr>
              <w:t>n %</w:t>
            </w:r>
          </w:p>
        </w:tc>
      </w:tr>
      <w:tr w:rsidR="00AB02DF" w:rsidRPr="00540B57" w:rsidTr="00572AF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17" w:type="dxa"/>
            <w:tcBorders>
              <w:top w:val="none" w:sz="0" w:space="0" w:color="auto"/>
              <w:left w:val="none" w:sz="0" w:space="0" w:color="auto"/>
              <w:bottom w:val="none" w:sz="0" w:space="0" w:color="auto"/>
            </w:tcBorders>
            <w:noWrap/>
            <w:vAlign w:val="center"/>
            <w:hideMark/>
          </w:tcPr>
          <w:p w:rsidR="00AB02DF" w:rsidRDefault="00AB02DF" w:rsidP="0069666D">
            <w:pPr>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A)</w:t>
            </w:r>
            <w:r w:rsidRPr="00540B57">
              <w:rPr>
                <w:rFonts w:ascii="Times New Roman" w:eastAsia="Times New Roman" w:hAnsi="Times New Roman" w:cs="Times New Roman"/>
                <w:color w:val="000000"/>
                <w:lang w:val="en-AU" w:eastAsia="es-AR"/>
              </w:rPr>
              <w:t xml:space="preserve"> P</w:t>
            </w:r>
            <w:r w:rsidR="0069666D" w:rsidRPr="00540B57">
              <w:rPr>
                <w:rFonts w:ascii="Times New Roman" w:eastAsia="Times New Roman" w:hAnsi="Times New Roman" w:cs="Times New Roman"/>
                <w:color w:val="000000"/>
                <w:lang w:val="en-AU" w:eastAsia="es-AR"/>
              </w:rPr>
              <w:t>revention</w:t>
            </w:r>
          </w:p>
        </w:tc>
        <w:tc>
          <w:tcPr>
            <w:tcW w:w="1360" w:type="dxa"/>
            <w:tcBorders>
              <w:top w:val="none" w:sz="0" w:space="0" w:color="auto"/>
              <w:bottom w:val="none" w:sz="0" w:space="0" w:color="auto"/>
            </w:tcBorders>
            <w:noWrap/>
            <w:vAlign w:val="center"/>
            <w:hideMark/>
          </w:tcPr>
          <w:p w:rsidR="00AB02DF" w:rsidRDefault="00AB02D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s-AR"/>
              </w:rPr>
            </w:pPr>
            <w:r>
              <w:rPr>
                <w:rFonts w:ascii="Times New Roman" w:eastAsia="Times New Roman" w:hAnsi="Times New Roman" w:cs="Times New Roman"/>
                <w:b/>
                <w:color w:val="000000"/>
                <w:lang w:eastAsia="es-AR"/>
              </w:rPr>
              <w:t>0</w:t>
            </w:r>
          </w:p>
        </w:tc>
        <w:tc>
          <w:tcPr>
            <w:tcW w:w="1255" w:type="dxa"/>
            <w:tcBorders>
              <w:top w:val="none" w:sz="0" w:space="0" w:color="auto"/>
              <w:bottom w:val="none" w:sz="0" w:space="0" w:color="auto"/>
            </w:tcBorders>
            <w:noWrap/>
            <w:vAlign w:val="center"/>
            <w:hideMark/>
          </w:tcPr>
          <w:p w:rsidR="00AB02DF"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s-AR"/>
              </w:rPr>
            </w:pPr>
            <w:r>
              <w:rPr>
                <w:rFonts w:ascii="Times New Roman" w:eastAsia="Times New Roman" w:hAnsi="Times New Roman" w:cs="Times New Roman"/>
                <w:b/>
                <w:color w:val="000000"/>
                <w:lang w:eastAsia="es-AR"/>
              </w:rPr>
              <w:t>155</w:t>
            </w:r>
            <w:r w:rsidR="002D5A95">
              <w:rPr>
                <w:rFonts w:ascii="Times New Roman" w:eastAsia="Times New Roman" w:hAnsi="Times New Roman" w:cs="Times New Roman"/>
                <w:b/>
                <w:color w:val="000000"/>
                <w:lang w:eastAsia="es-AR"/>
              </w:rPr>
              <w:t>.</w:t>
            </w:r>
            <w:r>
              <w:rPr>
                <w:rFonts w:ascii="Times New Roman" w:eastAsia="Times New Roman" w:hAnsi="Times New Roman" w:cs="Times New Roman"/>
                <w:b/>
                <w:color w:val="000000"/>
                <w:lang w:eastAsia="es-AR"/>
              </w:rPr>
              <w:t>0</w:t>
            </w:r>
          </w:p>
        </w:tc>
        <w:tc>
          <w:tcPr>
            <w:tcW w:w="1255" w:type="dxa"/>
            <w:tcBorders>
              <w:top w:val="none" w:sz="0" w:space="0" w:color="auto"/>
              <w:bottom w:val="none" w:sz="0" w:space="0" w:color="auto"/>
            </w:tcBorders>
            <w:noWrap/>
            <w:vAlign w:val="center"/>
            <w:hideMark/>
          </w:tcPr>
          <w:p w:rsidR="00AB02DF"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s-AR"/>
              </w:rPr>
            </w:pPr>
            <w:r>
              <w:rPr>
                <w:rFonts w:ascii="Times New Roman" w:eastAsia="Times New Roman" w:hAnsi="Times New Roman" w:cs="Times New Roman"/>
                <w:b/>
                <w:color w:val="000000"/>
                <w:lang w:eastAsia="es-AR"/>
              </w:rPr>
              <w:t>155</w:t>
            </w:r>
            <w:r w:rsidR="002D5A95">
              <w:rPr>
                <w:rFonts w:ascii="Times New Roman" w:eastAsia="Times New Roman" w:hAnsi="Times New Roman" w:cs="Times New Roman"/>
                <w:b/>
                <w:color w:val="000000"/>
                <w:lang w:eastAsia="es-AR"/>
              </w:rPr>
              <w:t>.</w:t>
            </w:r>
            <w:r>
              <w:rPr>
                <w:rFonts w:ascii="Times New Roman" w:eastAsia="Times New Roman" w:hAnsi="Times New Roman" w:cs="Times New Roman"/>
                <w:b/>
                <w:color w:val="000000"/>
                <w:lang w:eastAsia="es-AR"/>
              </w:rPr>
              <w:t>0</w:t>
            </w:r>
          </w:p>
        </w:tc>
        <w:tc>
          <w:tcPr>
            <w:tcW w:w="820" w:type="dxa"/>
            <w:tcBorders>
              <w:top w:val="none" w:sz="0" w:space="0" w:color="auto"/>
              <w:bottom w:val="none" w:sz="0" w:space="0" w:color="auto"/>
              <w:right w:val="none" w:sz="0" w:space="0" w:color="auto"/>
            </w:tcBorders>
            <w:noWrap/>
            <w:vAlign w:val="center"/>
            <w:hideMark/>
          </w:tcPr>
          <w:p w:rsidR="00AB02DF"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s-AR"/>
              </w:rPr>
            </w:pPr>
            <w:r>
              <w:rPr>
                <w:rFonts w:ascii="Times New Roman" w:eastAsia="Times New Roman" w:hAnsi="Times New Roman" w:cs="Times New Roman"/>
                <w:b/>
                <w:color w:val="000000"/>
                <w:lang w:eastAsia="es-AR"/>
              </w:rPr>
              <w:t>24</w:t>
            </w:r>
            <w:r w:rsidR="002D5A95">
              <w:rPr>
                <w:rFonts w:ascii="Times New Roman" w:eastAsia="Times New Roman" w:hAnsi="Times New Roman" w:cs="Times New Roman"/>
                <w:b/>
                <w:color w:val="000000"/>
                <w:lang w:eastAsia="es-AR"/>
              </w:rPr>
              <w:t>.</w:t>
            </w:r>
            <w:r>
              <w:rPr>
                <w:rFonts w:ascii="Times New Roman" w:eastAsia="Times New Roman" w:hAnsi="Times New Roman" w:cs="Times New Roman"/>
                <w:b/>
                <w:color w:val="000000"/>
                <w:lang w:eastAsia="es-AR"/>
              </w:rPr>
              <w:t>7</w:t>
            </w:r>
          </w:p>
        </w:tc>
      </w:tr>
      <w:tr w:rsidR="00AB02DF" w:rsidTr="00572AFD">
        <w:trPr>
          <w:trHeight w:val="288"/>
          <w:jc w:val="center"/>
        </w:trPr>
        <w:tc>
          <w:tcPr>
            <w:cnfStyle w:val="001000000000" w:firstRow="0" w:lastRow="0" w:firstColumn="1" w:lastColumn="0" w:oddVBand="0" w:evenVBand="0" w:oddHBand="0" w:evenHBand="0" w:firstRowFirstColumn="0" w:firstRowLastColumn="0" w:lastRowFirstColumn="0" w:lastRowLastColumn="0"/>
            <w:tcW w:w="3617" w:type="dxa"/>
            <w:noWrap/>
            <w:vAlign w:val="center"/>
            <w:hideMark/>
          </w:tcPr>
          <w:p w:rsidR="00AB02DF" w:rsidRDefault="00AB02DF">
            <w:pPr>
              <w:rPr>
                <w:rFonts w:ascii="Times New Roman" w:eastAsia="Times New Roman" w:hAnsi="Times New Roman" w:cs="Times New Roman"/>
                <w:b w:val="0"/>
                <w:color w:val="000000"/>
                <w:lang w:eastAsia="es-AR"/>
              </w:rPr>
            </w:pPr>
            <w:r w:rsidRPr="00540B57">
              <w:rPr>
                <w:rFonts w:ascii="Times New Roman" w:eastAsia="Times New Roman" w:hAnsi="Times New Roman" w:cs="Times New Roman"/>
                <w:b w:val="0"/>
                <w:color w:val="000000"/>
                <w:lang w:val="en-AU" w:eastAsia="es-AR"/>
              </w:rPr>
              <w:t>Vac</w:t>
            </w:r>
            <w:r w:rsidR="0069666D" w:rsidRPr="00540B57">
              <w:rPr>
                <w:rFonts w:ascii="Times New Roman" w:eastAsia="Times New Roman" w:hAnsi="Times New Roman" w:cs="Times New Roman"/>
                <w:b w:val="0"/>
                <w:color w:val="000000"/>
                <w:lang w:val="en-AU" w:eastAsia="es-AR"/>
              </w:rPr>
              <w:t>cines</w:t>
            </w:r>
          </w:p>
        </w:tc>
        <w:tc>
          <w:tcPr>
            <w:tcW w:w="1360" w:type="dxa"/>
            <w:noWrap/>
            <w:vAlign w:val="center"/>
            <w:hideMark/>
          </w:tcPr>
          <w:p w:rsidR="00AB02DF"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0</w:t>
            </w:r>
          </w:p>
        </w:tc>
        <w:tc>
          <w:tcPr>
            <w:tcW w:w="1255"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119</w:t>
            </w:r>
            <w:r w:rsidR="002D5A95" w:rsidRP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c>
          <w:tcPr>
            <w:tcW w:w="1255"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119</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c>
          <w:tcPr>
            <w:tcW w:w="820"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19</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0</w:t>
            </w:r>
          </w:p>
        </w:tc>
      </w:tr>
      <w:tr w:rsidR="00AB02DF" w:rsidTr="00572AF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17" w:type="dxa"/>
            <w:tcBorders>
              <w:top w:val="none" w:sz="0" w:space="0" w:color="auto"/>
              <w:left w:val="none" w:sz="0" w:space="0" w:color="auto"/>
              <w:bottom w:val="none" w:sz="0" w:space="0" w:color="auto"/>
            </w:tcBorders>
            <w:noWrap/>
            <w:vAlign w:val="center"/>
            <w:hideMark/>
          </w:tcPr>
          <w:p w:rsidR="00AB02DF" w:rsidRPr="002D5A95" w:rsidRDefault="00AB02DF">
            <w:pPr>
              <w:rPr>
                <w:rFonts w:ascii="Times New Roman" w:eastAsia="Times New Roman" w:hAnsi="Times New Roman" w:cs="Times New Roman"/>
                <w:b w:val="0"/>
                <w:color w:val="000000"/>
                <w:lang w:val="en-US" w:eastAsia="es-AR"/>
              </w:rPr>
            </w:pPr>
            <w:r w:rsidRPr="002D5A95">
              <w:rPr>
                <w:rFonts w:ascii="Times New Roman" w:eastAsia="Times New Roman" w:hAnsi="Times New Roman" w:cs="Times New Roman"/>
                <w:b w:val="0"/>
                <w:color w:val="000000"/>
                <w:lang w:val="en-US" w:eastAsia="es-AR"/>
              </w:rPr>
              <w:t>In</w:t>
            </w:r>
            <w:r w:rsidR="0069666D" w:rsidRPr="002D5A95">
              <w:rPr>
                <w:rFonts w:ascii="Times New Roman" w:eastAsia="Times New Roman" w:hAnsi="Times New Roman" w:cs="Times New Roman"/>
                <w:b w:val="0"/>
                <w:color w:val="000000"/>
                <w:lang w:val="en-US" w:eastAsia="es-AR"/>
              </w:rPr>
              <w:t>puts</w:t>
            </w:r>
          </w:p>
        </w:tc>
        <w:tc>
          <w:tcPr>
            <w:tcW w:w="1360" w:type="dxa"/>
            <w:tcBorders>
              <w:top w:val="none" w:sz="0" w:space="0" w:color="auto"/>
              <w:bottom w:val="none" w:sz="0" w:space="0" w:color="auto"/>
            </w:tcBorders>
            <w:noWrap/>
            <w:vAlign w:val="center"/>
            <w:hideMark/>
          </w:tcPr>
          <w:p w:rsidR="00AB02DF" w:rsidRPr="002D5A95" w:rsidRDefault="00AB02D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p>
        </w:tc>
        <w:tc>
          <w:tcPr>
            <w:tcW w:w="1255" w:type="dxa"/>
            <w:tcBorders>
              <w:top w:val="none" w:sz="0" w:space="0" w:color="auto"/>
              <w:bottom w:val="none" w:sz="0" w:space="0" w:color="auto"/>
            </w:tcBorders>
            <w:noWrap/>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35</w:t>
            </w:r>
            <w:r w:rsidR="002D5A95" w:rsidRP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1255" w:type="dxa"/>
            <w:tcBorders>
              <w:top w:val="none" w:sz="0" w:space="0" w:color="auto"/>
              <w:bottom w:val="none" w:sz="0" w:space="0" w:color="auto"/>
            </w:tcBorders>
            <w:noWrap/>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35</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820" w:type="dxa"/>
            <w:tcBorders>
              <w:top w:val="none" w:sz="0" w:space="0" w:color="auto"/>
              <w:bottom w:val="none" w:sz="0" w:space="0" w:color="auto"/>
              <w:right w:val="none" w:sz="0" w:space="0" w:color="auto"/>
            </w:tcBorders>
            <w:noWrap/>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5</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r>
      <w:tr w:rsidR="00AB02DF" w:rsidRPr="00AD72F0" w:rsidTr="00572AFD">
        <w:trPr>
          <w:trHeight w:val="288"/>
          <w:jc w:val="center"/>
        </w:trPr>
        <w:tc>
          <w:tcPr>
            <w:cnfStyle w:val="001000000000" w:firstRow="0" w:lastRow="0" w:firstColumn="1" w:lastColumn="0" w:oddVBand="0" w:evenVBand="0" w:oddHBand="0" w:evenHBand="0" w:firstRowFirstColumn="0" w:firstRowLastColumn="0" w:lastRowFirstColumn="0" w:lastRowLastColumn="0"/>
            <w:tcW w:w="3617" w:type="dxa"/>
            <w:noWrap/>
            <w:vAlign w:val="center"/>
            <w:hideMark/>
          </w:tcPr>
          <w:p w:rsidR="00AB02DF" w:rsidRPr="002D5A95" w:rsidRDefault="00AB02DF">
            <w:pPr>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B) Diagn</w:t>
            </w:r>
            <w:r w:rsidR="0069666D" w:rsidRPr="002D5A95">
              <w:rPr>
                <w:rFonts w:ascii="Times New Roman" w:eastAsia="Times New Roman" w:hAnsi="Times New Roman" w:cs="Times New Roman"/>
                <w:color w:val="000000"/>
                <w:lang w:val="en-US" w:eastAsia="es-AR"/>
              </w:rPr>
              <w:t>o</w:t>
            </w:r>
            <w:r w:rsidRPr="002D5A95">
              <w:rPr>
                <w:rFonts w:ascii="Times New Roman" w:eastAsia="Times New Roman" w:hAnsi="Times New Roman" w:cs="Times New Roman"/>
                <w:color w:val="000000"/>
                <w:lang w:val="en-US" w:eastAsia="es-AR"/>
              </w:rPr>
              <w:t xml:space="preserve">stic </w:t>
            </w:r>
            <w:r w:rsidR="0069666D" w:rsidRPr="002D5A95">
              <w:rPr>
                <w:rFonts w:ascii="Times New Roman" w:eastAsia="Times New Roman" w:hAnsi="Times New Roman" w:cs="Times New Roman"/>
                <w:color w:val="000000"/>
                <w:lang w:val="en-US" w:eastAsia="es-AR"/>
              </w:rPr>
              <w:t>and</w:t>
            </w:r>
            <w:r w:rsidRPr="00AD72F0">
              <w:rPr>
                <w:rFonts w:ascii="Times New Roman" w:eastAsia="Times New Roman" w:hAnsi="Times New Roman" w:cs="Times New Roman"/>
                <w:color w:val="000000"/>
                <w:lang w:val="en-AU" w:eastAsia="es-AR"/>
              </w:rPr>
              <w:t xml:space="preserve"> tr</w:t>
            </w:r>
            <w:r w:rsidR="0069666D" w:rsidRPr="00AD72F0">
              <w:rPr>
                <w:rFonts w:ascii="Times New Roman" w:eastAsia="Times New Roman" w:hAnsi="Times New Roman" w:cs="Times New Roman"/>
                <w:color w:val="000000"/>
                <w:lang w:val="en-AU" w:eastAsia="es-AR"/>
              </w:rPr>
              <w:t>eatment</w:t>
            </w:r>
          </w:p>
        </w:tc>
        <w:tc>
          <w:tcPr>
            <w:tcW w:w="1360"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472</w:t>
            </w:r>
            <w:r w:rsidR="002D5A95" w:rsidRP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4</w:t>
            </w:r>
          </w:p>
        </w:tc>
        <w:tc>
          <w:tcPr>
            <w:tcW w:w="1255"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0</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7</w:t>
            </w:r>
          </w:p>
        </w:tc>
        <w:tc>
          <w:tcPr>
            <w:tcW w:w="1255"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473</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1</w:t>
            </w:r>
          </w:p>
        </w:tc>
        <w:tc>
          <w:tcPr>
            <w:tcW w:w="820"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75</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3</w:t>
            </w:r>
          </w:p>
        </w:tc>
      </w:tr>
      <w:tr w:rsidR="00AB02DF" w:rsidTr="00572AF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17" w:type="dxa"/>
            <w:tcBorders>
              <w:top w:val="none" w:sz="0" w:space="0" w:color="auto"/>
              <w:left w:val="none" w:sz="0" w:space="0" w:color="auto"/>
              <w:bottom w:val="none" w:sz="0" w:space="0" w:color="auto"/>
            </w:tcBorders>
            <w:noWrap/>
            <w:vAlign w:val="center"/>
            <w:hideMark/>
          </w:tcPr>
          <w:p w:rsidR="00AB02DF" w:rsidRPr="002D5A95" w:rsidRDefault="00AD72F0">
            <w:pPr>
              <w:rPr>
                <w:rFonts w:ascii="Times New Roman" w:eastAsia="Times New Roman" w:hAnsi="Times New Roman" w:cs="Times New Roman"/>
                <w:b w:val="0"/>
                <w:color w:val="000000"/>
                <w:lang w:val="en-US" w:eastAsia="es-AR"/>
              </w:rPr>
            </w:pPr>
            <w:r w:rsidRPr="00AD72F0">
              <w:rPr>
                <w:rFonts w:ascii="Times New Roman" w:eastAsia="Times New Roman" w:hAnsi="Times New Roman" w:cs="Times New Roman"/>
                <w:b w:val="0"/>
                <w:color w:val="000000"/>
                <w:lang w:val="en-AU" w:eastAsia="es-AR"/>
              </w:rPr>
              <w:t>Diagnostic</w:t>
            </w:r>
            <w:r w:rsidR="00AB02DF" w:rsidRPr="002D5A95">
              <w:rPr>
                <w:rFonts w:ascii="Times New Roman" w:eastAsia="Times New Roman" w:hAnsi="Times New Roman" w:cs="Times New Roman"/>
                <w:b w:val="0"/>
                <w:color w:val="000000"/>
                <w:lang w:val="en-US" w:eastAsia="es-AR"/>
              </w:rPr>
              <w:t xml:space="preserve"> y</w:t>
            </w:r>
            <w:r w:rsidR="00AB02DF" w:rsidRPr="00AD72F0">
              <w:rPr>
                <w:rFonts w:ascii="Times New Roman" w:eastAsia="Times New Roman" w:hAnsi="Times New Roman" w:cs="Times New Roman"/>
                <w:b w:val="0"/>
                <w:color w:val="000000"/>
                <w:lang w:val="en-AU" w:eastAsia="es-AR"/>
              </w:rPr>
              <w:t xml:space="preserve"> t</w:t>
            </w:r>
            <w:r w:rsidR="0069666D" w:rsidRPr="00AD72F0">
              <w:rPr>
                <w:rFonts w:ascii="Times New Roman" w:eastAsia="Times New Roman" w:hAnsi="Times New Roman" w:cs="Times New Roman"/>
                <w:b w:val="0"/>
                <w:color w:val="000000"/>
                <w:lang w:val="en-AU" w:eastAsia="es-AR"/>
              </w:rPr>
              <w:t>reatment</w:t>
            </w:r>
          </w:p>
        </w:tc>
        <w:tc>
          <w:tcPr>
            <w:tcW w:w="1360" w:type="dxa"/>
            <w:tcBorders>
              <w:top w:val="none" w:sz="0" w:space="0" w:color="auto"/>
              <w:bottom w:val="none" w:sz="0" w:space="0" w:color="auto"/>
            </w:tcBorders>
            <w:noWrap/>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472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4</w:t>
            </w:r>
          </w:p>
        </w:tc>
        <w:tc>
          <w:tcPr>
            <w:tcW w:w="1255" w:type="dxa"/>
            <w:tcBorders>
              <w:top w:val="none" w:sz="0" w:space="0" w:color="auto"/>
              <w:bottom w:val="none" w:sz="0" w:space="0" w:color="auto"/>
            </w:tcBorders>
            <w:noWrap/>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1255" w:type="dxa"/>
            <w:tcBorders>
              <w:top w:val="none" w:sz="0" w:space="0" w:color="auto"/>
              <w:bottom w:val="none" w:sz="0" w:space="0" w:color="auto"/>
            </w:tcBorders>
            <w:noWrap/>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473</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1</w:t>
            </w:r>
          </w:p>
        </w:tc>
        <w:tc>
          <w:tcPr>
            <w:tcW w:w="820" w:type="dxa"/>
            <w:tcBorders>
              <w:top w:val="none" w:sz="0" w:space="0" w:color="auto"/>
              <w:bottom w:val="none" w:sz="0" w:space="0" w:color="auto"/>
              <w:right w:val="none" w:sz="0" w:space="0" w:color="auto"/>
            </w:tcBorders>
            <w:noWrap/>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75</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r>
      <w:tr w:rsidR="00AB02DF" w:rsidTr="00572AFD">
        <w:trPr>
          <w:trHeight w:val="288"/>
          <w:jc w:val="center"/>
        </w:trPr>
        <w:tc>
          <w:tcPr>
            <w:cnfStyle w:val="001000000000" w:firstRow="0" w:lastRow="0" w:firstColumn="1" w:lastColumn="0" w:oddVBand="0" w:evenVBand="0" w:oddHBand="0" w:evenHBand="0" w:firstRowFirstColumn="0" w:firstRowLastColumn="0" w:lastRowFirstColumn="0" w:lastRowLastColumn="0"/>
            <w:tcW w:w="3617" w:type="dxa"/>
            <w:noWrap/>
            <w:vAlign w:val="center"/>
            <w:hideMark/>
          </w:tcPr>
          <w:p w:rsidR="00AB02DF" w:rsidRPr="002D5A95" w:rsidRDefault="00AB02DF">
            <w:pPr>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Total</w:t>
            </w:r>
          </w:p>
        </w:tc>
        <w:tc>
          <w:tcPr>
            <w:tcW w:w="1360"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472</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4</w:t>
            </w:r>
          </w:p>
        </w:tc>
        <w:tc>
          <w:tcPr>
            <w:tcW w:w="1255"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155</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7</w:t>
            </w:r>
          </w:p>
        </w:tc>
        <w:tc>
          <w:tcPr>
            <w:tcW w:w="1255" w:type="dxa"/>
            <w:noWrap/>
            <w:vAlign w:val="center"/>
            <w:hideMark/>
          </w:tcPr>
          <w:p w:rsidR="00AB02DF" w:rsidRPr="002D5A95"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628</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2</w:t>
            </w:r>
          </w:p>
        </w:tc>
        <w:tc>
          <w:tcPr>
            <w:tcW w:w="820" w:type="dxa"/>
            <w:noWrap/>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100</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0</w:t>
            </w:r>
          </w:p>
        </w:tc>
      </w:tr>
    </w:tbl>
    <w:p w:rsidR="00AB02DF" w:rsidRPr="00572AFD" w:rsidRDefault="00CC628D" w:rsidP="00572AFD">
      <w:pPr>
        <w:ind w:left="708"/>
        <w:rPr>
          <w:i/>
          <w:sz w:val="20"/>
          <w:szCs w:val="20"/>
        </w:rPr>
      </w:pPr>
      <w:r w:rsidRPr="00572AFD">
        <w:rPr>
          <w:i/>
          <w:sz w:val="20"/>
          <w:szCs w:val="20"/>
        </w:rPr>
        <w:t>S</w:t>
      </w:r>
      <w:r w:rsidR="00BC55CD" w:rsidRPr="00572AFD">
        <w:rPr>
          <w:i/>
          <w:sz w:val="20"/>
          <w:szCs w:val="20"/>
        </w:rPr>
        <w:t>ource</w:t>
      </w:r>
      <w:r w:rsidR="00AB02DF" w:rsidRPr="00572AFD">
        <w:rPr>
          <w:i/>
          <w:sz w:val="20"/>
          <w:szCs w:val="20"/>
        </w:rPr>
        <w:t xml:space="preserve">: </w:t>
      </w:r>
      <w:r w:rsidR="00AA1BF7" w:rsidRPr="00572AFD">
        <w:rPr>
          <w:i/>
          <w:sz w:val="20"/>
          <w:szCs w:val="20"/>
        </w:rPr>
        <w:t>Own estimates based on MSN information</w:t>
      </w:r>
    </w:p>
    <w:p w:rsidR="00AB02DF" w:rsidRDefault="00C6358E" w:rsidP="00305FBA">
      <w:pPr>
        <w:pStyle w:val="ListParagraph"/>
        <w:numPr>
          <w:ilvl w:val="0"/>
          <w:numId w:val="5"/>
        </w:numPr>
        <w:ind w:left="0" w:firstLine="0"/>
        <w:jc w:val="both"/>
      </w:pPr>
      <w:r w:rsidRPr="004111D6">
        <w:rPr>
          <w:b/>
        </w:rPr>
        <w:lastRenderedPageBreak/>
        <w:t>The economic impact was substantial though difficult to measure</w:t>
      </w:r>
      <w:r w:rsidR="00AB02DF">
        <w:t>.</w:t>
      </w:r>
      <w:r w:rsidR="00BC55CD">
        <w:rPr>
          <w:rStyle w:val="FootnoteReference"/>
        </w:rPr>
        <w:footnoteReference w:id="40"/>
      </w:r>
      <w:r w:rsidR="00AB02DF">
        <w:t xml:space="preserve"> In the case of Argentina, the MSN estimated the impact of the pandemic at </w:t>
      </w:r>
      <w:r>
        <w:t>US$</w:t>
      </w:r>
      <w:r w:rsidR="00AB02DF">
        <w:t>2.1</w:t>
      </w:r>
      <w:r>
        <w:t xml:space="preserve"> b</w:t>
      </w:r>
      <w:r w:rsidR="00AB02DF">
        <w:t xml:space="preserve">illion, of which </w:t>
      </w:r>
      <w:r>
        <w:t>30</w:t>
      </w:r>
      <w:r w:rsidR="00AB02DF">
        <w:t xml:space="preserve"> </w:t>
      </w:r>
      <w:r>
        <w:t>percent</w:t>
      </w:r>
      <w:r w:rsidR="00AB02DF">
        <w:t xml:space="preserve"> (</w:t>
      </w:r>
      <w:r>
        <w:t>US$</w:t>
      </w:r>
      <w:r w:rsidR="00AB02DF">
        <w:t>628</w:t>
      </w:r>
      <w:r>
        <w:t xml:space="preserve"> </w:t>
      </w:r>
      <w:r w:rsidR="00AB02DF">
        <w:t>million) correspond to the ma</w:t>
      </w:r>
      <w:r>
        <w:t xml:space="preserve">in health </w:t>
      </w:r>
      <w:r w:rsidR="00AB02DF">
        <w:t>costs to address the emergency and 70</w:t>
      </w:r>
      <w:r>
        <w:t xml:space="preserve"> percent</w:t>
      </w:r>
      <w:r w:rsidR="00AB02DF">
        <w:t xml:space="preserve"> to economic losses attributable to the illness (</w:t>
      </w:r>
      <w:r>
        <w:t>US$</w:t>
      </w:r>
      <w:r w:rsidR="00AB02DF">
        <w:t>1.5</w:t>
      </w:r>
      <w:r w:rsidR="00B856DD">
        <w:t xml:space="preserve"> </w:t>
      </w:r>
      <w:r>
        <w:t>b</w:t>
      </w:r>
      <w:r w:rsidR="004111D6">
        <w:t xml:space="preserve">illion). </w:t>
      </w:r>
      <w:r w:rsidR="00AB02DF">
        <w:t xml:space="preserve">Productivity losses are associated with the days of work or school lost for people who were directly affected by the illness, the years of life lost due to premature death and disability and the economic impact of social distancing measures (closing of schools and work </w:t>
      </w:r>
      <w:r>
        <w:t>absenteeism</w:t>
      </w:r>
      <w:r w:rsidR="00AB02DF">
        <w:t>). If one considers the reduction in consumption caused by the pandemic in sector</w:t>
      </w:r>
      <w:r>
        <w:t>s</w:t>
      </w:r>
      <w:r w:rsidR="00AB02DF">
        <w:t xml:space="preserve"> like tourism, transportation and recreation</w:t>
      </w:r>
      <w:r w:rsidR="001C39AC">
        <w:t>,</w:t>
      </w:r>
      <w:r w:rsidR="00AB02DF">
        <w:t xml:space="preserve"> the global cost of influenza was over </w:t>
      </w:r>
      <w:r>
        <w:t>US$</w:t>
      </w:r>
      <w:r w:rsidR="00AB02DF">
        <w:t xml:space="preserve">3 </w:t>
      </w:r>
      <w:r>
        <w:t>b</w:t>
      </w:r>
      <w:r w:rsidR="00AB02DF">
        <w:t xml:space="preserve">illion.  </w:t>
      </w:r>
    </w:p>
    <w:p w:rsidR="00BC55CD" w:rsidRDefault="00BC55CD" w:rsidP="00AB02DF">
      <w:pPr>
        <w:jc w:val="both"/>
      </w:pPr>
    </w:p>
    <w:p w:rsidR="00AB02DF" w:rsidRPr="00BC55CD" w:rsidRDefault="00BC55CD" w:rsidP="00AB02DF">
      <w:pPr>
        <w:jc w:val="center"/>
        <w:rPr>
          <w:b/>
        </w:rPr>
      </w:pPr>
      <w:r w:rsidRPr="00BC55CD">
        <w:rPr>
          <w:b/>
        </w:rPr>
        <w:t>Table</w:t>
      </w:r>
      <w:r w:rsidR="00AB02DF" w:rsidRPr="00BC55CD">
        <w:rPr>
          <w:b/>
        </w:rPr>
        <w:t xml:space="preserve"> </w:t>
      </w:r>
      <w:r w:rsidR="00D27AEC">
        <w:rPr>
          <w:b/>
        </w:rPr>
        <w:t>4</w:t>
      </w:r>
      <w:r w:rsidR="00AB02DF" w:rsidRPr="00BC55CD">
        <w:rPr>
          <w:b/>
        </w:rPr>
        <w:t xml:space="preserve">: </w:t>
      </w:r>
      <w:r w:rsidRPr="00BC55CD">
        <w:rPr>
          <w:b/>
        </w:rPr>
        <w:t xml:space="preserve">Economic </w:t>
      </w:r>
      <w:r w:rsidR="00C6358E">
        <w:rPr>
          <w:b/>
        </w:rPr>
        <w:t>I</w:t>
      </w:r>
      <w:r w:rsidR="00AB02DF" w:rsidRPr="00BC55CD">
        <w:rPr>
          <w:b/>
        </w:rPr>
        <w:t xml:space="preserve">mpact </w:t>
      </w:r>
      <w:r w:rsidRPr="00BC55CD">
        <w:rPr>
          <w:b/>
        </w:rPr>
        <w:t xml:space="preserve">of the </w:t>
      </w:r>
      <w:r w:rsidR="004111D6" w:rsidRPr="00BC55CD">
        <w:rPr>
          <w:b/>
        </w:rPr>
        <w:t>A</w:t>
      </w:r>
      <w:r w:rsidR="004111D6">
        <w:rPr>
          <w:b/>
        </w:rPr>
        <w:t>/</w:t>
      </w:r>
      <w:r w:rsidR="004111D6" w:rsidRPr="00BC55CD">
        <w:rPr>
          <w:b/>
        </w:rPr>
        <w:t xml:space="preserve">H1N1 </w:t>
      </w:r>
      <w:r w:rsidR="00C6358E">
        <w:rPr>
          <w:b/>
        </w:rPr>
        <w:t>I</w:t>
      </w:r>
      <w:r w:rsidR="00AB02DF" w:rsidRPr="00BC55CD">
        <w:rPr>
          <w:b/>
        </w:rPr>
        <w:t xml:space="preserve">nfluenza </w:t>
      </w:r>
      <w:r w:rsidRPr="00BC55CD">
        <w:rPr>
          <w:b/>
        </w:rPr>
        <w:t>pandemic in</w:t>
      </w:r>
      <w:r w:rsidR="00AB02DF" w:rsidRPr="00BC55CD">
        <w:rPr>
          <w:b/>
        </w:rPr>
        <w:t xml:space="preserve"> Argentina</w:t>
      </w:r>
    </w:p>
    <w:p w:rsidR="00AB02DF" w:rsidRDefault="00CC628D" w:rsidP="00AB02DF">
      <w:pPr>
        <w:jc w:val="center"/>
      </w:pPr>
      <w:r>
        <w:t>(</w:t>
      </w:r>
      <w:r w:rsidR="00540B57">
        <w:t>In</w:t>
      </w:r>
      <w:r w:rsidR="00AB02DF">
        <w:t xml:space="preserve"> mill</w:t>
      </w:r>
      <w:r w:rsidR="00BC55CD">
        <w:t>i</w:t>
      </w:r>
      <w:r w:rsidR="00AB02DF">
        <w:t xml:space="preserve">ons </w:t>
      </w:r>
      <w:r w:rsidR="00BC55CD">
        <w:t>of</w:t>
      </w:r>
      <w:r w:rsidR="00AB02DF">
        <w:t xml:space="preserve"> </w:t>
      </w:r>
      <w:r w:rsidR="00305FBA">
        <w:t>dollars</w:t>
      </w:r>
      <w:r>
        <w:t>)</w:t>
      </w:r>
    </w:p>
    <w:tbl>
      <w:tblPr>
        <w:tblStyle w:val="LightList-Accent5"/>
        <w:tblW w:w="884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936"/>
        <w:gridCol w:w="708"/>
        <w:gridCol w:w="936"/>
        <w:gridCol w:w="850"/>
        <w:gridCol w:w="979"/>
        <w:gridCol w:w="709"/>
      </w:tblGrid>
      <w:tr w:rsidR="00AB02DF" w:rsidTr="00CC628D">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31" w:type="dxa"/>
            <w:shd w:val="clear" w:color="auto" w:fill="F2F2F2" w:themeFill="background1" w:themeFillShade="F2"/>
            <w:noWrap/>
            <w:hideMark/>
          </w:tcPr>
          <w:p w:rsidR="00AB02DF" w:rsidRDefault="00AB02DF">
            <w:pPr>
              <w:rPr>
                <w:rFonts w:cs="Times New Roman"/>
                <w:sz w:val="22"/>
                <w:szCs w:val="22"/>
              </w:rPr>
            </w:pPr>
          </w:p>
        </w:tc>
        <w:tc>
          <w:tcPr>
            <w:tcW w:w="1620" w:type="dxa"/>
            <w:gridSpan w:val="2"/>
            <w:shd w:val="clear" w:color="auto" w:fill="F2F2F2" w:themeFill="background1" w:themeFillShade="F2"/>
            <w:noWrap/>
            <w:hideMark/>
          </w:tcPr>
          <w:p w:rsidR="00AB02DF" w:rsidRDefault="00AB02D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2009</w:t>
            </w:r>
          </w:p>
        </w:tc>
        <w:tc>
          <w:tcPr>
            <w:tcW w:w="1701" w:type="dxa"/>
            <w:gridSpan w:val="2"/>
            <w:shd w:val="clear" w:color="auto" w:fill="F2F2F2" w:themeFill="background1" w:themeFillShade="F2"/>
            <w:noWrap/>
            <w:hideMark/>
          </w:tcPr>
          <w:p w:rsidR="00AB02DF" w:rsidRDefault="00AB02D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2010</w:t>
            </w:r>
          </w:p>
        </w:tc>
        <w:tc>
          <w:tcPr>
            <w:tcW w:w="1688" w:type="dxa"/>
            <w:gridSpan w:val="2"/>
            <w:shd w:val="clear" w:color="auto" w:fill="F2F2F2" w:themeFill="background1" w:themeFillShade="F2"/>
            <w:noWrap/>
            <w:hideMark/>
          </w:tcPr>
          <w:p w:rsidR="00AB02DF" w:rsidRDefault="00AB02D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Total</w:t>
            </w:r>
          </w:p>
        </w:tc>
      </w:tr>
      <w:tr w:rsidR="00AB02DF" w:rsidTr="00CC628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31" w:type="dxa"/>
            <w:tcBorders>
              <w:top w:val="none" w:sz="0" w:space="0" w:color="auto"/>
              <w:left w:val="none" w:sz="0" w:space="0" w:color="auto"/>
              <w:bottom w:val="none" w:sz="0" w:space="0" w:color="auto"/>
            </w:tcBorders>
            <w:noWrap/>
            <w:hideMark/>
          </w:tcPr>
          <w:p w:rsidR="00AB02DF" w:rsidRPr="00540B57" w:rsidRDefault="00AB02DF">
            <w:pPr>
              <w:rPr>
                <w:rFonts w:cs="Times New Roman"/>
                <w:sz w:val="22"/>
                <w:szCs w:val="22"/>
                <w:lang w:val="en-AU"/>
              </w:rPr>
            </w:pPr>
          </w:p>
        </w:tc>
        <w:tc>
          <w:tcPr>
            <w:tcW w:w="912" w:type="dxa"/>
            <w:tcBorders>
              <w:top w:val="none" w:sz="0" w:space="0" w:color="auto"/>
              <w:bottom w:val="none" w:sz="0" w:space="0" w:color="auto"/>
            </w:tcBorders>
            <w:noWrap/>
            <w:hideMark/>
          </w:tcPr>
          <w:p w:rsidR="00AB02DF" w:rsidRDefault="00121507" w:rsidP="001215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sidRPr="00540B57">
              <w:rPr>
                <w:rFonts w:ascii="Times New Roman" w:eastAsia="Times New Roman" w:hAnsi="Times New Roman" w:cs="Times New Roman"/>
                <w:color w:val="000000"/>
                <w:lang w:val="en-AU" w:eastAsia="es-AR"/>
              </w:rPr>
              <w:t>amount</w:t>
            </w:r>
          </w:p>
        </w:tc>
        <w:tc>
          <w:tcPr>
            <w:tcW w:w="708" w:type="dxa"/>
            <w:tcBorders>
              <w:top w:val="none" w:sz="0" w:space="0" w:color="auto"/>
              <w:bottom w:val="none" w:sz="0" w:space="0" w:color="auto"/>
            </w:tcBorders>
            <w:noWrap/>
            <w:hideMark/>
          </w:tcPr>
          <w:p w:rsidR="00AB02DF" w:rsidRPr="00540B57" w:rsidRDefault="00121507" w:rsidP="001215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BZ" w:eastAsia="es-AR"/>
              </w:rPr>
            </w:pPr>
            <w:r>
              <w:rPr>
                <w:rFonts w:ascii="Times New Roman" w:eastAsia="Times New Roman" w:hAnsi="Times New Roman" w:cs="Times New Roman"/>
                <w:color w:val="000000"/>
                <w:lang w:eastAsia="es-AR"/>
              </w:rPr>
              <w:t>i</w:t>
            </w:r>
            <w:r w:rsidR="00AB02DF">
              <w:rPr>
                <w:rFonts w:ascii="Times New Roman" w:eastAsia="Times New Roman" w:hAnsi="Times New Roman" w:cs="Times New Roman"/>
                <w:color w:val="000000"/>
                <w:lang w:eastAsia="es-AR"/>
              </w:rPr>
              <w:t>n %</w:t>
            </w:r>
          </w:p>
        </w:tc>
        <w:tc>
          <w:tcPr>
            <w:tcW w:w="851" w:type="dxa"/>
            <w:tcBorders>
              <w:top w:val="none" w:sz="0" w:space="0" w:color="auto"/>
              <w:bottom w:val="none" w:sz="0" w:space="0" w:color="auto"/>
            </w:tcBorders>
            <w:noWrap/>
            <w:hideMark/>
          </w:tcPr>
          <w:p w:rsidR="00AB02DF" w:rsidRDefault="00121507" w:rsidP="001215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sidRPr="00540B57">
              <w:rPr>
                <w:rFonts w:ascii="Times New Roman" w:eastAsia="Times New Roman" w:hAnsi="Times New Roman" w:cs="Times New Roman"/>
                <w:color w:val="000000"/>
                <w:lang w:val="en-BZ" w:eastAsia="es-AR"/>
              </w:rPr>
              <w:t>amount</w:t>
            </w:r>
          </w:p>
        </w:tc>
        <w:tc>
          <w:tcPr>
            <w:tcW w:w="850" w:type="dxa"/>
            <w:tcBorders>
              <w:top w:val="none" w:sz="0" w:space="0" w:color="auto"/>
              <w:bottom w:val="none" w:sz="0" w:space="0" w:color="auto"/>
            </w:tcBorders>
            <w:noWrap/>
            <w:hideMark/>
          </w:tcPr>
          <w:p w:rsidR="00AB02DF" w:rsidRPr="00540B57" w:rsidRDefault="001215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AU" w:eastAsia="es-AR"/>
              </w:rPr>
            </w:pPr>
            <w:r>
              <w:rPr>
                <w:rFonts w:ascii="Times New Roman" w:eastAsia="Times New Roman" w:hAnsi="Times New Roman" w:cs="Times New Roman"/>
                <w:color w:val="000000"/>
                <w:lang w:eastAsia="es-AR"/>
              </w:rPr>
              <w:t>i</w:t>
            </w:r>
            <w:r w:rsidR="00AB02DF">
              <w:rPr>
                <w:rFonts w:ascii="Times New Roman" w:eastAsia="Times New Roman" w:hAnsi="Times New Roman" w:cs="Times New Roman"/>
                <w:color w:val="000000"/>
                <w:lang w:eastAsia="es-AR"/>
              </w:rPr>
              <w:t>n %</w:t>
            </w:r>
          </w:p>
        </w:tc>
        <w:tc>
          <w:tcPr>
            <w:tcW w:w="979" w:type="dxa"/>
            <w:tcBorders>
              <w:top w:val="none" w:sz="0" w:space="0" w:color="auto"/>
              <w:bottom w:val="none" w:sz="0" w:space="0" w:color="auto"/>
            </w:tcBorders>
            <w:noWrap/>
            <w:hideMark/>
          </w:tcPr>
          <w:p w:rsidR="00AB02DF" w:rsidRDefault="00121507" w:rsidP="001215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sidRPr="00540B57">
              <w:rPr>
                <w:rFonts w:ascii="Times New Roman" w:eastAsia="Times New Roman" w:hAnsi="Times New Roman" w:cs="Times New Roman"/>
                <w:color w:val="000000"/>
                <w:lang w:val="en-AU" w:eastAsia="es-AR"/>
              </w:rPr>
              <w:t>a</w:t>
            </w:r>
            <w:r w:rsidR="00AB02DF" w:rsidRPr="00540B57">
              <w:rPr>
                <w:rFonts w:ascii="Times New Roman" w:eastAsia="Times New Roman" w:hAnsi="Times New Roman" w:cs="Times New Roman"/>
                <w:color w:val="000000"/>
                <w:lang w:val="en-AU" w:eastAsia="es-AR"/>
              </w:rPr>
              <w:t>mo</w:t>
            </w:r>
            <w:r w:rsidRPr="00540B57">
              <w:rPr>
                <w:rFonts w:ascii="Times New Roman" w:eastAsia="Times New Roman" w:hAnsi="Times New Roman" w:cs="Times New Roman"/>
                <w:color w:val="000000"/>
                <w:lang w:val="en-AU" w:eastAsia="es-AR"/>
              </w:rPr>
              <w:t>unt</w:t>
            </w:r>
          </w:p>
        </w:tc>
        <w:tc>
          <w:tcPr>
            <w:tcW w:w="709" w:type="dxa"/>
            <w:tcBorders>
              <w:top w:val="none" w:sz="0" w:space="0" w:color="auto"/>
              <w:bottom w:val="none" w:sz="0" w:space="0" w:color="auto"/>
              <w:right w:val="none" w:sz="0" w:space="0" w:color="auto"/>
            </w:tcBorders>
            <w:noWrap/>
            <w:hideMark/>
          </w:tcPr>
          <w:p w:rsidR="00AB02DF" w:rsidRDefault="001215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i</w:t>
            </w:r>
            <w:r w:rsidR="00AB02DF">
              <w:rPr>
                <w:rFonts w:ascii="Times New Roman" w:eastAsia="Times New Roman" w:hAnsi="Times New Roman" w:cs="Times New Roman"/>
                <w:color w:val="000000"/>
                <w:lang w:eastAsia="es-AR"/>
              </w:rPr>
              <w:t>n %</w:t>
            </w:r>
          </w:p>
        </w:tc>
      </w:tr>
      <w:tr w:rsidR="00AB02DF" w:rsidTr="00CC628D">
        <w:trPr>
          <w:trHeight w:val="288"/>
          <w:jc w:val="center"/>
        </w:trPr>
        <w:tc>
          <w:tcPr>
            <w:cnfStyle w:val="001000000000" w:firstRow="0" w:lastRow="0" w:firstColumn="1" w:lastColumn="0" w:oddVBand="0" w:evenVBand="0" w:oddHBand="0" w:evenHBand="0" w:firstRowFirstColumn="0" w:firstRowLastColumn="0" w:lastRowFirstColumn="0" w:lastRowLastColumn="0"/>
            <w:tcW w:w="3831" w:type="dxa"/>
            <w:vAlign w:val="center"/>
            <w:hideMark/>
          </w:tcPr>
          <w:p w:rsidR="00AB02DF" w:rsidRDefault="00AB02DF" w:rsidP="00BC55CD">
            <w:pPr>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1.</w:t>
            </w:r>
            <w:r w:rsidRPr="00540B57">
              <w:rPr>
                <w:rFonts w:ascii="Times New Roman" w:eastAsia="Times New Roman" w:hAnsi="Times New Roman" w:cs="Times New Roman"/>
                <w:color w:val="000000"/>
                <w:lang w:val="en-AU" w:eastAsia="es-AR"/>
              </w:rPr>
              <w:t xml:space="preserve"> </w:t>
            </w:r>
            <w:r w:rsidR="00BC55CD" w:rsidRPr="00540B57">
              <w:rPr>
                <w:rFonts w:ascii="Times New Roman" w:eastAsia="Times New Roman" w:hAnsi="Times New Roman" w:cs="Times New Roman"/>
                <w:color w:val="000000"/>
                <w:lang w:val="en-AU" w:eastAsia="es-AR"/>
              </w:rPr>
              <w:t>Direct</w:t>
            </w:r>
            <w:r w:rsidR="00BC55CD" w:rsidRPr="00540B57">
              <w:rPr>
                <w:rFonts w:ascii="Times New Roman" w:eastAsia="Times New Roman" w:hAnsi="Times New Roman" w:cs="Times New Roman"/>
                <w:color w:val="000000"/>
                <w:lang w:val="en-BZ" w:eastAsia="es-AR"/>
              </w:rPr>
              <w:t xml:space="preserve"> health</w:t>
            </w:r>
            <w:r w:rsidR="00BC55CD" w:rsidRPr="00540B57">
              <w:rPr>
                <w:rFonts w:ascii="Times New Roman" w:eastAsia="Times New Roman" w:hAnsi="Times New Roman" w:cs="Times New Roman"/>
                <w:color w:val="000000"/>
                <w:lang w:val="en-AU" w:eastAsia="es-AR"/>
              </w:rPr>
              <w:t xml:space="preserve"> c</w:t>
            </w:r>
            <w:r w:rsidRPr="00540B57">
              <w:rPr>
                <w:rFonts w:ascii="Times New Roman" w:eastAsia="Times New Roman" w:hAnsi="Times New Roman" w:cs="Times New Roman"/>
                <w:color w:val="000000"/>
                <w:lang w:val="en-AU" w:eastAsia="es-AR"/>
              </w:rPr>
              <w:t>ost</w:t>
            </w:r>
          </w:p>
        </w:tc>
        <w:tc>
          <w:tcPr>
            <w:tcW w:w="912" w:type="dxa"/>
            <w:vAlign w:val="center"/>
            <w:hideMark/>
          </w:tcPr>
          <w:p w:rsidR="00AB02DF"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AR"/>
              </w:rPr>
            </w:pPr>
            <w:r>
              <w:rPr>
                <w:rFonts w:ascii="Times New Roman" w:eastAsia="Times New Roman" w:hAnsi="Times New Roman" w:cs="Times New Roman"/>
                <w:b/>
                <w:bCs/>
                <w:color w:val="000000"/>
                <w:lang w:eastAsia="es-AR"/>
              </w:rPr>
              <w:t>472</w:t>
            </w:r>
            <w:r w:rsidR="002D5A95">
              <w:rPr>
                <w:rFonts w:ascii="Times New Roman" w:eastAsia="Times New Roman" w:hAnsi="Times New Roman" w:cs="Times New Roman"/>
                <w:b/>
                <w:bCs/>
                <w:color w:val="000000"/>
                <w:lang w:eastAsia="es-AR"/>
              </w:rPr>
              <w:t>.</w:t>
            </w:r>
            <w:r>
              <w:rPr>
                <w:rFonts w:ascii="Times New Roman" w:eastAsia="Times New Roman" w:hAnsi="Times New Roman" w:cs="Times New Roman"/>
                <w:b/>
                <w:bCs/>
                <w:color w:val="000000"/>
                <w:lang w:eastAsia="es-AR"/>
              </w:rPr>
              <w:t>4</w:t>
            </w:r>
          </w:p>
        </w:tc>
        <w:tc>
          <w:tcPr>
            <w:tcW w:w="708" w:type="dxa"/>
            <w:vAlign w:val="center"/>
            <w:hideMark/>
          </w:tcPr>
          <w:p w:rsidR="00AB02DF"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AR"/>
              </w:rPr>
            </w:pPr>
            <w:r>
              <w:rPr>
                <w:rFonts w:ascii="Times New Roman" w:eastAsia="Times New Roman" w:hAnsi="Times New Roman" w:cs="Times New Roman"/>
                <w:b/>
                <w:bCs/>
                <w:color w:val="000000"/>
                <w:lang w:eastAsia="es-AR"/>
              </w:rPr>
              <w:t>24</w:t>
            </w:r>
            <w:r w:rsidR="002D5A95">
              <w:rPr>
                <w:rFonts w:ascii="Times New Roman" w:eastAsia="Times New Roman" w:hAnsi="Times New Roman" w:cs="Times New Roman"/>
                <w:b/>
                <w:bCs/>
                <w:color w:val="000000"/>
                <w:lang w:eastAsia="es-AR"/>
              </w:rPr>
              <w:t>.</w:t>
            </w:r>
            <w:r>
              <w:rPr>
                <w:rFonts w:ascii="Times New Roman" w:eastAsia="Times New Roman" w:hAnsi="Times New Roman" w:cs="Times New Roman"/>
                <w:b/>
                <w:bCs/>
                <w:color w:val="000000"/>
                <w:lang w:eastAsia="es-AR"/>
              </w:rPr>
              <w:t>0</w:t>
            </w:r>
          </w:p>
        </w:tc>
        <w:tc>
          <w:tcPr>
            <w:tcW w:w="851" w:type="dxa"/>
            <w:vAlign w:val="center"/>
            <w:hideMark/>
          </w:tcPr>
          <w:p w:rsidR="00AB02DF"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AR"/>
              </w:rPr>
            </w:pPr>
            <w:r>
              <w:rPr>
                <w:rFonts w:ascii="Times New Roman" w:eastAsia="Times New Roman" w:hAnsi="Times New Roman" w:cs="Times New Roman"/>
                <w:b/>
                <w:bCs/>
                <w:color w:val="000000"/>
                <w:lang w:eastAsia="es-AR"/>
              </w:rPr>
              <w:t>155</w:t>
            </w:r>
            <w:r w:rsidR="002D5A95">
              <w:rPr>
                <w:rFonts w:ascii="Times New Roman" w:eastAsia="Times New Roman" w:hAnsi="Times New Roman" w:cs="Times New Roman"/>
                <w:b/>
                <w:bCs/>
                <w:color w:val="000000"/>
                <w:lang w:eastAsia="es-AR"/>
              </w:rPr>
              <w:t>.</w:t>
            </w:r>
            <w:r>
              <w:rPr>
                <w:rFonts w:ascii="Times New Roman" w:eastAsia="Times New Roman" w:hAnsi="Times New Roman" w:cs="Times New Roman"/>
                <w:b/>
                <w:bCs/>
                <w:color w:val="000000"/>
                <w:lang w:eastAsia="es-AR"/>
              </w:rPr>
              <w:t>7</w:t>
            </w:r>
          </w:p>
        </w:tc>
        <w:tc>
          <w:tcPr>
            <w:tcW w:w="85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96</w:t>
            </w:r>
            <w:r w:rsidR="002D5A95" w:rsidRP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1</w:t>
            </w:r>
          </w:p>
        </w:tc>
        <w:tc>
          <w:tcPr>
            <w:tcW w:w="979"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628</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2</w:t>
            </w:r>
          </w:p>
        </w:tc>
        <w:tc>
          <w:tcPr>
            <w:tcW w:w="709"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29</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5</w:t>
            </w:r>
          </w:p>
        </w:tc>
      </w:tr>
      <w:tr w:rsidR="00AB02DF" w:rsidTr="00CC628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31" w:type="dxa"/>
            <w:tcBorders>
              <w:top w:val="none" w:sz="0" w:space="0" w:color="auto"/>
              <w:left w:val="none" w:sz="0" w:space="0" w:color="auto"/>
              <w:bottom w:val="none" w:sz="0" w:space="0" w:color="auto"/>
            </w:tcBorders>
            <w:vAlign w:val="center"/>
            <w:hideMark/>
          </w:tcPr>
          <w:p w:rsidR="00AB02DF" w:rsidRPr="002D5A95" w:rsidRDefault="00BC55CD" w:rsidP="00BC55CD">
            <w:pPr>
              <w:rPr>
                <w:rFonts w:ascii="Times New Roman" w:eastAsia="Times New Roman" w:hAnsi="Times New Roman" w:cs="Times New Roman"/>
                <w:b w:val="0"/>
                <w:color w:val="000000"/>
                <w:lang w:val="en-US" w:eastAsia="es-AR"/>
              </w:rPr>
            </w:pPr>
            <w:r w:rsidRPr="002D5A95">
              <w:rPr>
                <w:rFonts w:ascii="Times New Roman" w:eastAsia="Times New Roman" w:hAnsi="Times New Roman" w:cs="Times New Roman"/>
                <w:b w:val="0"/>
                <w:color w:val="000000"/>
                <w:lang w:val="en-US" w:eastAsia="es-AR"/>
              </w:rPr>
              <w:t>Prevention</w:t>
            </w:r>
          </w:p>
        </w:tc>
        <w:tc>
          <w:tcPr>
            <w:tcW w:w="912" w:type="dxa"/>
            <w:tcBorders>
              <w:top w:val="none" w:sz="0" w:space="0" w:color="auto"/>
              <w:bottom w:val="none" w:sz="0" w:space="0" w:color="auto"/>
            </w:tcBorders>
            <w:vAlign w:val="center"/>
            <w:hideMark/>
          </w:tcPr>
          <w:p w:rsidR="00AB02DF" w:rsidRPr="002D5A95" w:rsidRDefault="00AB02D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p>
        </w:tc>
        <w:tc>
          <w:tcPr>
            <w:tcW w:w="708"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0</w:t>
            </w:r>
          </w:p>
        </w:tc>
        <w:tc>
          <w:tcPr>
            <w:tcW w:w="851"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155</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1</w:t>
            </w:r>
          </w:p>
        </w:tc>
        <w:tc>
          <w:tcPr>
            <w:tcW w:w="850"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95</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979"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155</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0</w:t>
            </w:r>
          </w:p>
        </w:tc>
        <w:tc>
          <w:tcPr>
            <w:tcW w:w="709" w:type="dxa"/>
            <w:tcBorders>
              <w:top w:val="none" w:sz="0" w:space="0" w:color="auto"/>
              <w:bottom w:val="none" w:sz="0" w:space="0" w:color="auto"/>
              <w:right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7</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r>
      <w:tr w:rsidR="00AB02DF" w:rsidTr="00CC628D">
        <w:trPr>
          <w:trHeight w:val="288"/>
          <w:jc w:val="center"/>
        </w:trPr>
        <w:tc>
          <w:tcPr>
            <w:cnfStyle w:val="001000000000" w:firstRow="0" w:lastRow="0" w:firstColumn="1" w:lastColumn="0" w:oddVBand="0" w:evenVBand="0" w:oddHBand="0" w:evenHBand="0" w:firstRowFirstColumn="0" w:firstRowLastColumn="0" w:lastRowFirstColumn="0" w:lastRowLastColumn="0"/>
            <w:tcW w:w="3831" w:type="dxa"/>
            <w:vAlign w:val="center"/>
            <w:hideMark/>
          </w:tcPr>
          <w:p w:rsidR="00AB02DF" w:rsidRPr="002D5A95" w:rsidRDefault="00BC55CD" w:rsidP="00BC55CD">
            <w:pPr>
              <w:rPr>
                <w:rFonts w:ascii="Times New Roman" w:eastAsia="Times New Roman" w:hAnsi="Times New Roman" w:cs="Times New Roman"/>
                <w:b w:val="0"/>
                <w:color w:val="000000"/>
                <w:lang w:val="en-US" w:eastAsia="es-AR"/>
              </w:rPr>
            </w:pPr>
            <w:r w:rsidRPr="002D5A95">
              <w:rPr>
                <w:rFonts w:ascii="Times New Roman" w:eastAsia="Times New Roman" w:hAnsi="Times New Roman" w:cs="Times New Roman"/>
                <w:b w:val="0"/>
                <w:color w:val="000000"/>
                <w:lang w:val="en-US" w:eastAsia="es-AR"/>
              </w:rPr>
              <w:t>Diagnostic an</w:t>
            </w:r>
            <w:r w:rsidR="0069666D" w:rsidRPr="002D5A95">
              <w:rPr>
                <w:rFonts w:ascii="Times New Roman" w:eastAsia="Times New Roman" w:hAnsi="Times New Roman" w:cs="Times New Roman"/>
                <w:b w:val="0"/>
                <w:color w:val="000000"/>
                <w:lang w:val="en-US" w:eastAsia="es-AR"/>
              </w:rPr>
              <w:t>d</w:t>
            </w:r>
            <w:r w:rsidRPr="002D5A95">
              <w:rPr>
                <w:rFonts w:ascii="Times New Roman" w:eastAsia="Times New Roman" w:hAnsi="Times New Roman" w:cs="Times New Roman"/>
                <w:b w:val="0"/>
                <w:color w:val="000000"/>
                <w:lang w:val="en-US" w:eastAsia="es-AR"/>
              </w:rPr>
              <w:t xml:space="preserve"> treatment </w:t>
            </w:r>
          </w:p>
        </w:tc>
        <w:tc>
          <w:tcPr>
            <w:tcW w:w="912"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472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4</w:t>
            </w:r>
          </w:p>
        </w:tc>
        <w:tc>
          <w:tcPr>
            <w:tcW w:w="708"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24</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0</w:t>
            </w:r>
          </w:p>
        </w:tc>
        <w:tc>
          <w:tcPr>
            <w:tcW w:w="851"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85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4</w:t>
            </w:r>
          </w:p>
        </w:tc>
        <w:tc>
          <w:tcPr>
            <w:tcW w:w="979"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473</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1</w:t>
            </w:r>
          </w:p>
        </w:tc>
        <w:tc>
          <w:tcPr>
            <w:tcW w:w="709"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22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2</w:t>
            </w:r>
          </w:p>
        </w:tc>
      </w:tr>
      <w:tr w:rsidR="00AB02DF" w:rsidTr="00CC628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31" w:type="dxa"/>
            <w:tcBorders>
              <w:top w:val="none" w:sz="0" w:space="0" w:color="auto"/>
              <w:left w:val="none" w:sz="0" w:space="0" w:color="auto"/>
              <w:bottom w:val="none" w:sz="0" w:space="0" w:color="auto"/>
            </w:tcBorders>
            <w:vAlign w:val="center"/>
            <w:hideMark/>
          </w:tcPr>
          <w:p w:rsidR="00AB02DF" w:rsidRPr="00BC55CD" w:rsidRDefault="00AB02DF" w:rsidP="00BC55CD">
            <w:pPr>
              <w:rPr>
                <w:rFonts w:ascii="Times New Roman" w:eastAsia="Times New Roman" w:hAnsi="Times New Roman" w:cs="Times New Roman"/>
                <w:color w:val="000000"/>
                <w:lang w:val="en-US" w:eastAsia="es-AR"/>
              </w:rPr>
            </w:pPr>
            <w:r w:rsidRPr="00BC55CD">
              <w:rPr>
                <w:rFonts w:ascii="Times New Roman" w:eastAsia="Times New Roman" w:hAnsi="Times New Roman" w:cs="Times New Roman"/>
                <w:color w:val="000000"/>
                <w:lang w:val="en-US" w:eastAsia="es-AR"/>
              </w:rPr>
              <w:t>2. Cost</w:t>
            </w:r>
            <w:r w:rsidR="00BC55CD" w:rsidRPr="00BC55CD">
              <w:rPr>
                <w:rFonts w:ascii="Times New Roman" w:eastAsia="Times New Roman" w:hAnsi="Times New Roman" w:cs="Times New Roman"/>
                <w:color w:val="000000"/>
                <w:lang w:val="en-US" w:eastAsia="es-AR"/>
              </w:rPr>
              <w:t>s</w:t>
            </w:r>
            <w:r w:rsidRPr="00BC55CD">
              <w:rPr>
                <w:rFonts w:ascii="Times New Roman" w:eastAsia="Times New Roman" w:hAnsi="Times New Roman" w:cs="Times New Roman"/>
                <w:color w:val="000000"/>
                <w:lang w:val="en-US" w:eastAsia="es-AR"/>
              </w:rPr>
              <w:t xml:space="preserve"> </w:t>
            </w:r>
            <w:r w:rsidR="00BC55CD" w:rsidRPr="00BC55CD">
              <w:rPr>
                <w:rFonts w:ascii="Times New Roman" w:eastAsia="Times New Roman" w:hAnsi="Times New Roman" w:cs="Times New Roman"/>
                <w:color w:val="000000"/>
                <w:lang w:val="en-US" w:eastAsia="es-AR"/>
              </w:rPr>
              <w:t>due to productivity losses</w:t>
            </w:r>
          </w:p>
        </w:tc>
        <w:tc>
          <w:tcPr>
            <w:tcW w:w="912"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w:t>
            </w:r>
            <w:r w:rsidR="002D5A95" w:rsidRP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494</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9</w:t>
            </w:r>
          </w:p>
        </w:tc>
        <w:tc>
          <w:tcPr>
            <w:tcW w:w="708"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76</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0</w:t>
            </w:r>
          </w:p>
        </w:tc>
        <w:tc>
          <w:tcPr>
            <w:tcW w:w="851"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6</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3</w:t>
            </w:r>
          </w:p>
        </w:tc>
        <w:tc>
          <w:tcPr>
            <w:tcW w:w="850"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3</w:t>
            </w:r>
            <w:r w:rsidR="002D5A95" w:rsidRP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9</w:t>
            </w:r>
          </w:p>
        </w:tc>
        <w:tc>
          <w:tcPr>
            <w:tcW w:w="979"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1</w:t>
            </w:r>
            <w:r w:rsidR="002D5A95" w:rsidRP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501</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2</w:t>
            </w:r>
          </w:p>
        </w:tc>
        <w:tc>
          <w:tcPr>
            <w:tcW w:w="709" w:type="dxa"/>
            <w:tcBorders>
              <w:top w:val="none" w:sz="0" w:space="0" w:color="auto"/>
              <w:bottom w:val="none" w:sz="0" w:space="0" w:color="auto"/>
              <w:right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70</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5</w:t>
            </w:r>
          </w:p>
        </w:tc>
      </w:tr>
      <w:tr w:rsidR="00AB02DF" w:rsidTr="00CC628D">
        <w:trPr>
          <w:trHeight w:val="288"/>
          <w:jc w:val="center"/>
        </w:trPr>
        <w:tc>
          <w:tcPr>
            <w:cnfStyle w:val="001000000000" w:firstRow="0" w:lastRow="0" w:firstColumn="1" w:lastColumn="0" w:oddVBand="0" w:evenVBand="0" w:oddHBand="0" w:evenHBand="0" w:firstRowFirstColumn="0" w:firstRowLastColumn="0" w:lastRowFirstColumn="0" w:lastRowLastColumn="0"/>
            <w:tcW w:w="3831" w:type="dxa"/>
            <w:vAlign w:val="center"/>
            <w:hideMark/>
          </w:tcPr>
          <w:p w:rsidR="00AB02DF" w:rsidRPr="00183C96" w:rsidRDefault="00305FBA" w:rsidP="00C6358E">
            <w:pPr>
              <w:rPr>
                <w:rFonts w:ascii="Times New Roman" w:eastAsia="Times New Roman" w:hAnsi="Times New Roman" w:cs="Times New Roman"/>
                <w:b w:val="0"/>
                <w:color w:val="000000"/>
                <w:lang w:val="en-US" w:eastAsia="es-AR"/>
              </w:rPr>
            </w:pPr>
            <w:r w:rsidRPr="00183C96">
              <w:rPr>
                <w:rFonts w:ascii="Times New Roman" w:eastAsia="Times New Roman" w:hAnsi="Times New Roman" w:cs="Times New Roman"/>
                <w:b w:val="0"/>
                <w:color w:val="000000"/>
                <w:lang w:val="en-US" w:eastAsia="es-AR"/>
              </w:rPr>
              <w:t>Costs</w:t>
            </w:r>
            <w:r w:rsidR="00AB02DF" w:rsidRPr="00183C96">
              <w:rPr>
                <w:rFonts w:ascii="Times New Roman" w:eastAsia="Times New Roman" w:hAnsi="Times New Roman" w:cs="Times New Roman"/>
                <w:b w:val="0"/>
                <w:color w:val="000000"/>
                <w:lang w:val="en-US" w:eastAsia="es-AR"/>
              </w:rPr>
              <w:t xml:space="preserve"> as</w:t>
            </w:r>
            <w:r w:rsidR="00BC55CD" w:rsidRPr="00183C96">
              <w:rPr>
                <w:rFonts w:ascii="Times New Roman" w:eastAsia="Times New Roman" w:hAnsi="Times New Roman" w:cs="Times New Roman"/>
                <w:b w:val="0"/>
                <w:color w:val="000000"/>
                <w:lang w:val="en-US" w:eastAsia="es-AR"/>
              </w:rPr>
              <w:t>sociated with the pre</w:t>
            </w:r>
            <w:r w:rsidR="00C6358E">
              <w:rPr>
                <w:rFonts w:ascii="Times New Roman" w:eastAsia="Times New Roman" w:hAnsi="Times New Roman" w:cs="Times New Roman"/>
                <w:b w:val="0"/>
                <w:color w:val="000000"/>
                <w:lang w:val="en-US" w:eastAsia="es-AR"/>
              </w:rPr>
              <w:t>s</w:t>
            </w:r>
            <w:r w:rsidR="00BC55CD" w:rsidRPr="00183C96">
              <w:rPr>
                <w:rFonts w:ascii="Times New Roman" w:eastAsia="Times New Roman" w:hAnsi="Times New Roman" w:cs="Times New Roman"/>
                <w:b w:val="0"/>
                <w:color w:val="000000"/>
                <w:lang w:val="en-US" w:eastAsia="es-AR"/>
              </w:rPr>
              <w:t>en</w:t>
            </w:r>
            <w:r w:rsidR="00C6358E">
              <w:rPr>
                <w:rFonts w:ascii="Times New Roman" w:eastAsia="Times New Roman" w:hAnsi="Times New Roman" w:cs="Times New Roman"/>
                <w:b w:val="0"/>
                <w:color w:val="000000"/>
                <w:lang w:val="en-US" w:eastAsia="es-AR"/>
              </w:rPr>
              <w:t>c</w:t>
            </w:r>
            <w:r w:rsidR="00BC55CD" w:rsidRPr="00183C96">
              <w:rPr>
                <w:rFonts w:ascii="Times New Roman" w:eastAsia="Times New Roman" w:hAnsi="Times New Roman" w:cs="Times New Roman"/>
                <w:b w:val="0"/>
                <w:color w:val="000000"/>
                <w:lang w:val="en-US" w:eastAsia="es-AR"/>
              </w:rPr>
              <w:t>e of the disease</w:t>
            </w:r>
          </w:p>
        </w:tc>
        <w:tc>
          <w:tcPr>
            <w:tcW w:w="912"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852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4</w:t>
            </w:r>
          </w:p>
        </w:tc>
        <w:tc>
          <w:tcPr>
            <w:tcW w:w="708"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43</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c>
          <w:tcPr>
            <w:tcW w:w="851"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6</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c>
          <w:tcPr>
            <w:tcW w:w="85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3</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9</w:t>
            </w:r>
          </w:p>
        </w:tc>
        <w:tc>
          <w:tcPr>
            <w:tcW w:w="979"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858</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709"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40</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r>
      <w:tr w:rsidR="00AB02DF" w:rsidTr="00CC628D">
        <w:trPr>
          <w:cnfStyle w:val="000000100000" w:firstRow="0" w:lastRow="0" w:firstColumn="0" w:lastColumn="0" w:oddVBand="0" w:evenVBand="0" w:oddHBand="1"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3831" w:type="dxa"/>
            <w:tcBorders>
              <w:top w:val="none" w:sz="0" w:space="0" w:color="auto"/>
              <w:left w:val="none" w:sz="0" w:space="0" w:color="auto"/>
              <w:bottom w:val="none" w:sz="0" w:space="0" w:color="auto"/>
            </w:tcBorders>
            <w:vAlign w:val="center"/>
            <w:hideMark/>
          </w:tcPr>
          <w:p w:rsidR="00AB02DF" w:rsidRPr="00121507" w:rsidRDefault="00AB02DF" w:rsidP="00C6358E">
            <w:pPr>
              <w:rPr>
                <w:rFonts w:ascii="Times New Roman" w:eastAsia="Times New Roman" w:hAnsi="Times New Roman" w:cs="Times New Roman"/>
                <w:b w:val="0"/>
                <w:color w:val="000000"/>
                <w:lang w:val="en-US" w:eastAsia="es-AR"/>
              </w:rPr>
            </w:pPr>
            <w:r w:rsidRPr="00121507">
              <w:rPr>
                <w:rFonts w:ascii="Times New Roman" w:eastAsia="Times New Roman" w:hAnsi="Times New Roman" w:cs="Times New Roman"/>
                <w:b w:val="0"/>
                <w:color w:val="000000"/>
                <w:lang w:val="en-US" w:eastAsia="es-AR"/>
              </w:rPr>
              <w:t>Costs as</w:t>
            </w:r>
            <w:r w:rsidR="00BC55CD" w:rsidRPr="00121507">
              <w:rPr>
                <w:rFonts w:ascii="Times New Roman" w:eastAsia="Times New Roman" w:hAnsi="Times New Roman" w:cs="Times New Roman"/>
                <w:b w:val="0"/>
                <w:color w:val="000000"/>
                <w:lang w:val="en-US" w:eastAsia="es-AR"/>
              </w:rPr>
              <w:t xml:space="preserve">sociated with social distancing measures </w:t>
            </w:r>
            <w:r w:rsidRPr="00121507">
              <w:rPr>
                <w:rFonts w:ascii="Times New Roman" w:eastAsia="Times New Roman" w:hAnsi="Times New Roman" w:cs="Times New Roman"/>
                <w:b w:val="0"/>
                <w:color w:val="000000"/>
                <w:lang w:val="en-US" w:eastAsia="es-AR"/>
              </w:rPr>
              <w:t>(</w:t>
            </w:r>
            <w:r w:rsidR="00BC55CD" w:rsidRPr="00121507">
              <w:rPr>
                <w:rFonts w:ascii="Times New Roman" w:eastAsia="Times New Roman" w:hAnsi="Times New Roman" w:cs="Times New Roman"/>
                <w:b w:val="0"/>
                <w:color w:val="000000"/>
                <w:lang w:val="en-US" w:eastAsia="es-AR"/>
              </w:rPr>
              <w:t>school closure</w:t>
            </w:r>
            <w:r w:rsidR="00121507" w:rsidRPr="00121507">
              <w:rPr>
                <w:rFonts w:ascii="Times New Roman" w:eastAsia="Times New Roman" w:hAnsi="Times New Roman" w:cs="Times New Roman"/>
                <w:b w:val="0"/>
                <w:color w:val="000000"/>
                <w:lang w:val="en-US" w:eastAsia="es-AR"/>
              </w:rPr>
              <w:t xml:space="preserve"> a</w:t>
            </w:r>
            <w:r w:rsidR="00C6358E">
              <w:rPr>
                <w:rFonts w:ascii="Times New Roman" w:eastAsia="Times New Roman" w:hAnsi="Times New Roman" w:cs="Times New Roman"/>
                <w:b w:val="0"/>
                <w:color w:val="000000"/>
                <w:lang w:val="en-US" w:eastAsia="es-AR"/>
              </w:rPr>
              <w:t>n</w:t>
            </w:r>
            <w:r w:rsidR="00121507" w:rsidRPr="00121507">
              <w:rPr>
                <w:rFonts w:ascii="Times New Roman" w:eastAsia="Times New Roman" w:hAnsi="Times New Roman" w:cs="Times New Roman"/>
                <w:b w:val="0"/>
                <w:color w:val="000000"/>
                <w:lang w:val="en-US" w:eastAsia="es-AR"/>
              </w:rPr>
              <w:t>d work absenteeism</w:t>
            </w:r>
            <w:r w:rsidRPr="00121507">
              <w:rPr>
                <w:rFonts w:ascii="Times New Roman" w:eastAsia="Times New Roman" w:hAnsi="Times New Roman" w:cs="Times New Roman"/>
                <w:b w:val="0"/>
                <w:color w:val="000000"/>
                <w:lang w:val="en-US" w:eastAsia="es-AR"/>
              </w:rPr>
              <w:t>)</w:t>
            </w:r>
          </w:p>
        </w:tc>
        <w:tc>
          <w:tcPr>
            <w:tcW w:w="912"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642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5</w:t>
            </w:r>
          </w:p>
        </w:tc>
        <w:tc>
          <w:tcPr>
            <w:tcW w:w="708"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32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851" w:type="dxa"/>
            <w:tcBorders>
              <w:top w:val="none" w:sz="0" w:space="0" w:color="auto"/>
              <w:bottom w:val="none" w:sz="0" w:space="0" w:color="auto"/>
            </w:tcBorders>
            <w:vAlign w:val="center"/>
            <w:hideMark/>
          </w:tcPr>
          <w:p w:rsidR="00AB02DF" w:rsidRPr="002D5A95" w:rsidRDefault="00AB02D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p>
        </w:tc>
        <w:tc>
          <w:tcPr>
            <w:tcW w:w="850"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r w:rsidR="002D5A95" w:rsidRP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0</w:t>
            </w:r>
          </w:p>
        </w:tc>
        <w:tc>
          <w:tcPr>
            <w:tcW w:w="979"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642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5</w:t>
            </w:r>
          </w:p>
        </w:tc>
        <w:tc>
          <w:tcPr>
            <w:tcW w:w="709" w:type="dxa"/>
            <w:tcBorders>
              <w:top w:val="none" w:sz="0" w:space="0" w:color="auto"/>
              <w:bottom w:val="none" w:sz="0" w:space="0" w:color="auto"/>
              <w:right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30</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2</w:t>
            </w:r>
          </w:p>
        </w:tc>
      </w:tr>
      <w:tr w:rsidR="00AB02DF" w:rsidTr="00CC628D">
        <w:trPr>
          <w:trHeight w:val="288"/>
          <w:jc w:val="center"/>
        </w:trPr>
        <w:tc>
          <w:tcPr>
            <w:cnfStyle w:val="001000000000" w:firstRow="0" w:lastRow="0" w:firstColumn="1" w:lastColumn="0" w:oddVBand="0" w:evenVBand="0" w:oddHBand="0" w:evenHBand="0" w:firstRowFirstColumn="0" w:firstRowLastColumn="0" w:lastRowFirstColumn="0" w:lastRowLastColumn="0"/>
            <w:tcW w:w="3831" w:type="dxa"/>
            <w:vAlign w:val="center"/>
            <w:hideMark/>
          </w:tcPr>
          <w:p w:rsidR="00AB02DF" w:rsidRPr="002D5A95" w:rsidRDefault="00121507" w:rsidP="00121507">
            <w:pPr>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Total c</w:t>
            </w:r>
            <w:r w:rsidR="00AB02DF" w:rsidRPr="002D5A95">
              <w:rPr>
                <w:rFonts w:ascii="Times New Roman" w:eastAsia="Times New Roman" w:hAnsi="Times New Roman" w:cs="Times New Roman"/>
                <w:color w:val="000000"/>
                <w:lang w:val="en-US" w:eastAsia="es-AR"/>
              </w:rPr>
              <w:t>ost</w:t>
            </w:r>
          </w:p>
        </w:tc>
        <w:tc>
          <w:tcPr>
            <w:tcW w:w="912"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967</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4</w:t>
            </w:r>
          </w:p>
        </w:tc>
        <w:tc>
          <w:tcPr>
            <w:tcW w:w="708" w:type="dxa"/>
            <w:vAlign w:val="center"/>
            <w:hideMark/>
          </w:tcPr>
          <w:p w:rsidR="00AB02DF" w:rsidRPr="002D5A95"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100</w:t>
            </w:r>
          </w:p>
        </w:tc>
        <w:tc>
          <w:tcPr>
            <w:tcW w:w="851"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162</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1</w:t>
            </w:r>
          </w:p>
        </w:tc>
        <w:tc>
          <w:tcPr>
            <w:tcW w:w="85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100</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0</w:t>
            </w:r>
          </w:p>
        </w:tc>
        <w:tc>
          <w:tcPr>
            <w:tcW w:w="979"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2</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129</w:t>
            </w:r>
            <w:r w:rsidR="002D5A95">
              <w:rPr>
                <w:rFonts w:ascii="Times New Roman" w:eastAsia="Times New Roman" w:hAnsi="Times New Roman" w:cs="Times New Roman"/>
                <w:b/>
                <w:color w:val="000000"/>
                <w:lang w:val="en-US" w:eastAsia="es-AR"/>
              </w:rPr>
              <w:t>.</w:t>
            </w:r>
            <w:r w:rsidRPr="002D5A95">
              <w:rPr>
                <w:rFonts w:ascii="Times New Roman" w:eastAsia="Times New Roman" w:hAnsi="Times New Roman" w:cs="Times New Roman"/>
                <w:b/>
                <w:color w:val="000000"/>
                <w:lang w:val="en-US" w:eastAsia="es-AR"/>
              </w:rPr>
              <w:t>5</w:t>
            </w:r>
          </w:p>
        </w:tc>
        <w:tc>
          <w:tcPr>
            <w:tcW w:w="709" w:type="dxa"/>
            <w:vAlign w:val="center"/>
            <w:hideMark/>
          </w:tcPr>
          <w:p w:rsidR="00AB02DF" w:rsidRPr="002D5A95"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val="en-US" w:eastAsia="es-AR"/>
              </w:rPr>
            </w:pPr>
            <w:r w:rsidRPr="002D5A95">
              <w:rPr>
                <w:rFonts w:ascii="Times New Roman" w:eastAsia="Times New Roman" w:hAnsi="Times New Roman" w:cs="Times New Roman"/>
                <w:b/>
                <w:color w:val="000000"/>
                <w:lang w:val="en-US" w:eastAsia="es-AR"/>
              </w:rPr>
              <w:t>100</w:t>
            </w:r>
          </w:p>
        </w:tc>
      </w:tr>
    </w:tbl>
    <w:p w:rsidR="00AB02DF" w:rsidRPr="00572AFD" w:rsidRDefault="00121507" w:rsidP="00AB02DF">
      <w:pPr>
        <w:jc w:val="both"/>
        <w:rPr>
          <w:i/>
          <w:sz w:val="20"/>
          <w:szCs w:val="20"/>
        </w:rPr>
      </w:pPr>
      <w:r w:rsidRPr="00572AFD">
        <w:rPr>
          <w:i/>
          <w:sz w:val="20"/>
          <w:szCs w:val="20"/>
        </w:rPr>
        <w:t>Source</w:t>
      </w:r>
      <w:r w:rsidR="00AB02DF" w:rsidRPr="00572AFD">
        <w:rPr>
          <w:i/>
          <w:sz w:val="20"/>
          <w:szCs w:val="20"/>
        </w:rPr>
        <w:t xml:space="preserve">: </w:t>
      </w:r>
      <w:r w:rsidR="00AA1BF7" w:rsidRPr="00572AFD">
        <w:rPr>
          <w:i/>
          <w:sz w:val="20"/>
          <w:szCs w:val="20"/>
        </w:rPr>
        <w:t>Own estimates based on MSN information</w:t>
      </w:r>
    </w:p>
    <w:p w:rsidR="00121507" w:rsidRPr="00AA1BF7" w:rsidRDefault="00121507" w:rsidP="00AB02DF">
      <w:pPr>
        <w:jc w:val="both"/>
        <w:rPr>
          <w:b/>
        </w:rPr>
      </w:pPr>
    </w:p>
    <w:p w:rsidR="00AB02DF" w:rsidRDefault="00AB02DF" w:rsidP="00305FBA">
      <w:pPr>
        <w:pStyle w:val="ListParagraph"/>
        <w:numPr>
          <w:ilvl w:val="0"/>
          <w:numId w:val="5"/>
        </w:numPr>
        <w:ind w:left="0" w:firstLine="0"/>
        <w:jc w:val="both"/>
      </w:pPr>
      <w:r w:rsidRPr="004111D6">
        <w:rPr>
          <w:b/>
        </w:rPr>
        <w:t xml:space="preserve">Finally this section </w:t>
      </w:r>
      <w:r w:rsidR="001C39AC" w:rsidRPr="004111D6">
        <w:rPr>
          <w:b/>
        </w:rPr>
        <w:t>reviews</w:t>
      </w:r>
      <w:r w:rsidRPr="004111D6">
        <w:rPr>
          <w:b/>
        </w:rPr>
        <w:t xml:space="preserve"> some of the economic indicators to analyze the efficacy of the </w:t>
      </w:r>
      <w:r w:rsidR="00121507" w:rsidRPr="004111D6">
        <w:rPr>
          <w:b/>
        </w:rPr>
        <w:t>health</w:t>
      </w:r>
      <w:r w:rsidRPr="004111D6">
        <w:rPr>
          <w:b/>
        </w:rPr>
        <w:t xml:space="preserve"> measures adopted by the GOA to combat Influenza A</w:t>
      </w:r>
      <w:r w:rsidR="00C6358E" w:rsidRPr="004111D6">
        <w:rPr>
          <w:b/>
        </w:rPr>
        <w:t>/</w:t>
      </w:r>
      <w:r w:rsidRPr="004111D6">
        <w:rPr>
          <w:b/>
        </w:rPr>
        <w:t>H1N1, and in particular evaluate the efficiency of the interventions that were supported within the framework of the Project.</w:t>
      </w:r>
      <w:r>
        <w:t xml:space="preserve"> The analysis considered two basic indicators: the net benefit cost and the benefit cost</w:t>
      </w:r>
      <w:r w:rsidR="00121507">
        <w:t xml:space="preserve"> ratio</w:t>
      </w:r>
      <w:r>
        <w:t>.</w:t>
      </w:r>
      <w:r w:rsidR="00121507">
        <w:t xml:space="preserve"> </w:t>
      </w:r>
      <w:r>
        <w:t>For the analysis we considered as benefit of all the public health interventions implemented the direct costs avoided (</w:t>
      </w:r>
      <w:r w:rsidR="00121507">
        <w:t>health</w:t>
      </w:r>
      <w:r>
        <w:t xml:space="preserve"> costs due to the pandemic and costs associated due to the presence of disease in infected individuals) and as costs of the interventions the costs related to social distancing measures and prevention implemented during the emergency.  </w:t>
      </w:r>
    </w:p>
    <w:p w:rsidR="00AA1BF7" w:rsidRDefault="00AA1BF7" w:rsidP="00AA1BF7">
      <w:pPr>
        <w:pStyle w:val="ListParagraph"/>
        <w:ind w:left="0"/>
        <w:jc w:val="both"/>
      </w:pPr>
    </w:p>
    <w:p w:rsidR="00AB02DF" w:rsidRDefault="00AB02DF" w:rsidP="00305FBA">
      <w:pPr>
        <w:pStyle w:val="ListParagraph"/>
        <w:numPr>
          <w:ilvl w:val="0"/>
          <w:numId w:val="5"/>
        </w:numPr>
        <w:ind w:left="0" w:firstLine="0"/>
        <w:jc w:val="both"/>
      </w:pPr>
      <w:r w:rsidRPr="004111D6">
        <w:rPr>
          <w:b/>
        </w:rPr>
        <w:t>A</w:t>
      </w:r>
      <w:r w:rsidR="00121507" w:rsidRPr="004111D6">
        <w:rPr>
          <w:b/>
        </w:rPr>
        <w:t>s</w:t>
      </w:r>
      <w:r w:rsidRPr="004111D6">
        <w:rPr>
          <w:b/>
        </w:rPr>
        <w:t xml:space="preserve"> exhibited in Table 4 the benefits calculated with a discount rate of 3 percent increase to </w:t>
      </w:r>
      <w:r w:rsidR="00C6358E" w:rsidRPr="004111D6">
        <w:rPr>
          <w:b/>
        </w:rPr>
        <w:t>US$</w:t>
      </w:r>
      <w:r w:rsidRPr="004111D6">
        <w:rPr>
          <w:b/>
        </w:rPr>
        <w:t>1</w:t>
      </w:r>
      <w:r w:rsidR="00C6358E" w:rsidRPr="004111D6">
        <w:rPr>
          <w:b/>
        </w:rPr>
        <w:t>.</w:t>
      </w:r>
      <w:r w:rsidRPr="004111D6">
        <w:rPr>
          <w:b/>
        </w:rPr>
        <w:t>3</w:t>
      </w:r>
      <w:r w:rsidR="00C6358E" w:rsidRPr="004111D6">
        <w:rPr>
          <w:b/>
        </w:rPr>
        <w:t>b</w:t>
      </w:r>
      <w:r w:rsidRPr="004111D6">
        <w:rPr>
          <w:b/>
        </w:rPr>
        <w:t xml:space="preserve">illion and the NPV at </w:t>
      </w:r>
      <w:r w:rsidR="00C6358E" w:rsidRPr="004111D6">
        <w:rPr>
          <w:b/>
        </w:rPr>
        <w:t>US$</w:t>
      </w:r>
      <w:r w:rsidRPr="004111D6">
        <w:rPr>
          <w:b/>
        </w:rPr>
        <w:t>797 million.</w:t>
      </w:r>
      <w:r>
        <w:t xml:space="preserve"> The net benefit cost discounted at a rate of 3 percent reaches </w:t>
      </w:r>
      <w:r w:rsidR="00C6358E">
        <w:t>US$</w:t>
      </w:r>
      <w:r>
        <w:t xml:space="preserve">534 million and the </w:t>
      </w:r>
      <w:r w:rsidR="00C6358E">
        <w:t>benefit cost ratio to</w:t>
      </w:r>
      <w:r>
        <w:t xml:space="preserve"> 1</w:t>
      </w:r>
      <w:r w:rsidR="002D5A95">
        <w:t>.</w:t>
      </w:r>
      <w:r>
        <w:t>7.</w:t>
      </w:r>
    </w:p>
    <w:p w:rsidR="00C6358E" w:rsidRDefault="00C6358E" w:rsidP="00AB02DF">
      <w:pPr>
        <w:jc w:val="center"/>
        <w:rPr>
          <w:b/>
        </w:rPr>
      </w:pPr>
    </w:p>
    <w:p w:rsidR="00AB02DF" w:rsidRPr="00C6358E" w:rsidRDefault="00C6358E" w:rsidP="00AB02DF">
      <w:pPr>
        <w:jc w:val="center"/>
        <w:rPr>
          <w:b/>
        </w:rPr>
      </w:pPr>
      <w:r w:rsidRPr="00C6358E">
        <w:rPr>
          <w:b/>
        </w:rPr>
        <w:lastRenderedPageBreak/>
        <w:t xml:space="preserve">Table </w:t>
      </w:r>
      <w:r w:rsidR="00D27AEC">
        <w:rPr>
          <w:b/>
        </w:rPr>
        <w:t>5</w:t>
      </w:r>
      <w:r w:rsidR="00AB02DF" w:rsidRPr="00C6358E">
        <w:rPr>
          <w:b/>
        </w:rPr>
        <w:t xml:space="preserve">: Costs </w:t>
      </w:r>
      <w:r w:rsidRPr="00C6358E">
        <w:rPr>
          <w:b/>
        </w:rPr>
        <w:t>and Benefits of th</w:t>
      </w:r>
      <w:r w:rsidR="00305FBA">
        <w:rPr>
          <w:b/>
        </w:rPr>
        <w:t>e</w:t>
      </w:r>
      <w:r w:rsidRPr="00C6358E">
        <w:rPr>
          <w:b/>
        </w:rPr>
        <w:t xml:space="preserve"> measures ado</w:t>
      </w:r>
      <w:r w:rsidR="00AB02DF" w:rsidRPr="00C6358E">
        <w:rPr>
          <w:b/>
        </w:rPr>
        <w:t>pt</w:t>
      </w:r>
      <w:r>
        <w:rPr>
          <w:b/>
        </w:rPr>
        <w:t>ed</w:t>
      </w:r>
      <w:r w:rsidR="00AB02DF" w:rsidRPr="00C6358E">
        <w:rPr>
          <w:b/>
        </w:rPr>
        <w:t xml:space="preserve"> dur</w:t>
      </w:r>
      <w:r>
        <w:rPr>
          <w:b/>
        </w:rPr>
        <w:t>ing</w:t>
      </w:r>
      <w:r w:rsidR="00AB02DF" w:rsidRPr="00C6358E">
        <w:rPr>
          <w:b/>
        </w:rPr>
        <w:t xml:space="preserve"> </w:t>
      </w:r>
      <w:r>
        <w:rPr>
          <w:b/>
        </w:rPr>
        <w:t>the Emergency</w:t>
      </w:r>
    </w:p>
    <w:p w:rsidR="00AB02DF" w:rsidRDefault="00CC628D" w:rsidP="00AB02DF">
      <w:pPr>
        <w:jc w:val="center"/>
      </w:pPr>
      <w:r>
        <w:t>(</w:t>
      </w:r>
      <w:r w:rsidR="00540B57">
        <w:t>In</w:t>
      </w:r>
      <w:r w:rsidR="00AB02DF">
        <w:t xml:space="preserve"> </w:t>
      </w:r>
      <w:r w:rsidR="00305FBA">
        <w:t>millions</w:t>
      </w:r>
      <w:r w:rsidR="00AB02DF">
        <w:t xml:space="preserve"> </w:t>
      </w:r>
      <w:r w:rsidR="00C6358E">
        <w:t>of</w:t>
      </w:r>
      <w:r w:rsidR="00AB02DF">
        <w:t xml:space="preserve"> </w:t>
      </w:r>
      <w:r w:rsidR="00305FBA">
        <w:t>dollars</w:t>
      </w:r>
      <w:r>
        <w:t>)</w:t>
      </w:r>
      <w:r w:rsidR="00AB02DF">
        <w:t xml:space="preserve"> </w:t>
      </w:r>
    </w:p>
    <w:tbl>
      <w:tblPr>
        <w:tblStyle w:val="LightList-Accent5"/>
        <w:tblW w:w="8456" w:type="dxa"/>
        <w:jc w:val="center"/>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020"/>
        <w:gridCol w:w="1020"/>
        <w:gridCol w:w="1020"/>
      </w:tblGrid>
      <w:tr w:rsidR="00AB02DF" w:rsidRPr="00305FBA" w:rsidTr="00572AFD">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96" w:type="dxa"/>
            <w:shd w:val="clear" w:color="auto" w:fill="F2F2F2" w:themeFill="background1" w:themeFillShade="F2"/>
            <w:hideMark/>
          </w:tcPr>
          <w:p w:rsidR="00AB02DF" w:rsidRDefault="00AB02DF">
            <w:pPr>
              <w:rPr>
                <w:rFonts w:cs="Times New Roman"/>
                <w:sz w:val="22"/>
                <w:szCs w:val="22"/>
              </w:rPr>
            </w:pPr>
          </w:p>
        </w:tc>
        <w:tc>
          <w:tcPr>
            <w:tcW w:w="1020" w:type="dxa"/>
            <w:shd w:val="clear" w:color="auto" w:fill="F2F2F2" w:themeFill="background1" w:themeFillShade="F2"/>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2009</w:t>
            </w:r>
          </w:p>
        </w:tc>
        <w:tc>
          <w:tcPr>
            <w:tcW w:w="1020" w:type="dxa"/>
            <w:shd w:val="clear" w:color="auto" w:fill="F2F2F2" w:themeFill="background1" w:themeFillShade="F2"/>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2010</w:t>
            </w:r>
          </w:p>
        </w:tc>
        <w:tc>
          <w:tcPr>
            <w:tcW w:w="1020" w:type="dxa"/>
            <w:shd w:val="clear" w:color="auto" w:fill="F2F2F2" w:themeFill="background1" w:themeFillShade="F2"/>
            <w:hideMark/>
          </w:tcPr>
          <w:p w:rsidR="00AB02DF" w:rsidRDefault="00AB02D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Total</w:t>
            </w:r>
          </w:p>
        </w:tc>
      </w:tr>
      <w:tr w:rsidR="00AB02DF" w:rsidRPr="00305FBA" w:rsidTr="00572AFD">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5396" w:type="dxa"/>
            <w:tcBorders>
              <w:top w:val="none" w:sz="0" w:space="0" w:color="auto"/>
              <w:left w:val="none" w:sz="0" w:space="0" w:color="auto"/>
              <w:bottom w:val="none" w:sz="0" w:space="0" w:color="auto"/>
            </w:tcBorders>
            <w:vAlign w:val="center"/>
            <w:hideMark/>
          </w:tcPr>
          <w:p w:rsidR="00AB02DF" w:rsidRDefault="00AB02DF" w:rsidP="004111D6">
            <w:pPr>
              <w:rPr>
                <w:rFonts w:ascii="Times New Roman" w:eastAsia="Times New Roman" w:hAnsi="Times New Roman" w:cs="Times New Roman"/>
                <w:color w:val="000000"/>
                <w:lang w:eastAsia="es-AR"/>
              </w:rPr>
            </w:pPr>
            <w:r w:rsidRPr="00305FBA">
              <w:rPr>
                <w:rFonts w:ascii="Times New Roman" w:eastAsia="Times New Roman" w:hAnsi="Times New Roman" w:cs="Times New Roman"/>
                <w:color w:val="000000"/>
                <w:lang w:val="en-AU" w:eastAsia="es-AR"/>
              </w:rPr>
              <w:t>Benefi</w:t>
            </w:r>
            <w:r w:rsidR="00C6358E" w:rsidRPr="00305FBA">
              <w:rPr>
                <w:rFonts w:ascii="Times New Roman" w:eastAsia="Times New Roman" w:hAnsi="Times New Roman" w:cs="Times New Roman"/>
                <w:color w:val="000000"/>
                <w:lang w:val="en-AU" w:eastAsia="es-AR"/>
              </w:rPr>
              <w:t>ts</w:t>
            </w:r>
            <w:r>
              <w:rPr>
                <w:rFonts w:ascii="Times New Roman" w:eastAsia="Times New Roman" w:hAnsi="Times New Roman" w:cs="Times New Roman"/>
                <w:color w:val="000000"/>
                <w:lang w:eastAsia="es-AR"/>
              </w:rPr>
              <w:t xml:space="preserve"> </w:t>
            </w:r>
            <w:r w:rsidRPr="00305FBA">
              <w:rPr>
                <w:rFonts w:ascii="Times New Roman" w:eastAsia="Times New Roman" w:hAnsi="Times New Roman" w:cs="Times New Roman"/>
                <w:color w:val="000000"/>
                <w:lang w:val="en-AU" w:eastAsia="es-AR"/>
              </w:rPr>
              <w:t>(</w:t>
            </w:r>
            <w:r w:rsidR="004111D6">
              <w:rPr>
                <w:rFonts w:ascii="Times New Roman" w:eastAsia="Times New Roman" w:hAnsi="Times New Roman" w:cs="Times New Roman"/>
                <w:color w:val="000000"/>
                <w:lang w:val="en-AU" w:eastAsia="es-AR"/>
              </w:rPr>
              <w:t>a</w:t>
            </w:r>
            <w:r w:rsidR="00C6358E" w:rsidRPr="00305FBA">
              <w:rPr>
                <w:rFonts w:ascii="Times New Roman" w:eastAsia="Times New Roman" w:hAnsi="Times New Roman" w:cs="Times New Roman"/>
                <w:color w:val="000000"/>
                <w:lang w:val="en-AU" w:eastAsia="es-AR"/>
              </w:rPr>
              <w:t>voided c</w:t>
            </w:r>
            <w:r w:rsidRPr="00305FBA">
              <w:rPr>
                <w:rFonts w:ascii="Times New Roman" w:eastAsia="Times New Roman" w:hAnsi="Times New Roman" w:cs="Times New Roman"/>
                <w:color w:val="000000"/>
                <w:lang w:val="en-AU" w:eastAsia="es-AR"/>
              </w:rPr>
              <w:t>osts</w:t>
            </w:r>
            <w:r>
              <w:rPr>
                <w:rFonts w:ascii="Times New Roman" w:eastAsia="Times New Roman" w:hAnsi="Times New Roman" w:cs="Times New Roman"/>
                <w:color w:val="000000"/>
                <w:lang w:eastAsia="es-AR"/>
              </w:rPr>
              <w:t>)</w:t>
            </w:r>
          </w:p>
        </w:tc>
        <w:tc>
          <w:tcPr>
            <w:tcW w:w="1020" w:type="dxa"/>
            <w:tcBorders>
              <w:top w:val="none" w:sz="0" w:space="0" w:color="auto"/>
              <w:bottom w:val="none" w:sz="0" w:space="0" w:color="auto"/>
            </w:tcBorders>
            <w:vAlign w:val="center"/>
            <w:hideMark/>
          </w:tcPr>
          <w:p w:rsidR="00AB02DF" w:rsidRPr="002D5A95" w:rsidRDefault="00AB02DF" w:rsidP="004111D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w:t>
            </w:r>
            <w:r w:rsidR="004111D6">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324</w:t>
            </w:r>
            <w:r w:rsidR="002D5A95" w:rsidRP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9</w:t>
            </w:r>
          </w:p>
        </w:tc>
        <w:tc>
          <w:tcPr>
            <w:tcW w:w="1020"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7</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0</w:t>
            </w:r>
          </w:p>
        </w:tc>
        <w:tc>
          <w:tcPr>
            <w:tcW w:w="1020" w:type="dxa"/>
            <w:tcBorders>
              <w:top w:val="none" w:sz="0" w:space="0" w:color="auto"/>
              <w:bottom w:val="none" w:sz="0" w:space="0" w:color="auto"/>
              <w:right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331</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9</w:t>
            </w:r>
          </w:p>
        </w:tc>
      </w:tr>
      <w:tr w:rsidR="00AB02DF" w:rsidRPr="00305FBA" w:rsidTr="00572AFD">
        <w:trPr>
          <w:trHeight w:val="258"/>
          <w:jc w:val="center"/>
        </w:trPr>
        <w:tc>
          <w:tcPr>
            <w:cnfStyle w:val="001000000000" w:firstRow="0" w:lastRow="0" w:firstColumn="1" w:lastColumn="0" w:oddVBand="0" w:evenVBand="0" w:oddHBand="0" w:evenHBand="0" w:firstRowFirstColumn="0" w:firstRowLastColumn="0" w:lastRowFirstColumn="0" w:lastRowLastColumn="0"/>
            <w:tcW w:w="5396" w:type="dxa"/>
            <w:vAlign w:val="center"/>
            <w:hideMark/>
          </w:tcPr>
          <w:p w:rsidR="00AB02DF" w:rsidRPr="002D5A95" w:rsidRDefault="00C6358E" w:rsidP="004111D6">
            <w:pPr>
              <w:rPr>
                <w:rFonts w:ascii="Times New Roman" w:eastAsia="Times New Roman" w:hAnsi="Times New Roman" w:cs="Times New Roman"/>
                <w:b w:val="0"/>
                <w:color w:val="000000"/>
                <w:lang w:val="en-US" w:eastAsia="es-AR"/>
              </w:rPr>
            </w:pPr>
            <w:r w:rsidRPr="00305FBA">
              <w:rPr>
                <w:rFonts w:ascii="Times New Roman" w:eastAsia="Times New Roman" w:hAnsi="Times New Roman" w:cs="Times New Roman"/>
                <w:b w:val="0"/>
                <w:color w:val="000000"/>
                <w:lang w:val="en-AU" w:eastAsia="es-AR"/>
              </w:rPr>
              <w:t xml:space="preserve">Treatment </w:t>
            </w:r>
            <w:r w:rsidR="004111D6">
              <w:rPr>
                <w:rFonts w:ascii="Times New Roman" w:eastAsia="Times New Roman" w:hAnsi="Times New Roman" w:cs="Times New Roman"/>
                <w:b w:val="0"/>
                <w:color w:val="000000"/>
                <w:lang w:val="en-AU" w:eastAsia="es-AR"/>
              </w:rPr>
              <w:t>c</w:t>
            </w:r>
            <w:r w:rsidR="00AB02DF" w:rsidRPr="00305FBA">
              <w:rPr>
                <w:rFonts w:ascii="Times New Roman" w:eastAsia="Times New Roman" w:hAnsi="Times New Roman" w:cs="Times New Roman"/>
                <w:b w:val="0"/>
                <w:color w:val="000000"/>
                <w:lang w:val="en-AU" w:eastAsia="es-AR"/>
              </w:rPr>
              <w:t>osts</w:t>
            </w:r>
            <w:r w:rsidR="00AB02DF" w:rsidRPr="002D5A95">
              <w:rPr>
                <w:rFonts w:ascii="Times New Roman" w:eastAsia="Times New Roman" w:hAnsi="Times New Roman" w:cs="Times New Roman"/>
                <w:b w:val="0"/>
                <w:color w:val="000000"/>
                <w:lang w:val="en-US" w:eastAsia="es-AR"/>
              </w:rPr>
              <w:t xml:space="preserve"> </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472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5</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473</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2</w:t>
            </w:r>
          </w:p>
        </w:tc>
      </w:tr>
      <w:tr w:rsidR="00AB02DF" w:rsidTr="00572AFD">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5396" w:type="dxa"/>
            <w:tcBorders>
              <w:top w:val="none" w:sz="0" w:space="0" w:color="auto"/>
              <w:left w:val="none" w:sz="0" w:space="0" w:color="auto"/>
              <w:bottom w:val="none" w:sz="0" w:space="0" w:color="auto"/>
            </w:tcBorders>
            <w:vAlign w:val="center"/>
            <w:hideMark/>
          </w:tcPr>
          <w:p w:rsidR="00AB02DF" w:rsidRPr="00C6358E" w:rsidRDefault="00305FBA" w:rsidP="004111D6">
            <w:pPr>
              <w:rPr>
                <w:rFonts w:ascii="Times New Roman" w:eastAsia="Times New Roman" w:hAnsi="Times New Roman" w:cs="Times New Roman"/>
                <w:b w:val="0"/>
                <w:color w:val="000000"/>
                <w:lang w:val="en-US" w:eastAsia="es-AR"/>
              </w:rPr>
            </w:pPr>
            <w:r w:rsidRPr="00305FBA">
              <w:rPr>
                <w:rFonts w:ascii="Times New Roman" w:eastAsia="Times New Roman" w:hAnsi="Times New Roman" w:cs="Times New Roman"/>
                <w:b w:val="0"/>
                <w:color w:val="000000"/>
                <w:lang w:val="en-TT" w:eastAsia="es-AR"/>
              </w:rPr>
              <w:t>Costs</w:t>
            </w:r>
            <w:r w:rsidR="00AB02DF" w:rsidRPr="00C6358E">
              <w:rPr>
                <w:rFonts w:ascii="Times New Roman" w:eastAsia="Times New Roman" w:hAnsi="Times New Roman" w:cs="Times New Roman"/>
                <w:b w:val="0"/>
                <w:color w:val="000000"/>
                <w:lang w:val="en-US" w:eastAsia="es-AR"/>
              </w:rPr>
              <w:t xml:space="preserve"> </w:t>
            </w:r>
            <w:r w:rsidR="004111D6">
              <w:rPr>
                <w:rFonts w:ascii="Times New Roman" w:eastAsia="Times New Roman" w:hAnsi="Times New Roman" w:cs="Times New Roman"/>
                <w:b w:val="0"/>
                <w:color w:val="000000"/>
                <w:lang w:val="en-US" w:eastAsia="es-AR"/>
              </w:rPr>
              <w:t>a</w:t>
            </w:r>
            <w:r w:rsidRPr="00C6358E">
              <w:rPr>
                <w:rFonts w:ascii="Times New Roman" w:eastAsia="Times New Roman" w:hAnsi="Times New Roman" w:cs="Times New Roman"/>
                <w:b w:val="0"/>
                <w:color w:val="000000"/>
                <w:lang w:val="en-US" w:eastAsia="es-AR"/>
              </w:rPr>
              <w:t>ssociated</w:t>
            </w:r>
            <w:r w:rsidR="00C6358E" w:rsidRPr="00C6358E">
              <w:rPr>
                <w:rFonts w:ascii="Times New Roman" w:eastAsia="Times New Roman" w:hAnsi="Times New Roman" w:cs="Times New Roman"/>
                <w:b w:val="0"/>
                <w:color w:val="000000"/>
                <w:lang w:val="en-US" w:eastAsia="es-AR"/>
              </w:rPr>
              <w:t xml:space="preserve"> with the </w:t>
            </w:r>
            <w:r w:rsidR="00AB02DF" w:rsidRPr="00C6358E">
              <w:rPr>
                <w:rFonts w:ascii="Times New Roman" w:eastAsia="Times New Roman" w:hAnsi="Times New Roman" w:cs="Times New Roman"/>
                <w:b w:val="0"/>
                <w:color w:val="000000"/>
                <w:lang w:val="en-US" w:eastAsia="es-AR"/>
              </w:rPr>
              <w:t>presen</w:t>
            </w:r>
            <w:r w:rsidR="00C6358E" w:rsidRPr="00C6358E">
              <w:rPr>
                <w:rFonts w:ascii="Times New Roman" w:eastAsia="Times New Roman" w:hAnsi="Times New Roman" w:cs="Times New Roman"/>
                <w:b w:val="0"/>
                <w:color w:val="000000"/>
                <w:lang w:val="en-US" w:eastAsia="es-AR"/>
              </w:rPr>
              <w:t>ce</w:t>
            </w:r>
            <w:r w:rsidR="00AB02DF" w:rsidRPr="00C6358E">
              <w:rPr>
                <w:rFonts w:ascii="Times New Roman" w:eastAsia="Times New Roman" w:hAnsi="Times New Roman" w:cs="Times New Roman"/>
                <w:b w:val="0"/>
                <w:color w:val="000000"/>
                <w:lang w:val="en-US" w:eastAsia="es-AR"/>
              </w:rPr>
              <w:t xml:space="preserve"> </w:t>
            </w:r>
            <w:r w:rsidR="00C6358E" w:rsidRPr="00C6358E">
              <w:rPr>
                <w:rFonts w:ascii="Times New Roman" w:eastAsia="Times New Roman" w:hAnsi="Times New Roman" w:cs="Times New Roman"/>
                <w:b w:val="0"/>
                <w:color w:val="000000"/>
                <w:lang w:val="en-US" w:eastAsia="es-AR"/>
              </w:rPr>
              <w:t xml:space="preserve">of </w:t>
            </w:r>
            <w:r w:rsidRPr="00C6358E">
              <w:rPr>
                <w:rFonts w:ascii="Times New Roman" w:eastAsia="Times New Roman" w:hAnsi="Times New Roman" w:cs="Times New Roman"/>
                <w:b w:val="0"/>
                <w:color w:val="000000"/>
                <w:lang w:val="en-US" w:eastAsia="es-AR"/>
              </w:rPr>
              <w:t>the</w:t>
            </w:r>
            <w:r w:rsidR="00C6358E" w:rsidRPr="00C6358E">
              <w:rPr>
                <w:rFonts w:ascii="Times New Roman" w:eastAsia="Times New Roman" w:hAnsi="Times New Roman" w:cs="Times New Roman"/>
                <w:b w:val="0"/>
                <w:color w:val="000000"/>
                <w:lang w:val="en-US" w:eastAsia="es-AR"/>
              </w:rPr>
              <w:t xml:space="preserve"> disease</w:t>
            </w:r>
          </w:p>
        </w:tc>
        <w:tc>
          <w:tcPr>
            <w:tcW w:w="1020"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852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4</w:t>
            </w:r>
          </w:p>
        </w:tc>
        <w:tc>
          <w:tcPr>
            <w:tcW w:w="1020"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6</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3</w:t>
            </w:r>
          </w:p>
        </w:tc>
        <w:tc>
          <w:tcPr>
            <w:tcW w:w="1020" w:type="dxa"/>
            <w:tcBorders>
              <w:top w:val="none" w:sz="0" w:space="0" w:color="auto"/>
              <w:bottom w:val="none" w:sz="0" w:space="0" w:color="auto"/>
              <w:right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858</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7</w:t>
            </w:r>
          </w:p>
        </w:tc>
      </w:tr>
      <w:tr w:rsidR="00AB02DF" w:rsidTr="00572AFD">
        <w:trPr>
          <w:trHeight w:val="401"/>
          <w:jc w:val="center"/>
        </w:trPr>
        <w:tc>
          <w:tcPr>
            <w:cnfStyle w:val="001000000000" w:firstRow="0" w:lastRow="0" w:firstColumn="1" w:lastColumn="0" w:oddVBand="0" w:evenVBand="0" w:oddHBand="0" w:evenHBand="0" w:firstRowFirstColumn="0" w:firstRowLastColumn="0" w:lastRowFirstColumn="0" w:lastRowLastColumn="0"/>
            <w:tcW w:w="5396" w:type="dxa"/>
            <w:vAlign w:val="center"/>
            <w:hideMark/>
          </w:tcPr>
          <w:p w:rsidR="00C6358E" w:rsidRPr="00C6358E" w:rsidRDefault="00305FBA" w:rsidP="00C6358E">
            <w:pPr>
              <w:rPr>
                <w:rFonts w:ascii="Times New Roman" w:eastAsia="Times New Roman" w:hAnsi="Times New Roman" w:cs="Times New Roman"/>
                <w:color w:val="000000"/>
                <w:lang w:val="en-US" w:eastAsia="es-AR"/>
              </w:rPr>
            </w:pPr>
            <w:r w:rsidRPr="00C6358E">
              <w:rPr>
                <w:rFonts w:ascii="Times New Roman" w:eastAsia="Times New Roman" w:hAnsi="Times New Roman" w:cs="Times New Roman"/>
                <w:color w:val="000000"/>
                <w:lang w:val="en-US" w:eastAsia="es-AR"/>
              </w:rPr>
              <w:t>Costs</w:t>
            </w:r>
            <w:r w:rsidR="00AB02DF" w:rsidRPr="00C6358E">
              <w:rPr>
                <w:rFonts w:ascii="Times New Roman" w:eastAsia="Times New Roman" w:hAnsi="Times New Roman" w:cs="Times New Roman"/>
                <w:color w:val="000000"/>
                <w:lang w:val="en-US" w:eastAsia="es-AR"/>
              </w:rPr>
              <w:t xml:space="preserve"> </w:t>
            </w:r>
            <w:r w:rsidR="00C6358E" w:rsidRPr="00C6358E">
              <w:rPr>
                <w:rFonts w:ascii="Times New Roman" w:eastAsia="Times New Roman" w:hAnsi="Times New Roman" w:cs="Times New Roman"/>
                <w:color w:val="000000"/>
                <w:lang w:val="en-US" w:eastAsia="es-AR"/>
              </w:rPr>
              <w:t>of the measures against</w:t>
            </w:r>
            <w:r w:rsidR="00AB02DF" w:rsidRPr="00C6358E">
              <w:rPr>
                <w:rFonts w:ascii="Times New Roman" w:eastAsia="Times New Roman" w:hAnsi="Times New Roman" w:cs="Times New Roman"/>
                <w:color w:val="000000"/>
                <w:lang w:val="en-US" w:eastAsia="es-AR"/>
              </w:rPr>
              <w:t xml:space="preserve"> </w:t>
            </w:r>
          </w:p>
          <w:p w:rsidR="00AB02DF" w:rsidRPr="00C6358E" w:rsidRDefault="00AB02DF" w:rsidP="00C6358E">
            <w:pPr>
              <w:rPr>
                <w:rFonts w:ascii="Times New Roman" w:eastAsia="Times New Roman" w:hAnsi="Times New Roman" w:cs="Times New Roman"/>
                <w:color w:val="000000"/>
                <w:lang w:val="en-US" w:eastAsia="es-AR"/>
              </w:rPr>
            </w:pPr>
            <w:r w:rsidRPr="00C6358E">
              <w:rPr>
                <w:rFonts w:ascii="Times New Roman" w:eastAsia="Times New Roman" w:hAnsi="Times New Roman" w:cs="Times New Roman"/>
                <w:color w:val="000000"/>
                <w:lang w:val="en-US" w:eastAsia="es-AR"/>
              </w:rPr>
              <w:t>A</w:t>
            </w:r>
            <w:r w:rsidR="00C6358E" w:rsidRPr="00C6358E">
              <w:rPr>
                <w:rFonts w:ascii="Times New Roman" w:eastAsia="Times New Roman" w:hAnsi="Times New Roman" w:cs="Times New Roman"/>
                <w:color w:val="000000"/>
                <w:lang w:val="en-US" w:eastAsia="es-AR"/>
              </w:rPr>
              <w:t>/</w:t>
            </w:r>
            <w:r w:rsidRPr="00C6358E">
              <w:rPr>
                <w:rFonts w:ascii="Times New Roman" w:eastAsia="Times New Roman" w:hAnsi="Times New Roman" w:cs="Times New Roman"/>
                <w:color w:val="000000"/>
                <w:lang w:val="en-US" w:eastAsia="es-AR"/>
              </w:rPr>
              <w:t>H1N1</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642</w:t>
            </w:r>
            <w:r w:rsidR="002D5A95" w:rsidRP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5</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154</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6</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US" w:eastAsia="es-AR"/>
              </w:rPr>
            </w:pPr>
            <w:r w:rsidRPr="002D5A95">
              <w:rPr>
                <w:rFonts w:ascii="Times New Roman" w:eastAsia="Times New Roman" w:hAnsi="Times New Roman" w:cs="Times New Roman"/>
                <w:b/>
                <w:bCs/>
                <w:color w:val="000000"/>
                <w:lang w:val="en-US" w:eastAsia="es-AR"/>
              </w:rPr>
              <w:t>797</w:t>
            </w:r>
            <w:r w:rsidR="002D5A95">
              <w:rPr>
                <w:rFonts w:ascii="Times New Roman" w:eastAsia="Times New Roman" w:hAnsi="Times New Roman" w:cs="Times New Roman"/>
                <w:b/>
                <w:bCs/>
                <w:color w:val="000000"/>
                <w:lang w:val="en-US" w:eastAsia="es-AR"/>
              </w:rPr>
              <w:t>.</w:t>
            </w:r>
            <w:r w:rsidRPr="002D5A95">
              <w:rPr>
                <w:rFonts w:ascii="Times New Roman" w:eastAsia="Times New Roman" w:hAnsi="Times New Roman" w:cs="Times New Roman"/>
                <w:b/>
                <w:bCs/>
                <w:color w:val="000000"/>
                <w:lang w:val="en-US" w:eastAsia="es-AR"/>
              </w:rPr>
              <w:t>2</w:t>
            </w:r>
          </w:p>
        </w:tc>
      </w:tr>
      <w:tr w:rsidR="00AB02DF" w:rsidTr="00572AFD">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396" w:type="dxa"/>
            <w:tcBorders>
              <w:top w:val="none" w:sz="0" w:space="0" w:color="auto"/>
              <w:left w:val="none" w:sz="0" w:space="0" w:color="auto"/>
              <w:bottom w:val="none" w:sz="0" w:space="0" w:color="auto"/>
            </w:tcBorders>
            <w:vAlign w:val="center"/>
            <w:hideMark/>
          </w:tcPr>
          <w:p w:rsidR="00AB02DF" w:rsidRPr="002D5A95" w:rsidRDefault="00C6358E" w:rsidP="00C6358E">
            <w:pPr>
              <w:rPr>
                <w:rFonts w:ascii="Times New Roman" w:eastAsia="Times New Roman" w:hAnsi="Times New Roman" w:cs="Times New Roman"/>
                <w:b w:val="0"/>
                <w:color w:val="000000"/>
                <w:lang w:val="en-US" w:eastAsia="es-AR"/>
              </w:rPr>
            </w:pPr>
            <w:r w:rsidRPr="002D5A95">
              <w:rPr>
                <w:rFonts w:ascii="Times New Roman" w:eastAsia="Times New Roman" w:hAnsi="Times New Roman" w:cs="Times New Roman"/>
                <w:b w:val="0"/>
                <w:color w:val="000000"/>
                <w:lang w:val="en-US" w:eastAsia="es-AR"/>
              </w:rPr>
              <w:t>Social distancing</w:t>
            </w:r>
            <w:r w:rsidRPr="00305FBA">
              <w:rPr>
                <w:rFonts w:ascii="Times New Roman" w:eastAsia="Times New Roman" w:hAnsi="Times New Roman" w:cs="Times New Roman"/>
                <w:b w:val="0"/>
                <w:color w:val="000000"/>
                <w:lang w:val="en-AU" w:eastAsia="es-AR"/>
              </w:rPr>
              <w:t xml:space="preserve"> measures</w:t>
            </w:r>
          </w:p>
        </w:tc>
        <w:tc>
          <w:tcPr>
            <w:tcW w:w="1020" w:type="dxa"/>
            <w:tcBorders>
              <w:top w:val="none" w:sz="0" w:space="0" w:color="auto"/>
              <w:bottom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642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5</w:t>
            </w:r>
          </w:p>
        </w:tc>
        <w:tc>
          <w:tcPr>
            <w:tcW w:w="1020" w:type="dxa"/>
            <w:tcBorders>
              <w:top w:val="none" w:sz="0" w:space="0" w:color="auto"/>
              <w:bottom w:val="none" w:sz="0" w:space="0" w:color="auto"/>
            </w:tcBorders>
            <w:vAlign w:val="center"/>
            <w:hideMark/>
          </w:tcPr>
          <w:p w:rsidR="00AB02DF" w:rsidRPr="002D5A95" w:rsidRDefault="00AB02D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p>
        </w:tc>
        <w:tc>
          <w:tcPr>
            <w:tcW w:w="1020" w:type="dxa"/>
            <w:tcBorders>
              <w:top w:val="none" w:sz="0" w:space="0" w:color="auto"/>
              <w:bottom w:val="none" w:sz="0" w:space="0" w:color="auto"/>
              <w:right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642</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5</w:t>
            </w:r>
          </w:p>
        </w:tc>
      </w:tr>
      <w:tr w:rsidR="00AB02DF" w:rsidTr="00572AFD">
        <w:trPr>
          <w:trHeight w:val="269"/>
          <w:jc w:val="center"/>
        </w:trPr>
        <w:tc>
          <w:tcPr>
            <w:cnfStyle w:val="001000000000" w:firstRow="0" w:lastRow="0" w:firstColumn="1" w:lastColumn="0" w:oddVBand="0" w:evenVBand="0" w:oddHBand="0" w:evenHBand="0" w:firstRowFirstColumn="0" w:firstRowLastColumn="0" w:lastRowFirstColumn="0" w:lastRowLastColumn="0"/>
            <w:tcW w:w="5396" w:type="dxa"/>
            <w:vAlign w:val="center"/>
            <w:hideMark/>
          </w:tcPr>
          <w:p w:rsidR="00AB02DF" w:rsidRPr="002D5A95" w:rsidRDefault="00C6358E" w:rsidP="00C6358E">
            <w:pPr>
              <w:rPr>
                <w:rFonts w:ascii="Times New Roman" w:eastAsia="Times New Roman" w:hAnsi="Times New Roman" w:cs="Times New Roman"/>
                <w:b w:val="0"/>
                <w:color w:val="000000"/>
                <w:lang w:val="en-US" w:eastAsia="es-AR"/>
              </w:rPr>
            </w:pPr>
            <w:r w:rsidRPr="002D5A95">
              <w:rPr>
                <w:rFonts w:ascii="Times New Roman" w:eastAsia="Times New Roman" w:hAnsi="Times New Roman" w:cs="Times New Roman"/>
                <w:b w:val="0"/>
                <w:color w:val="000000"/>
                <w:lang w:val="en-US" w:eastAsia="es-AR"/>
              </w:rPr>
              <w:t>Prevention</w:t>
            </w:r>
            <w:r w:rsidRPr="00305FBA">
              <w:rPr>
                <w:rFonts w:ascii="Times New Roman" w:eastAsia="Times New Roman" w:hAnsi="Times New Roman" w:cs="Times New Roman"/>
                <w:b w:val="0"/>
                <w:color w:val="000000"/>
                <w:lang w:val="en-AU" w:eastAsia="es-AR"/>
              </w:rPr>
              <w:t xml:space="preserve"> costs</w:t>
            </w:r>
          </w:p>
        </w:tc>
        <w:tc>
          <w:tcPr>
            <w:tcW w:w="1020" w:type="dxa"/>
            <w:vAlign w:val="center"/>
            <w:hideMark/>
          </w:tcPr>
          <w:p w:rsidR="00AB02DF" w:rsidRPr="002D5A95" w:rsidRDefault="00AB02D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0</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154</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6</w:t>
            </w: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s-AR"/>
              </w:rPr>
            </w:pPr>
            <w:r w:rsidRPr="002D5A95">
              <w:rPr>
                <w:rFonts w:ascii="Times New Roman" w:eastAsia="Times New Roman" w:hAnsi="Times New Roman" w:cs="Times New Roman"/>
                <w:color w:val="000000"/>
                <w:lang w:val="en-US" w:eastAsia="es-AR"/>
              </w:rPr>
              <w:t>154</w:t>
            </w:r>
            <w:r w:rsidR="002D5A95">
              <w:rPr>
                <w:rFonts w:ascii="Times New Roman" w:eastAsia="Times New Roman" w:hAnsi="Times New Roman" w:cs="Times New Roman"/>
                <w:color w:val="000000"/>
                <w:lang w:val="en-US" w:eastAsia="es-AR"/>
              </w:rPr>
              <w:t>.</w:t>
            </w:r>
            <w:r w:rsidRPr="002D5A95">
              <w:rPr>
                <w:rFonts w:ascii="Times New Roman" w:eastAsia="Times New Roman" w:hAnsi="Times New Roman" w:cs="Times New Roman"/>
                <w:color w:val="000000"/>
                <w:lang w:val="en-US" w:eastAsia="es-AR"/>
              </w:rPr>
              <w:t>6</w:t>
            </w:r>
          </w:p>
        </w:tc>
      </w:tr>
      <w:tr w:rsidR="00AB02DF" w:rsidRPr="00305FBA" w:rsidTr="00572AF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96" w:type="dxa"/>
            <w:tcBorders>
              <w:top w:val="none" w:sz="0" w:space="0" w:color="auto"/>
              <w:left w:val="none" w:sz="0" w:space="0" w:color="auto"/>
              <w:bottom w:val="none" w:sz="0" w:space="0" w:color="auto"/>
            </w:tcBorders>
            <w:vAlign w:val="center"/>
            <w:hideMark/>
          </w:tcPr>
          <w:p w:rsidR="00AB02DF" w:rsidRPr="002D5A95" w:rsidRDefault="00C6358E" w:rsidP="00C6358E">
            <w:pPr>
              <w:rPr>
                <w:rFonts w:ascii="Times New Roman" w:eastAsia="Times New Roman" w:hAnsi="Times New Roman" w:cs="Times New Roman"/>
                <w:i/>
                <w:iCs/>
                <w:color w:val="000000"/>
                <w:lang w:val="en-US" w:eastAsia="es-AR"/>
              </w:rPr>
            </w:pPr>
            <w:r w:rsidRPr="002D5A95">
              <w:rPr>
                <w:rFonts w:ascii="Times New Roman" w:eastAsia="Times New Roman" w:hAnsi="Times New Roman" w:cs="Times New Roman"/>
                <w:i/>
                <w:iCs/>
                <w:color w:val="000000"/>
                <w:lang w:val="en-US" w:eastAsia="es-AR"/>
              </w:rPr>
              <w:t>Net</w:t>
            </w:r>
            <w:r w:rsidRPr="00305FBA">
              <w:rPr>
                <w:rFonts w:ascii="Times New Roman" w:eastAsia="Times New Roman" w:hAnsi="Times New Roman" w:cs="Times New Roman"/>
                <w:i/>
                <w:iCs/>
                <w:color w:val="000000"/>
                <w:lang w:val="en-AU" w:eastAsia="es-AR"/>
              </w:rPr>
              <w:t xml:space="preserve"> Benefit</w:t>
            </w:r>
            <w:r w:rsidRPr="00305FBA">
              <w:rPr>
                <w:rFonts w:ascii="Times New Roman" w:eastAsia="Times New Roman" w:hAnsi="Times New Roman" w:cs="Times New Roman"/>
                <w:i/>
                <w:iCs/>
                <w:color w:val="000000"/>
                <w:lang w:val="ca-ES" w:eastAsia="es-AR"/>
              </w:rPr>
              <w:t xml:space="preserve"> Cost</w:t>
            </w:r>
          </w:p>
        </w:tc>
        <w:tc>
          <w:tcPr>
            <w:tcW w:w="1020" w:type="dxa"/>
            <w:tcBorders>
              <w:top w:val="none" w:sz="0" w:space="0" w:color="auto"/>
              <w:bottom w:val="none" w:sz="0" w:space="0" w:color="auto"/>
            </w:tcBorders>
            <w:vAlign w:val="center"/>
            <w:hideMark/>
          </w:tcPr>
          <w:p w:rsidR="00AB02DF" w:rsidRPr="002D5A95" w:rsidRDefault="00AB02DF">
            <w:pPr>
              <w:cnfStyle w:val="000000100000" w:firstRow="0" w:lastRow="0" w:firstColumn="0" w:lastColumn="0" w:oddVBand="0" w:evenVBand="0" w:oddHBand="1" w:evenHBand="0" w:firstRowFirstColumn="0" w:firstRowLastColumn="0" w:lastRowFirstColumn="0" w:lastRowLastColumn="0"/>
              <w:rPr>
                <w:rFonts w:cs="Times New Roman"/>
                <w:sz w:val="22"/>
                <w:szCs w:val="22"/>
                <w:lang w:val="en-US"/>
              </w:rPr>
            </w:pPr>
          </w:p>
        </w:tc>
        <w:tc>
          <w:tcPr>
            <w:tcW w:w="1020" w:type="dxa"/>
            <w:tcBorders>
              <w:top w:val="none" w:sz="0" w:space="0" w:color="auto"/>
              <w:bottom w:val="none" w:sz="0" w:space="0" w:color="auto"/>
            </w:tcBorders>
            <w:vAlign w:val="center"/>
            <w:hideMark/>
          </w:tcPr>
          <w:p w:rsidR="00AB02DF" w:rsidRPr="002D5A95" w:rsidRDefault="00AB02DF">
            <w:pPr>
              <w:cnfStyle w:val="000000100000" w:firstRow="0" w:lastRow="0" w:firstColumn="0" w:lastColumn="0" w:oddVBand="0" w:evenVBand="0" w:oddHBand="1" w:evenHBand="0" w:firstRowFirstColumn="0" w:firstRowLastColumn="0" w:lastRowFirstColumn="0" w:lastRowLastColumn="0"/>
              <w:rPr>
                <w:rFonts w:cs="Times New Roman"/>
                <w:sz w:val="22"/>
                <w:szCs w:val="22"/>
                <w:lang w:val="en-US"/>
              </w:rPr>
            </w:pPr>
          </w:p>
        </w:tc>
        <w:tc>
          <w:tcPr>
            <w:tcW w:w="1020" w:type="dxa"/>
            <w:tcBorders>
              <w:top w:val="none" w:sz="0" w:space="0" w:color="auto"/>
              <w:bottom w:val="none" w:sz="0" w:space="0" w:color="auto"/>
              <w:right w:val="none" w:sz="0" w:space="0" w:color="auto"/>
            </w:tcBorders>
            <w:vAlign w:val="center"/>
            <w:hideMark/>
          </w:tcPr>
          <w:p w:rsidR="00AB02DF" w:rsidRPr="002D5A95" w:rsidRDefault="00AB02DF" w:rsidP="002D5A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lang w:val="en-US" w:eastAsia="es-AR"/>
              </w:rPr>
            </w:pPr>
            <w:r w:rsidRPr="002D5A95">
              <w:rPr>
                <w:rFonts w:ascii="Times New Roman" w:eastAsia="Times New Roman" w:hAnsi="Times New Roman" w:cs="Times New Roman"/>
                <w:b/>
                <w:bCs/>
                <w:i/>
                <w:iCs/>
                <w:color w:val="000000"/>
                <w:lang w:val="en-US" w:eastAsia="es-AR"/>
              </w:rPr>
              <w:t>534</w:t>
            </w:r>
            <w:r w:rsidR="002D5A95">
              <w:rPr>
                <w:rFonts w:ascii="Times New Roman" w:eastAsia="Times New Roman" w:hAnsi="Times New Roman" w:cs="Times New Roman"/>
                <w:b/>
                <w:bCs/>
                <w:i/>
                <w:iCs/>
                <w:color w:val="000000"/>
                <w:lang w:val="en-US" w:eastAsia="es-AR"/>
              </w:rPr>
              <w:t>.</w:t>
            </w:r>
            <w:r w:rsidRPr="002D5A95">
              <w:rPr>
                <w:rFonts w:ascii="Times New Roman" w:eastAsia="Times New Roman" w:hAnsi="Times New Roman" w:cs="Times New Roman"/>
                <w:b/>
                <w:bCs/>
                <w:i/>
                <w:iCs/>
                <w:color w:val="000000"/>
                <w:lang w:val="en-US" w:eastAsia="es-AR"/>
              </w:rPr>
              <w:t>7</w:t>
            </w:r>
          </w:p>
        </w:tc>
      </w:tr>
      <w:tr w:rsidR="00AB02DF" w:rsidTr="00572AFD">
        <w:trPr>
          <w:trHeight w:val="288"/>
          <w:jc w:val="center"/>
        </w:trPr>
        <w:tc>
          <w:tcPr>
            <w:cnfStyle w:val="001000000000" w:firstRow="0" w:lastRow="0" w:firstColumn="1" w:lastColumn="0" w:oddVBand="0" w:evenVBand="0" w:oddHBand="0" w:evenHBand="0" w:firstRowFirstColumn="0" w:firstRowLastColumn="0" w:lastRowFirstColumn="0" w:lastRowLastColumn="0"/>
            <w:tcW w:w="5396" w:type="dxa"/>
            <w:vAlign w:val="center"/>
            <w:hideMark/>
          </w:tcPr>
          <w:p w:rsidR="00AB02DF" w:rsidRPr="002D5A95" w:rsidRDefault="00C6358E" w:rsidP="00C6358E">
            <w:pPr>
              <w:rPr>
                <w:rFonts w:ascii="Times New Roman" w:eastAsia="Times New Roman" w:hAnsi="Times New Roman" w:cs="Times New Roman"/>
                <w:i/>
                <w:color w:val="000000"/>
                <w:lang w:val="en-US" w:eastAsia="es-AR"/>
              </w:rPr>
            </w:pPr>
            <w:r w:rsidRPr="00305FBA">
              <w:rPr>
                <w:rFonts w:ascii="Times New Roman" w:eastAsia="Times New Roman" w:hAnsi="Times New Roman" w:cs="Times New Roman"/>
                <w:i/>
                <w:color w:val="000000"/>
                <w:lang w:val="en-AU" w:eastAsia="es-AR"/>
              </w:rPr>
              <w:t>B</w:t>
            </w:r>
            <w:r w:rsidR="00AB02DF" w:rsidRPr="00305FBA">
              <w:rPr>
                <w:rFonts w:ascii="Times New Roman" w:eastAsia="Times New Roman" w:hAnsi="Times New Roman" w:cs="Times New Roman"/>
                <w:i/>
                <w:color w:val="000000"/>
                <w:lang w:val="en-AU" w:eastAsia="es-AR"/>
              </w:rPr>
              <w:t>enefi</w:t>
            </w:r>
            <w:r w:rsidRPr="00305FBA">
              <w:rPr>
                <w:rFonts w:ascii="Times New Roman" w:eastAsia="Times New Roman" w:hAnsi="Times New Roman" w:cs="Times New Roman"/>
                <w:i/>
                <w:color w:val="000000"/>
                <w:lang w:val="en-AU" w:eastAsia="es-AR"/>
              </w:rPr>
              <w:t>t</w:t>
            </w:r>
            <w:r w:rsidR="00AB02DF" w:rsidRPr="00305FBA">
              <w:rPr>
                <w:rFonts w:ascii="Times New Roman" w:eastAsia="Times New Roman" w:hAnsi="Times New Roman" w:cs="Times New Roman"/>
                <w:i/>
                <w:color w:val="000000"/>
                <w:lang w:val="en-AU" w:eastAsia="es-AR"/>
              </w:rPr>
              <w:t>-</w:t>
            </w:r>
            <w:r w:rsidRPr="00305FBA">
              <w:rPr>
                <w:rFonts w:ascii="Times New Roman" w:eastAsia="Times New Roman" w:hAnsi="Times New Roman" w:cs="Times New Roman"/>
                <w:i/>
                <w:color w:val="000000"/>
                <w:lang w:val="en-AU" w:eastAsia="es-AR"/>
              </w:rPr>
              <w:t>c</w:t>
            </w:r>
            <w:r w:rsidR="00AB02DF" w:rsidRPr="00305FBA">
              <w:rPr>
                <w:rFonts w:ascii="Times New Roman" w:eastAsia="Times New Roman" w:hAnsi="Times New Roman" w:cs="Times New Roman"/>
                <w:i/>
                <w:color w:val="000000"/>
                <w:lang w:val="en-AU" w:eastAsia="es-AR"/>
              </w:rPr>
              <w:t>ost</w:t>
            </w:r>
            <w:r w:rsidRPr="002D5A95">
              <w:rPr>
                <w:rFonts w:ascii="Times New Roman" w:eastAsia="Times New Roman" w:hAnsi="Times New Roman" w:cs="Times New Roman"/>
                <w:i/>
                <w:color w:val="000000"/>
                <w:lang w:val="en-US" w:eastAsia="es-AR"/>
              </w:rPr>
              <w:t xml:space="preserve"> Ratio</w:t>
            </w:r>
          </w:p>
        </w:tc>
        <w:tc>
          <w:tcPr>
            <w:tcW w:w="1020" w:type="dxa"/>
            <w:vAlign w:val="center"/>
            <w:hideMark/>
          </w:tcPr>
          <w:p w:rsidR="00AB02DF" w:rsidRPr="002D5A95" w:rsidRDefault="00AB02DF">
            <w:pPr>
              <w:cnfStyle w:val="000000000000" w:firstRow="0" w:lastRow="0" w:firstColumn="0" w:lastColumn="0" w:oddVBand="0" w:evenVBand="0" w:oddHBand="0" w:evenHBand="0" w:firstRowFirstColumn="0" w:firstRowLastColumn="0" w:lastRowFirstColumn="0" w:lastRowLastColumn="0"/>
              <w:rPr>
                <w:rFonts w:cs="Times New Roman"/>
                <w:sz w:val="22"/>
                <w:szCs w:val="22"/>
                <w:lang w:val="en-US"/>
              </w:rPr>
            </w:pPr>
          </w:p>
        </w:tc>
        <w:tc>
          <w:tcPr>
            <w:tcW w:w="1020" w:type="dxa"/>
            <w:vAlign w:val="center"/>
            <w:hideMark/>
          </w:tcPr>
          <w:p w:rsidR="00AB02DF" w:rsidRPr="002D5A95" w:rsidRDefault="00AB02DF">
            <w:pPr>
              <w:cnfStyle w:val="000000000000" w:firstRow="0" w:lastRow="0" w:firstColumn="0" w:lastColumn="0" w:oddVBand="0" w:evenVBand="0" w:oddHBand="0" w:evenHBand="0" w:firstRowFirstColumn="0" w:firstRowLastColumn="0" w:lastRowFirstColumn="0" w:lastRowLastColumn="0"/>
              <w:rPr>
                <w:rFonts w:cs="Times New Roman"/>
                <w:sz w:val="22"/>
                <w:szCs w:val="22"/>
                <w:lang w:val="en-US"/>
              </w:rPr>
            </w:pPr>
          </w:p>
        </w:tc>
        <w:tc>
          <w:tcPr>
            <w:tcW w:w="1020" w:type="dxa"/>
            <w:vAlign w:val="center"/>
            <w:hideMark/>
          </w:tcPr>
          <w:p w:rsidR="00AB02DF" w:rsidRPr="002D5A95" w:rsidRDefault="00AB02DF" w:rsidP="002D5A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lang w:val="en-US" w:eastAsia="es-AR"/>
              </w:rPr>
            </w:pPr>
            <w:r w:rsidRPr="002D5A95">
              <w:rPr>
                <w:rFonts w:ascii="Times New Roman" w:eastAsia="Times New Roman" w:hAnsi="Times New Roman" w:cs="Times New Roman"/>
                <w:b/>
                <w:bCs/>
                <w:i/>
                <w:color w:val="000000"/>
                <w:lang w:val="en-US" w:eastAsia="es-AR"/>
              </w:rPr>
              <w:t>1</w:t>
            </w:r>
            <w:r w:rsidR="002D5A95">
              <w:rPr>
                <w:rFonts w:ascii="Times New Roman" w:eastAsia="Times New Roman" w:hAnsi="Times New Roman" w:cs="Times New Roman"/>
                <w:b/>
                <w:bCs/>
                <w:i/>
                <w:color w:val="000000"/>
                <w:lang w:val="en-US" w:eastAsia="es-AR"/>
              </w:rPr>
              <w:t>.</w:t>
            </w:r>
            <w:r w:rsidRPr="002D5A95">
              <w:rPr>
                <w:rFonts w:ascii="Times New Roman" w:eastAsia="Times New Roman" w:hAnsi="Times New Roman" w:cs="Times New Roman"/>
                <w:b/>
                <w:bCs/>
                <w:i/>
                <w:color w:val="000000"/>
                <w:lang w:val="en-US" w:eastAsia="es-AR"/>
              </w:rPr>
              <w:t>7</w:t>
            </w:r>
          </w:p>
        </w:tc>
      </w:tr>
    </w:tbl>
    <w:p w:rsidR="00AB02DF" w:rsidRPr="00572AFD" w:rsidRDefault="00AA1BF7" w:rsidP="00572AFD">
      <w:pPr>
        <w:rPr>
          <w:i/>
          <w:sz w:val="20"/>
          <w:szCs w:val="20"/>
        </w:rPr>
      </w:pPr>
      <w:r w:rsidRPr="00572AFD">
        <w:rPr>
          <w:i/>
          <w:sz w:val="20"/>
          <w:szCs w:val="20"/>
        </w:rPr>
        <w:t>Source</w:t>
      </w:r>
      <w:r w:rsidR="00AB02DF" w:rsidRPr="00572AFD">
        <w:rPr>
          <w:i/>
          <w:sz w:val="20"/>
          <w:szCs w:val="20"/>
        </w:rPr>
        <w:t xml:space="preserve">: </w:t>
      </w:r>
      <w:r w:rsidRPr="00572AFD">
        <w:rPr>
          <w:i/>
          <w:sz w:val="20"/>
          <w:szCs w:val="20"/>
        </w:rPr>
        <w:t>Own estimates based on MSN information</w:t>
      </w:r>
    </w:p>
    <w:p w:rsidR="00AA1BF7" w:rsidRDefault="00AA1BF7" w:rsidP="00AB02DF">
      <w:pPr>
        <w:jc w:val="both"/>
      </w:pPr>
    </w:p>
    <w:p w:rsidR="00AB02DF" w:rsidRDefault="001C39AC" w:rsidP="00305FBA">
      <w:pPr>
        <w:pStyle w:val="ListParagraph"/>
        <w:numPr>
          <w:ilvl w:val="0"/>
          <w:numId w:val="5"/>
        </w:numPr>
        <w:ind w:left="0" w:firstLine="0"/>
        <w:jc w:val="both"/>
      </w:pPr>
      <w:r w:rsidRPr="004111D6">
        <w:rPr>
          <w:b/>
        </w:rPr>
        <w:t>Taking</w:t>
      </w:r>
      <w:r w:rsidR="00AB02DF" w:rsidRPr="004111D6">
        <w:rPr>
          <w:b/>
        </w:rPr>
        <w:t xml:space="preserve"> into account that economic benefits of the adopted measures to combat the pandemic are underestimated due to the lack of consideration of the effects of social distancing measures in key sector</w:t>
      </w:r>
      <w:r w:rsidR="004111D6">
        <w:rPr>
          <w:b/>
        </w:rPr>
        <w:t>s</w:t>
      </w:r>
      <w:r w:rsidR="00AB02DF" w:rsidRPr="004111D6">
        <w:rPr>
          <w:b/>
        </w:rPr>
        <w:t xml:space="preserve"> of the economy</w:t>
      </w:r>
      <w:r w:rsidRPr="004111D6">
        <w:rPr>
          <w:b/>
        </w:rPr>
        <w:t>, the</w:t>
      </w:r>
      <w:r w:rsidR="00AB02DF" w:rsidRPr="004111D6">
        <w:rPr>
          <w:b/>
        </w:rPr>
        <w:t xml:space="preserve"> net benefit could be much higher</w:t>
      </w:r>
      <w:r w:rsidR="00AB02DF">
        <w:t xml:space="preserve">.  </w:t>
      </w:r>
    </w:p>
    <w:p w:rsidR="00AA1BF7" w:rsidRPr="00AB02DF" w:rsidRDefault="00AA1BF7" w:rsidP="00AA1BF7">
      <w:pPr>
        <w:pStyle w:val="ListParagraph"/>
        <w:ind w:left="0"/>
        <w:jc w:val="both"/>
      </w:pPr>
    </w:p>
    <w:p w:rsidR="00AB02DF" w:rsidRPr="004111D6" w:rsidRDefault="001C39AC" w:rsidP="00305FBA">
      <w:pPr>
        <w:pStyle w:val="ListParagraph"/>
        <w:numPr>
          <w:ilvl w:val="0"/>
          <w:numId w:val="5"/>
        </w:numPr>
        <w:ind w:left="0" w:firstLine="0"/>
        <w:jc w:val="both"/>
        <w:rPr>
          <w:b/>
        </w:rPr>
      </w:pPr>
      <w:r w:rsidRPr="004111D6">
        <w:rPr>
          <w:b/>
        </w:rPr>
        <w:t>Based on</w:t>
      </w:r>
      <w:r w:rsidR="00AB02DF" w:rsidRPr="004111D6">
        <w:rPr>
          <w:b/>
        </w:rPr>
        <w:t xml:space="preserve"> the analysis and </w:t>
      </w:r>
      <w:r w:rsidR="00B856DD" w:rsidRPr="004111D6">
        <w:rPr>
          <w:b/>
        </w:rPr>
        <w:t xml:space="preserve">on </w:t>
      </w:r>
      <w:r w:rsidR="00AB02DF" w:rsidRPr="004111D6">
        <w:rPr>
          <w:b/>
        </w:rPr>
        <w:t>the epidemiological data</w:t>
      </w:r>
      <w:r w:rsidRPr="004111D6">
        <w:rPr>
          <w:b/>
        </w:rPr>
        <w:t xml:space="preserve">, </w:t>
      </w:r>
      <w:r w:rsidR="00AB02DF" w:rsidRPr="004111D6">
        <w:rPr>
          <w:b/>
        </w:rPr>
        <w:t>the adopted measures against the A</w:t>
      </w:r>
      <w:r w:rsidR="00C6358E" w:rsidRPr="004111D6">
        <w:rPr>
          <w:b/>
        </w:rPr>
        <w:t>/</w:t>
      </w:r>
      <w:r w:rsidR="00AB02DF" w:rsidRPr="004111D6">
        <w:rPr>
          <w:b/>
        </w:rPr>
        <w:t>H1N1 and in particular the interventions that were financed v</w:t>
      </w:r>
      <w:r w:rsidR="00121507" w:rsidRPr="004111D6">
        <w:rPr>
          <w:b/>
        </w:rPr>
        <w:t>ia the Project have been effective</w:t>
      </w:r>
      <w:r w:rsidR="00AB02DF" w:rsidRPr="004111D6">
        <w:rPr>
          <w:b/>
        </w:rPr>
        <w:t xml:space="preserve"> (epidemiologic</w:t>
      </w:r>
      <w:r w:rsidR="00305FBA" w:rsidRPr="004111D6">
        <w:rPr>
          <w:b/>
        </w:rPr>
        <w:t xml:space="preserve"> impact</w:t>
      </w:r>
      <w:r w:rsidR="00AB02DF" w:rsidRPr="004111D6">
        <w:rPr>
          <w:b/>
        </w:rPr>
        <w:t xml:space="preserve">) and efficient (economic </w:t>
      </w:r>
      <w:r w:rsidR="00305FBA" w:rsidRPr="004111D6">
        <w:rPr>
          <w:b/>
        </w:rPr>
        <w:t>impact</w:t>
      </w:r>
      <w:r w:rsidR="00AB02DF" w:rsidRPr="004111D6">
        <w:rPr>
          <w:b/>
        </w:rPr>
        <w:t xml:space="preserve">) in that they interrupted the pandemic at a reasonable cost. </w:t>
      </w:r>
    </w:p>
    <w:p w:rsidR="003C3C02" w:rsidRPr="008D3060" w:rsidRDefault="003C3C02" w:rsidP="003262E3">
      <w:pPr>
        <w:pStyle w:val="NoSpacing"/>
        <w:jc w:val="both"/>
        <w:rPr>
          <w:rFonts w:ascii="Times New Roman" w:hAnsi="Times New Roman" w:cs="Times New Roman"/>
          <w:sz w:val="24"/>
          <w:szCs w:val="24"/>
        </w:rPr>
      </w:pPr>
    </w:p>
    <w:p w:rsidR="003C3C02" w:rsidRPr="008D3060" w:rsidRDefault="003C3C02" w:rsidP="003262E3">
      <w:pPr>
        <w:pStyle w:val="NoSpacing"/>
        <w:jc w:val="both"/>
        <w:rPr>
          <w:rFonts w:ascii="Times New Roman" w:hAnsi="Times New Roman" w:cs="Times New Roman"/>
          <w:sz w:val="24"/>
          <w:szCs w:val="24"/>
        </w:rPr>
      </w:pPr>
    </w:p>
    <w:p w:rsidR="00C67D43" w:rsidRPr="008D3060" w:rsidRDefault="00C67D43" w:rsidP="003262E3">
      <w:pPr>
        <w:jc w:val="both"/>
      </w:pPr>
    </w:p>
    <w:p w:rsidR="007B1961" w:rsidRPr="008D3060" w:rsidRDefault="007B1961">
      <w:pPr>
        <w:rPr>
          <w:b/>
          <w:bCs/>
          <w:color w:val="000000"/>
        </w:rPr>
      </w:pPr>
      <w:bookmarkStart w:id="199" w:name="_IL18"/>
      <w:bookmarkStart w:id="200" w:name="_Toc158019380"/>
      <w:r w:rsidRPr="008D3060">
        <w:br w:type="page"/>
      </w:r>
    </w:p>
    <w:p w:rsidR="008374D5" w:rsidRPr="00CC628D" w:rsidRDefault="008374D5" w:rsidP="00CC628D">
      <w:pPr>
        <w:pStyle w:val="Heading2"/>
        <w:jc w:val="center"/>
        <w:rPr>
          <w:sz w:val="26"/>
          <w:szCs w:val="26"/>
        </w:rPr>
      </w:pPr>
      <w:bookmarkStart w:id="201" w:name="_Toc384896520"/>
      <w:r w:rsidRPr="00CC628D">
        <w:rPr>
          <w:sz w:val="26"/>
          <w:szCs w:val="26"/>
        </w:rPr>
        <w:lastRenderedPageBreak/>
        <w:t xml:space="preserve">Annex 4. </w:t>
      </w:r>
      <w:bookmarkStart w:id="202" w:name="ANN4_RE_LBL"/>
      <w:r w:rsidRPr="00CC628D">
        <w:rPr>
          <w:sz w:val="26"/>
          <w:szCs w:val="26"/>
        </w:rPr>
        <w:t>Bank Lending and Implementation Support/Supervision Processes</w:t>
      </w:r>
      <w:bookmarkEnd w:id="199"/>
      <w:bookmarkEnd w:id="200"/>
      <w:bookmarkEnd w:id="201"/>
      <w:bookmarkEnd w:id="202"/>
    </w:p>
    <w:p w:rsidR="008374D5" w:rsidRDefault="008374D5" w:rsidP="00305FBA">
      <w:pPr>
        <w:pStyle w:val="Heading3"/>
        <w:numPr>
          <w:ilvl w:val="0"/>
          <w:numId w:val="6"/>
        </w:numPr>
        <w:jc w:val="both"/>
        <w:rPr>
          <w:sz w:val="24"/>
          <w:szCs w:val="24"/>
        </w:rPr>
      </w:pPr>
      <w:r w:rsidRPr="00816C1F">
        <w:rPr>
          <w:sz w:val="24"/>
          <w:szCs w:val="24"/>
        </w:rPr>
        <w:t>Task Team members</w:t>
      </w:r>
    </w:p>
    <w:tbl>
      <w:tblPr>
        <w:tblW w:w="4995" w:type="pct"/>
        <w:tblLayout w:type="fixed"/>
        <w:tblCellMar>
          <w:top w:w="10" w:type="dxa"/>
          <w:left w:w="10" w:type="dxa"/>
          <w:bottom w:w="10" w:type="dxa"/>
          <w:right w:w="10" w:type="dxa"/>
        </w:tblCellMar>
        <w:tblLook w:val="0000" w:firstRow="0" w:lastRow="0" w:firstColumn="0" w:lastColumn="0" w:noHBand="0" w:noVBand="0"/>
      </w:tblPr>
      <w:tblGrid>
        <w:gridCol w:w="2711"/>
        <w:gridCol w:w="4360"/>
        <w:gridCol w:w="1580"/>
      </w:tblGrid>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F37D54" w:rsidRPr="00F37D54" w:rsidRDefault="00F37D54" w:rsidP="00305FBA">
            <w:pPr>
              <w:pStyle w:val="ListParagraph"/>
              <w:numPr>
                <w:ilvl w:val="0"/>
                <w:numId w:val="6"/>
              </w:numPr>
              <w:jc w:val="center"/>
              <w:rPr>
                <w:b/>
                <w:bCs/>
                <w:color w:val="606060"/>
              </w:rPr>
            </w:pPr>
            <w:r w:rsidRPr="00F37D54">
              <w:rPr>
                <w:b/>
                <w:bCs/>
                <w:color w:val="606060"/>
              </w:rPr>
              <w:t>Names</w:t>
            </w:r>
          </w:p>
        </w:tc>
        <w:tc>
          <w:tcPr>
            <w:tcW w:w="2520"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F37D54" w:rsidRPr="004E341D" w:rsidRDefault="00F37D54" w:rsidP="00F37D54">
            <w:pPr>
              <w:jc w:val="center"/>
              <w:rPr>
                <w:b/>
                <w:bCs/>
                <w:color w:val="606060"/>
              </w:rPr>
            </w:pPr>
            <w:r w:rsidRPr="004E341D">
              <w:rPr>
                <w:b/>
                <w:bCs/>
                <w:color w:val="606060"/>
              </w:rPr>
              <w:t>Title</w:t>
            </w:r>
          </w:p>
        </w:tc>
        <w:tc>
          <w:tcPr>
            <w:tcW w:w="913"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F37D54" w:rsidRPr="004E341D" w:rsidRDefault="00F37D54" w:rsidP="00F37D54">
            <w:pPr>
              <w:jc w:val="center"/>
              <w:rPr>
                <w:b/>
                <w:bCs/>
                <w:color w:val="606060"/>
              </w:rPr>
            </w:pPr>
            <w:r w:rsidRPr="004E341D">
              <w:rPr>
                <w:b/>
                <w:bCs/>
                <w:color w:val="606060"/>
              </w:rPr>
              <w:t>Unit</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012EF6" w:rsidRDefault="00F37D54" w:rsidP="00F37D54">
            <w:pPr>
              <w:rPr>
                <w:b/>
                <w:color w:val="000000"/>
              </w:rPr>
            </w:pPr>
            <w:r w:rsidRPr="00012EF6">
              <w:rPr>
                <w:b/>
                <w:color w:val="000000"/>
              </w:rPr>
              <w:t>Lending:</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Fernando Lavadenz</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Task Team Leader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540B57" w:rsidP="00E86084">
            <w:pPr>
              <w:rPr>
                <w:color w:val="000000"/>
              </w:rPr>
            </w:pPr>
            <w:r>
              <w:rPr>
                <w:color w:val="000000"/>
              </w:rPr>
              <w:t>Ampere</w:t>
            </w:r>
            <w:r w:rsidR="00E86084">
              <w:rPr>
                <w:color w:val="000000"/>
              </w:rPr>
              <w:t xml:space="preserve"> </w:t>
            </w:r>
            <w:r>
              <w:rPr>
                <w:color w:val="000000"/>
              </w:rPr>
              <w:t>Gorilla</w:t>
            </w:r>
            <w:r w:rsidR="00F37D54">
              <w:rPr>
                <w:color w:val="000000"/>
              </w:rPr>
              <w:t xml:space="preserve"> -Tobar</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Co-Tak Team Leader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Vanina Camporeale</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Senior Operations Officer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Diomedes Berroa</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Senior Operations Officer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jc w:val="center"/>
              <w:rPr>
                <w:color w:val="000000"/>
              </w:rPr>
            </w:pPr>
            <w:r w:rsidRPr="00816C1F">
              <w:rPr>
                <w:color w:val="000000"/>
              </w:rPr>
              <w:t>OPSOR</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Luis Orlando Perez</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Senior Public Health Specialist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C35AAE"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C35AAE" w:rsidRDefault="00F37D54" w:rsidP="00F37D54">
            <w:pPr>
              <w:rPr>
                <w:color w:val="000000"/>
                <w:lang w:val="es-AR"/>
              </w:rPr>
            </w:pPr>
            <w:r>
              <w:rPr>
                <w:color w:val="000000"/>
                <w:lang w:val="es-AR"/>
              </w:rPr>
              <w:t>Reynaldo Pastor</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C35AAE" w:rsidRDefault="00F37D54" w:rsidP="00F37D54">
            <w:pPr>
              <w:rPr>
                <w:color w:val="000000"/>
                <w:lang w:val="es-AR"/>
              </w:rPr>
            </w:pPr>
            <w:r>
              <w:rPr>
                <w:color w:val="000000"/>
                <w:lang w:val="es-AR"/>
              </w:rPr>
              <w:t>Senior Counsel</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C35AAE" w:rsidRDefault="00F37D54" w:rsidP="00F37D54">
            <w:pPr>
              <w:jc w:val="center"/>
              <w:rPr>
                <w:color w:val="000000"/>
                <w:lang w:val="es-AR"/>
              </w:rPr>
            </w:pPr>
            <w:r>
              <w:rPr>
                <w:color w:val="000000"/>
                <w:lang w:val="es-AR"/>
              </w:rPr>
              <w:t>LEGLE</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Marta Molares-Halberg</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Lead Counsel</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LEGLE</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Jose Janeiro</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Senior Finance Officer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jc w:val="center"/>
              <w:rPr>
                <w:color w:val="000000"/>
              </w:rPr>
            </w:pPr>
            <w:r>
              <w:rPr>
                <w:color w:val="000000"/>
              </w:rPr>
              <w:t>CTRLA</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Alejandro Roger Solanot</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Financial Management Analyst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LCSFM</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Snezana Mitrovic</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Lead Procurement Specialist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LCSPT</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Keisgner Alfaro</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Procurement Analyst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LCSPT</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Francis Fragano</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Environmental Specialist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SARDE</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Juan Martinez</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Social Specialist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EASIS</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Isabel Tomadin</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Social Safeguards Consultant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LCSOS</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Roc</w:t>
            </w:r>
            <w:r w:rsidR="00E86084">
              <w:rPr>
                <w:color w:val="000000"/>
              </w:rPr>
              <w:t>i</w:t>
            </w:r>
            <w:r>
              <w:rPr>
                <w:color w:val="000000"/>
              </w:rPr>
              <w:t>o Schmunis</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Health Consultant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Daniel Cotlear</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Peer Reviewer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jc w:val="center"/>
              <w:rPr>
                <w:color w:val="000000"/>
              </w:rPr>
            </w:pPr>
            <w:r>
              <w:rPr>
                <w:color w:val="000000"/>
              </w:rPr>
              <w:t>LCSHD</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Rafael Cortez</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Peer Reviewer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Gabriel Schmunis</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Peer Reviewer</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LCSHD</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Veronica Jarrin</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Senior Program Assistant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Julie Nannucci</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Program Assistant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Gabriela Moreno</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Program Assistant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Santiago Scialabba</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Program Assistant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LCSHD</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Sarah Bailey</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Team Assistant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LCSHD</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Rory Narvaez</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Consultant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F37D54">
        <w:tc>
          <w:tcPr>
            <w:tcW w:w="1567"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Vanessa Victoria</w:t>
            </w:r>
          </w:p>
        </w:tc>
        <w:tc>
          <w:tcPr>
            <w:tcW w:w="2520"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Consultant</w:t>
            </w:r>
          </w:p>
        </w:tc>
        <w:tc>
          <w:tcPr>
            <w:tcW w:w="913"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bl>
    <w:p w:rsidR="00F37D54" w:rsidRPr="00A50F35" w:rsidRDefault="00F37D54" w:rsidP="00F37D54">
      <w:pPr>
        <w:rPr>
          <w:b/>
          <w:bCs/>
        </w:rPr>
      </w:pPr>
      <w:bookmarkStart w:id="203" w:name="TEAM_LEN"/>
      <w:bookmarkEnd w:id="203"/>
    </w:p>
    <w:tbl>
      <w:tblPr>
        <w:tblW w:w="4995" w:type="pct"/>
        <w:tblLayout w:type="fixed"/>
        <w:tblCellMar>
          <w:top w:w="10" w:type="dxa"/>
          <w:left w:w="10" w:type="dxa"/>
          <w:bottom w:w="10" w:type="dxa"/>
          <w:right w:w="10" w:type="dxa"/>
        </w:tblCellMar>
        <w:tblLook w:val="0000" w:firstRow="0" w:lastRow="0" w:firstColumn="0" w:lastColumn="0" w:noHBand="0" w:noVBand="0"/>
      </w:tblPr>
      <w:tblGrid>
        <w:gridCol w:w="2711"/>
        <w:gridCol w:w="4359"/>
        <w:gridCol w:w="1581"/>
      </w:tblGrid>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A50F35">
              <w:rPr>
                <w:b/>
                <w:bCs/>
              </w:rPr>
              <w:t>Supervision</w:t>
            </w:r>
            <w:r>
              <w:rPr>
                <w:b/>
                <w:bCs/>
              </w:rPr>
              <w:t>:</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Fernando Lavadenz</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E86084">
            <w:pPr>
              <w:rPr>
                <w:color w:val="000000"/>
              </w:rPr>
            </w:pPr>
            <w:r>
              <w:rPr>
                <w:color w:val="000000"/>
              </w:rPr>
              <w:t>Task Team Leader</w:t>
            </w:r>
            <w:r w:rsidR="00E86084">
              <w:rPr>
                <w:color w:val="000000"/>
              </w:rPr>
              <w:t xml:space="preserve"> - </w:t>
            </w:r>
            <w:r w:rsidR="00E86084" w:rsidRPr="004E341D">
              <w:rPr>
                <w:color w:val="000000"/>
              </w:rPr>
              <w:t>Senior Health Specialist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sidRPr="004E341D">
              <w:rPr>
                <w:color w:val="000000"/>
              </w:rPr>
              <w:t>Vanina Camporeale</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E86084" w:rsidP="00E86084">
            <w:pPr>
              <w:rPr>
                <w:color w:val="000000"/>
              </w:rPr>
            </w:pPr>
            <w:r>
              <w:rPr>
                <w:color w:val="000000"/>
              </w:rPr>
              <w:t xml:space="preserve">Task Team Leader - </w:t>
            </w:r>
            <w:r w:rsidR="00F37D54">
              <w:rPr>
                <w:color w:val="000000"/>
              </w:rPr>
              <w:t xml:space="preserve">Senior </w:t>
            </w:r>
            <w:r w:rsidR="00F37D54" w:rsidRPr="004E341D">
              <w:rPr>
                <w:color w:val="000000"/>
              </w:rPr>
              <w:t>Operations Officer</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jc w:val="center"/>
              <w:rPr>
                <w:color w:val="000000"/>
              </w:rPr>
            </w:pPr>
            <w:r w:rsidRPr="004E341D">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Claudia Macias</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E86084" w:rsidP="00E86084">
            <w:pPr>
              <w:rPr>
                <w:color w:val="000000"/>
              </w:rPr>
            </w:pPr>
            <w:r>
              <w:rPr>
                <w:color w:val="000000"/>
              </w:rPr>
              <w:t>Task T</w:t>
            </w:r>
            <w:r w:rsidR="00F37D54">
              <w:rPr>
                <w:color w:val="000000"/>
              </w:rPr>
              <w:t>eam Leader for ICR</w:t>
            </w:r>
            <w:r>
              <w:rPr>
                <w:color w:val="000000"/>
              </w:rPr>
              <w:t xml:space="preserve"> - Senior Operations Officer</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Natasha Zamecnik</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ICR Author</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Luis Orlando Perez</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Senior Public Health Specialist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Amparo Gordillo-Tobar</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6613EE">
            <w:pPr>
              <w:rPr>
                <w:color w:val="000000"/>
              </w:rPr>
            </w:pPr>
            <w:r w:rsidRPr="004E341D">
              <w:rPr>
                <w:color w:val="000000"/>
              </w:rPr>
              <w:t>S</w:t>
            </w:r>
            <w:r>
              <w:rPr>
                <w:color w:val="000000"/>
              </w:rPr>
              <w:t>enio</w:t>
            </w:r>
            <w:r w:rsidRPr="004E341D">
              <w:rPr>
                <w:color w:val="000000"/>
              </w:rPr>
              <w:t xml:space="preserve">r </w:t>
            </w:r>
            <w:r w:rsidR="006613EE">
              <w:rPr>
                <w:color w:val="000000"/>
              </w:rPr>
              <w:t xml:space="preserve">Health </w:t>
            </w:r>
            <w:r w:rsidRPr="004E341D">
              <w:rPr>
                <w:color w:val="000000"/>
              </w:rPr>
              <w:t xml:space="preserve">Economist </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LCSHH</w:t>
            </w:r>
          </w:p>
        </w:tc>
      </w:tr>
      <w:tr w:rsidR="00B06A4D"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B06A4D" w:rsidRPr="004E341D" w:rsidRDefault="00B06A4D" w:rsidP="00F37D54">
            <w:pPr>
              <w:rPr>
                <w:color w:val="000000"/>
              </w:rPr>
            </w:pPr>
            <w:r>
              <w:rPr>
                <w:color w:val="000000"/>
              </w:rPr>
              <w:t>Daniela Romero</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B06A4D" w:rsidRPr="004E341D" w:rsidRDefault="00B06A4D" w:rsidP="00F37D54">
            <w:pPr>
              <w:rPr>
                <w:color w:val="000000"/>
              </w:rPr>
            </w:pPr>
            <w:r>
              <w:rPr>
                <w:color w:val="000000"/>
              </w:rPr>
              <w:t>Operations Analyst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B06A4D" w:rsidRPr="004E341D" w:rsidRDefault="00B06A4D"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Snezana Mitrovic</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Manager</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LCSPT</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lastRenderedPageBreak/>
              <w:t>Keisgner De Jesus Alfaro</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Senior Procurement Specialist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LCSPT</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Alvaro Larrea</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Senior Procurement Specialist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LCSPT</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Ana Maria Grofsmacht</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Procurement Specialist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LCSPT</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Elizabeth Grandio</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Junior Professional Associate</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LCSPT</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Alejandro Roger Solanot</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S</w:t>
            </w:r>
            <w:r w:rsidR="00E86084">
              <w:rPr>
                <w:color w:val="000000"/>
              </w:rPr>
              <w:t>enio</w:t>
            </w:r>
            <w:r w:rsidRPr="004E341D">
              <w:rPr>
                <w:color w:val="000000"/>
              </w:rPr>
              <w:t>r Financial Management Specialist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LCSFM</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Luz Maria Meyer</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rPr>
                <w:color w:val="000000"/>
              </w:rPr>
            </w:pPr>
            <w:r>
              <w:rPr>
                <w:color w:val="000000"/>
              </w:rPr>
              <w:t>Financial Management Analyst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Default="00F37D54" w:rsidP="00F37D54">
            <w:pPr>
              <w:jc w:val="center"/>
              <w:rPr>
                <w:color w:val="000000"/>
              </w:rPr>
            </w:pPr>
            <w:r>
              <w:rPr>
                <w:color w:val="000000"/>
              </w:rPr>
              <w:t>LCSFM</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411EEF">
            <w:pPr>
              <w:rPr>
                <w:color w:val="000000"/>
              </w:rPr>
            </w:pPr>
            <w:r>
              <w:rPr>
                <w:color w:val="000000"/>
              </w:rPr>
              <w:t>Alejandro Alcala</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Senior Counsel</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LEGES</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Maria Pia Cravero</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Junior Counsel</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LEGLE</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bookmarkStart w:id="204" w:name="TEAM_SUP_COL_1"/>
            <w:r w:rsidRPr="004E341D">
              <w:rPr>
                <w:color w:val="000000"/>
              </w:rPr>
              <w:t>Isabel Tomadin</w:t>
            </w:r>
            <w:bookmarkEnd w:id="204"/>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bookmarkStart w:id="205" w:name="TEAM_SUP_COL_2"/>
            <w:r w:rsidRPr="004E341D">
              <w:rPr>
                <w:color w:val="000000"/>
              </w:rPr>
              <w:t>Consultant</w:t>
            </w:r>
            <w:bookmarkEnd w:id="205"/>
            <w:r w:rsidRPr="004E341D">
              <w:rPr>
                <w:color w:val="000000"/>
              </w:rPr>
              <w:t>, Indigenous People</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bookmarkStart w:id="206" w:name="TEAM_SUP_COL_3"/>
            <w:r w:rsidRPr="004E341D">
              <w:rPr>
                <w:color w:val="000000"/>
              </w:rPr>
              <w:t>LCSSO</w:t>
            </w:r>
            <w:bookmarkEnd w:id="206"/>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Marcos Miranda</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Consultant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Rocio Schmunis</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Consultant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EASHD</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Isabellla Bablumian</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Consultant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Julie Ruel Bergeron</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E T Consultant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263634" w:rsidRDefault="00F37D54" w:rsidP="00263634">
            <w:pPr>
              <w:rPr>
                <w:color w:val="000000"/>
              </w:rPr>
            </w:pPr>
            <w:r w:rsidRPr="00263634">
              <w:rPr>
                <w:color w:val="000000"/>
              </w:rPr>
              <w:t>Veronica Osorio</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263634" w:rsidRDefault="00F37D54" w:rsidP="00F37D54">
            <w:pPr>
              <w:rPr>
                <w:color w:val="000000"/>
              </w:rPr>
            </w:pPr>
            <w:r w:rsidRPr="00263634">
              <w:rPr>
                <w:color w:val="000000"/>
              </w:rPr>
              <w:t>Consultant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263634" w:rsidRDefault="00F37D54" w:rsidP="00F37D54">
            <w:pPr>
              <w:jc w:val="center"/>
              <w:rPr>
                <w:color w:val="000000"/>
              </w:rPr>
            </w:pPr>
            <w:r w:rsidRPr="00263634">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Sarah Bailey</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Junior Professional Associate</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LCSHD</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Santiago Scialabba</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sidRPr="004E341D">
              <w:rPr>
                <w:color w:val="000000"/>
              </w:rPr>
              <w:t>Program Assistant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sidRPr="004E341D">
              <w:rPr>
                <w:color w:val="000000"/>
              </w:rPr>
              <w:t>LCC7C</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Gabriela Moreno Zevallos</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Program Assistant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LCSHH</w:t>
            </w:r>
          </w:p>
        </w:tc>
      </w:tr>
      <w:tr w:rsidR="00F37D54" w:rsidRPr="004E341D" w:rsidTr="00411EEF">
        <w:tc>
          <w:tcPr>
            <w:tcW w:w="271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Silvestre Rios Centeno</w:t>
            </w:r>
          </w:p>
        </w:tc>
        <w:tc>
          <w:tcPr>
            <w:tcW w:w="4359"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rPr>
                <w:color w:val="000000"/>
              </w:rPr>
            </w:pPr>
            <w:r>
              <w:rPr>
                <w:color w:val="000000"/>
              </w:rPr>
              <w:t>Team Assistant</w:t>
            </w:r>
          </w:p>
        </w:tc>
        <w:tc>
          <w:tcPr>
            <w:tcW w:w="1581" w:type="dxa"/>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4E341D" w:rsidRDefault="00F37D54" w:rsidP="00F37D54">
            <w:pPr>
              <w:jc w:val="center"/>
              <w:rPr>
                <w:color w:val="000000"/>
              </w:rPr>
            </w:pPr>
            <w:r>
              <w:rPr>
                <w:color w:val="000000"/>
              </w:rPr>
              <w:t>LCSHD</w:t>
            </w:r>
          </w:p>
        </w:tc>
      </w:tr>
    </w:tbl>
    <w:p w:rsidR="00F37D54" w:rsidRDefault="00F37D54" w:rsidP="00F37D54"/>
    <w:p w:rsidR="00F37D54" w:rsidRDefault="00F37D54" w:rsidP="00F37D54"/>
    <w:p w:rsidR="00F37D54" w:rsidRPr="00816C1F" w:rsidRDefault="00F37D54" w:rsidP="00F37D54">
      <w:pPr>
        <w:pStyle w:val="Heading3"/>
        <w:jc w:val="both"/>
        <w:rPr>
          <w:sz w:val="24"/>
          <w:szCs w:val="24"/>
        </w:rPr>
      </w:pPr>
      <w:r w:rsidRPr="00816C1F">
        <w:rPr>
          <w:sz w:val="24"/>
          <w:szCs w:val="24"/>
        </w:rPr>
        <w:t>(b) Staff Time and Cost</w:t>
      </w:r>
    </w:p>
    <w:tbl>
      <w:tblPr>
        <w:tblW w:w="5000" w:type="pct"/>
        <w:tblCellMar>
          <w:top w:w="10" w:type="dxa"/>
          <w:left w:w="10" w:type="dxa"/>
          <w:bottom w:w="10" w:type="dxa"/>
          <w:right w:w="10" w:type="dxa"/>
        </w:tblCellMar>
        <w:tblLook w:val="0000" w:firstRow="0" w:lastRow="0" w:firstColumn="0" w:lastColumn="0" w:noHBand="0" w:noVBand="0"/>
      </w:tblPr>
      <w:tblGrid>
        <w:gridCol w:w="3249"/>
        <w:gridCol w:w="2700"/>
        <w:gridCol w:w="2711"/>
      </w:tblGrid>
      <w:tr w:rsidR="00F37D54" w:rsidRPr="00816C1F" w:rsidTr="00F37D54">
        <w:tc>
          <w:tcPr>
            <w:tcW w:w="1876" w:type="pct"/>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rsidR="00F37D54" w:rsidRPr="00816C1F" w:rsidRDefault="00F37D54" w:rsidP="00F37D54">
            <w:pPr>
              <w:pStyle w:val="Heading3"/>
              <w:keepNext/>
              <w:jc w:val="center"/>
              <w:rPr>
                <w:sz w:val="24"/>
                <w:szCs w:val="24"/>
              </w:rPr>
            </w:pPr>
            <w:r w:rsidRPr="00816C1F">
              <w:rPr>
                <w:sz w:val="24"/>
                <w:szCs w:val="24"/>
              </w:rPr>
              <w:t>Stage of Project Cycle</w:t>
            </w:r>
          </w:p>
        </w:tc>
        <w:tc>
          <w:tcPr>
            <w:tcW w:w="3124" w:type="pct"/>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rsidR="00F37D54" w:rsidRPr="00816C1F" w:rsidRDefault="00F37D54" w:rsidP="00F37D54">
            <w:pPr>
              <w:pStyle w:val="Heading3"/>
              <w:keepNext/>
              <w:jc w:val="center"/>
              <w:rPr>
                <w:sz w:val="24"/>
                <w:szCs w:val="24"/>
              </w:rPr>
            </w:pPr>
            <w:r w:rsidRPr="00816C1F">
              <w:rPr>
                <w:sz w:val="24"/>
                <w:szCs w:val="24"/>
              </w:rPr>
              <w:t>Staff Time and Cost (Bank Budget Only)</w:t>
            </w:r>
          </w:p>
        </w:tc>
      </w:tr>
      <w:tr w:rsidR="00F37D54" w:rsidRPr="00816C1F" w:rsidTr="00F37D54">
        <w:tc>
          <w:tcPr>
            <w:tcW w:w="1876" w:type="pct"/>
            <w:vMerge/>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pStyle w:val="Heading3"/>
              <w:keepNext/>
              <w:jc w:val="both"/>
              <w:rPr>
                <w:sz w:val="24"/>
                <w:szCs w:val="24"/>
              </w:rPr>
            </w:pPr>
          </w:p>
        </w:tc>
        <w:tc>
          <w:tcPr>
            <w:tcW w:w="1559"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F37D54" w:rsidRPr="00816C1F" w:rsidRDefault="00F37D54" w:rsidP="00F37D54">
            <w:pPr>
              <w:pStyle w:val="Heading3"/>
              <w:keepNext/>
              <w:jc w:val="center"/>
              <w:rPr>
                <w:sz w:val="24"/>
                <w:szCs w:val="24"/>
              </w:rPr>
            </w:pPr>
            <w:r w:rsidRPr="00816C1F">
              <w:rPr>
                <w:sz w:val="24"/>
                <w:szCs w:val="24"/>
              </w:rPr>
              <w:t>No. of staff weeks</w:t>
            </w:r>
          </w:p>
        </w:tc>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F37D54" w:rsidRPr="00816C1F" w:rsidRDefault="00F37D54" w:rsidP="00F37D54">
            <w:pPr>
              <w:pStyle w:val="Heading3"/>
              <w:keepNext/>
              <w:jc w:val="center"/>
              <w:rPr>
                <w:sz w:val="24"/>
                <w:szCs w:val="24"/>
              </w:rPr>
            </w:pPr>
            <w:r w:rsidRPr="00816C1F">
              <w:rPr>
                <w:sz w:val="24"/>
                <w:szCs w:val="24"/>
              </w:rPr>
              <w:t>USD Thousands (including travel and consultant costs)</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pStyle w:val="Heading3"/>
              <w:jc w:val="both"/>
              <w:rPr>
                <w:sz w:val="24"/>
                <w:szCs w:val="24"/>
              </w:rPr>
            </w:pPr>
            <w:r w:rsidRPr="00816C1F">
              <w:rPr>
                <w:sz w:val="24"/>
                <w:szCs w:val="24"/>
              </w:rPr>
              <w:t>Lending</w:t>
            </w:r>
          </w:p>
        </w:tc>
        <w:tc>
          <w:tcPr>
            <w:tcW w:w="1559"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pStyle w:val="Heading3"/>
              <w:jc w:val="both"/>
              <w:rPr>
                <w:sz w:val="24"/>
                <w:szCs w:val="24"/>
              </w:rPr>
            </w:pPr>
          </w:p>
        </w:tc>
        <w:tc>
          <w:tcPr>
            <w:tcW w:w="1565"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pStyle w:val="Heading3"/>
              <w:jc w:val="both"/>
              <w:rPr>
                <w:sz w:val="24"/>
                <w:szCs w:val="24"/>
              </w:rPr>
            </w:pP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ind w:left="180"/>
              <w:jc w:val="both"/>
              <w:rPr>
                <w:rStyle w:val="Strong"/>
                <w:b w:val="0"/>
                <w:color w:val="000000"/>
              </w:rPr>
            </w:pPr>
            <w:r w:rsidRPr="00816C1F">
              <w:rPr>
                <w:rStyle w:val="Strong"/>
                <w:color w:val="000000"/>
              </w:rPr>
              <w:t xml:space="preserve"> FY</w:t>
            </w:r>
            <w:r>
              <w:rPr>
                <w:rStyle w:val="Strong"/>
                <w:color w:val="000000"/>
              </w:rPr>
              <w:t>1</w:t>
            </w:r>
            <w:r w:rsidRPr="00816C1F">
              <w:rPr>
                <w:rStyle w:val="Strong"/>
                <w:color w:val="000000"/>
              </w:rPr>
              <w:t>0</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r>
              <w:rPr>
                <w:color w:val="000000"/>
              </w:rPr>
              <w:t>43.38</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r>
              <w:rPr>
                <w:color w:val="000000"/>
              </w:rPr>
              <w:t>229.28</w:t>
            </w:r>
          </w:p>
        </w:tc>
      </w:tr>
      <w:tr w:rsidR="00F37D54" w:rsidRPr="00816C1F" w:rsidTr="00F37D54">
        <w:tc>
          <w:tcPr>
            <w:tcW w:w="1876" w:type="pct"/>
            <w:tcBorders>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jc w:val="both"/>
              <w:rPr>
                <w:color w:val="000000"/>
              </w:rPr>
            </w:pPr>
            <w:r w:rsidRPr="00816C1F">
              <w:rPr>
                <w:rStyle w:val="Strong"/>
                <w:color w:val="000000"/>
              </w:rPr>
              <w:t>Sub-total:</w:t>
            </w:r>
          </w:p>
        </w:tc>
        <w:tc>
          <w:tcPr>
            <w:tcW w:w="1559" w:type="pct"/>
            <w:tcBorders>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b/>
                <w:color w:val="000000"/>
              </w:rPr>
            </w:pPr>
            <w:r>
              <w:rPr>
                <w:b/>
                <w:color w:val="000000"/>
              </w:rPr>
              <w:t>43</w:t>
            </w:r>
            <w:r w:rsidRPr="00816C1F">
              <w:rPr>
                <w:b/>
                <w:color w:val="000000"/>
              </w:rPr>
              <w:t>.</w:t>
            </w:r>
            <w:r>
              <w:rPr>
                <w:b/>
                <w:color w:val="000000"/>
              </w:rPr>
              <w:t>3</w:t>
            </w:r>
            <w:r w:rsidRPr="00816C1F">
              <w:rPr>
                <w:b/>
                <w:color w:val="000000"/>
              </w:rPr>
              <w:t>8</w:t>
            </w:r>
          </w:p>
        </w:tc>
        <w:tc>
          <w:tcPr>
            <w:tcW w:w="1565" w:type="pct"/>
            <w:tcBorders>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b/>
                <w:color w:val="000000"/>
              </w:rPr>
            </w:pPr>
            <w:r w:rsidRPr="00816C1F">
              <w:rPr>
                <w:b/>
                <w:color w:val="000000"/>
              </w:rPr>
              <w:t>2</w:t>
            </w:r>
            <w:r>
              <w:rPr>
                <w:b/>
                <w:color w:val="000000"/>
              </w:rPr>
              <w:t>29</w:t>
            </w:r>
            <w:r w:rsidRPr="00816C1F">
              <w:rPr>
                <w:b/>
                <w:color w:val="000000"/>
              </w:rPr>
              <w:t>.</w:t>
            </w:r>
            <w:r>
              <w:rPr>
                <w:b/>
                <w:color w:val="000000"/>
              </w:rPr>
              <w:t>28</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jc w:val="both"/>
              <w:rPr>
                <w:color w:val="000000"/>
              </w:rPr>
            </w:pPr>
            <w:r w:rsidRPr="00816C1F">
              <w:rPr>
                <w:rStyle w:val="Strong"/>
                <w:color w:val="000000"/>
              </w:rPr>
              <w:t>Supervision/ICR</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ind w:left="180"/>
              <w:jc w:val="both"/>
              <w:rPr>
                <w:rStyle w:val="Strong"/>
                <w:b w:val="0"/>
                <w:color w:val="000000"/>
              </w:rPr>
            </w:pPr>
            <w:r w:rsidRPr="00816C1F">
              <w:rPr>
                <w:rStyle w:val="Strong"/>
                <w:color w:val="000000"/>
              </w:rPr>
              <w:t xml:space="preserve"> FY</w:t>
            </w:r>
            <w:r>
              <w:rPr>
                <w:rStyle w:val="Strong"/>
                <w:color w:val="000000"/>
              </w:rPr>
              <w:t>10</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r>
              <w:rPr>
                <w:color w:val="000000"/>
              </w:rPr>
              <w:t>11</w:t>
            </w:r>
            <w:r w:rsidRPr="00816C1F">
              <w:rPr>
                <w:color w:val="000000"/>
              </w:rPr>
              <w:t>.0</w:t>
            </w:r>
            <w:r>
              <w:rPr>
                <w:color w:val="000000"/>
              </w:rPr>
              <w:t>3</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r>
              <w:rPr>
                <w:color w:val="000000"/>
              </w:rPr>
              <w:t>36</w:t>
            </w:r>
            <w:r w:rsidRPr="00816C1F">
              <w:rPr>
                <w:color w:val="000000"/>
              </w:rPr>
              <w:t>.</w:t>
            </w:r>
            <w:r>
              <w:rPr>
                <w:color w:val="000000"/>
              </w:rPr>
              <w:t>33</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ind w:left="180"/>
              <w:jc w:val="both"/>
              <w:rPr>
                <w:rStyle w:val="Strong"/>
                <w:b w:val="0"/>
                <w:color w:val="000000"/>
              </w:rPr>
            </w:pPr>
            <w:r w:rsidRPr="00816C1F">
              <w:rPr>
                <w:rStyle w:val="Strong"/>
                <w:color w:val="000000"/>
              </w:rPr>
              <w:t xml:space="preserve"> FY</w:t>
            </w:r>
            <w:r>
              <w:rPr>
                <w:rStyle w:val="Strong"/>
                <w:color w:val="000000"/>
              </w:rPr>
              <w:t>11</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r>
              <w:rPr>
                <w:color w:val="000000"/>
              </w:rPr>
              <w:t>11</w:t>
            </w:r>
            <w:r w:rsidRPr="00816C1F">
              <w:rPr>
                <w:color w:val="000000"/>
              </w:rPr>
              <w:t>.</w:t>
            </w:r>
            <w:r>
              <w:rPr>
                <w:color w:val="000000"/>
              </w:rPr>
              <w:t>31</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r>
              <w:rPr>
                <w:color w:val="000000"/>
              </w:rPr>
              <w:t>69</w:t>
            </w:r>
            <w:r w:rsidRPr="00816C1F">
              <w:rPr>
                <w:color w:val="000000"/>
              </w:rPr>
              <w:t>.</w:t>
            </w:r>
            <w:r>
              <w:rPr>
                <w:color w:val="000000"/>
              </w:rPr>
              <w:t>27</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ind w:left="180"/>
              <w:jc w:val="both"/>
              <w:rPr>
                <w:rStyle w:val="Strong"/>
                <w:b w:val="0"/>
                <w:color w:val="000000"/>
              </w:rPr>
            </w:pPr>
            <w:r w:rsidRPr="00816C1F">
              <w:rPr>
                <w:rStyle w:val="Strong"/>
                <w:color w:val="000000"/>
              </w:rPr>
              <w:t xml:space="preserve"> FY</w:t>
            </w:r>
            <w:r>
              <w:rPr>
                <w:rStyle w:val="Strong"/>
                <w:color w:val="000000"/>
              </w:rPr>
              <w:t>12</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r w:rsidRPr="00816C1F">
              <w:rPr>
                <w:color w:val="000000"/>
              </w:rPr>
              <w:t>1</w:t>
            </w:r>
            <w:r>
              <w:rPr>
                <w:color w:val="000000"/>
              </w:rPr>
              <w:t>4</w:t>
            </w:r>
            <w:r w:rsidRPr="00816C1F">
              <w:rPr>
                <w:color w:val="000000"/>
              </w:rPr>
              <w:t>.</w:t>
            </w:r>
            <w:r>
              <w:rPr>
                <w:color w:val="000000"/>
              </w:rPr>
              <w:t>55</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r>
              <w:rPr>
                <w:color w:val="000000"/>
              </w:rPr>
              <w:t>74</w:t>
            </w:r>
            <w:r w:rsidRPr="00816C1F">
              <w:rPr>
                <w:color w:val="000000"/>
              </w:rPr>
              <w:t>.</w:t>
            </w:r>
            <w:r>
              <w:rPr>
                <w:color w:val="000000"/>
              </w:rPr>
              <w:t>52</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ind w:left="180"/>
              <w:jc w:val="both"/>
              <w:rPr>
                <w:rStyle w:val="Strong"/>
                <w:b w:val="0"/>
                <w:color w:val="000000"/>
              </w:rPr>
            </w:pPr>
            <w:r w:rsidRPr="00816C1F">
              <w:rPr>
                <w:rStyle w:val="Strong"/>
                <w:color w:val="000000"/>
              </w:rPr>
              <w:t xml:space="preserve"> FY</w:t>
            </w:r>
            <w:r>
              <w:rPr>
                <w:rStyle w:val="Strong"/>
                <w:color w:val="000000"/>
              </w:rPr>
              <w:t>13</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r>
              <w:rPr>
                <w:color w:val="000000"/>
              </w:rPr>
              <w:t>11</w:t>
            </w:r>
            <w:r w:rsidRPr="00816C1F">
              <w:rPr>
                <w:color w:val="000000"/>
              </w:rPr>
              <w:t>.</w:t>
            </w:r>
            <w:r>
              <w:rPr>
                <w:color w:val="000000"/>
              </w:rPr>
              <w:t>76</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r>
              <w:rPr>
                <w:color w:val="000000"/>
              </w:rPr>
              <w:t>41</w:t>
            </w:r>
            <w:r w:rsidRPr="00816C1F">
              <w:rPr>
                <w:color w:val="000000"/>
              </w:rPr>
              <w:t>.</w:t>
            </w:r>
            <w:r>
              <w:rPr>
                <w:color w:val="000000"/>
              </w:rPr>
              <w:t>37</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ind w:left="180"/>
              <w:jc w:val="both"/>
              <w:rPr>
                <w:rStyle w:val="Strong"/>
                <w:b w:val="0"/>
                <w:color w:val="000000"/>
              </w:rPr>
            </w:pPr>
            <w:r w:rsidRPr="00816C1F">
              <w:rPr>
                <w:rStyle w:val="Strong"/>
                <w:color w:val="000000"/>
              </w:rPr>
              <w:t xml:space="preserve"> FY1</w:t>
            </w:r>
            <w:r>
              <w:rPr>
                <w:rStyle w:val="Strong"/>
                <w:color w:val="000000"/>
              </w:rPr>
              <w:t>4</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r>
              <w:rPr>
                <w:color w:val="000000"/>
              </w:rPr>
              <w:t>7</w:t>
            </w:r>
            <w:r w:rsidRPr="00816C1F">
              <w:rPr>
                <w:color w:val="000000"/>
              </w:rPr>
              <w:t>.</w:t>
            </w:r>
            <w:r>
              <w:rPr>
                <w:color w:val="000000"/>
              </w:rPr>
              <w:t>92</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r>
              <w:rPr>
                <w:color w:val="000000"/>
              </w:rPr>
              <w:t>44</w:t>
            </w:r>
            <w:r w:rsidRPr="00816C1F">
              <w:rPr>
                <w:color w:val="000000"/>
              </w:rPr>
              <w:t>.</w:t>
            </w:r>
            <w:r>
              <w:rPr>
                <w:color w:val="000000"/>
              </w:rPr>
              <w:t>78</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jc w:val="both"/>
              <w:rPr>
                <w:color w:val="000000"/>
              </w:rPr>
            </w:pPr>
            <w:r w:rsidRPr="00816C1F">
              <w:rPr>
                <w:rStyle w:val="Strong"/>
                <w:color w:val="000000"/>
              </w:rPr>
              <w:t>Sub-total:</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color w:val="000000"/>
              </w:rPr>
            </w:pPr>
            <w:r>
              <w:rPr>
                <w:color w:val="000000"/>
              </w:rPr>
              <w:t>56</w:t>
            </w:r>
            <w:r w:rsidRPr="00816C1F">
              <w:rPr>
                <w:color w:val="000000"/>
              </w:rPr>
              <w:t>.</w:t>
            </w:r>
            <w:r>
              <w:rPr>
                <w:color w:val="000000"/>
              </w:rPr>
              <w:t>57</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color w:val="000000"/>
              </w:rPr>
            </w:pPr>
            <w:r>
              <w:rPr>
                <w:color w:val="000000"/>
              </w:rPr>
              <w:t>266</w:t>
            </w:r>
            <w:r w:rsidRPr="00816C1F">
              <w:rPr>
                <w:color w:val="000000"/>
              </w:rPr>
              <w:t>.</w:t>
            </w:r>
            <w:r>
              <w:rPr>
                <w:color w:val="000000"/>
              </w:rPr>
              <w:t>27</w:t>
            </w:r>
          </w:p>
        </w:tc>
      </w:tr>
      <w:tr w:rsidR="00F37D54" w:rsidRPr="00816C1F" w:rsidTr="00F37D54">
        <w:tc>
          <w:tcPr>
            <w:tcW w:w="1876" w:type="pct"/>
            <w:tcBorders>
              <w:top w:val="single" w:sz="4" w:space="0" w:color="B1B1B1"/>
              <w:left w:val="single" w:sz="4" w:space="0" w:color="B1B1B1"/>
              <w:bottom w:val="single" w:sz="4" w:space="0" w:color="B1B1B1"/>
              <w:right w:val="single" w:sz="4" w:space="0" w:color="B1B1B1"/>
            </w:tcBorders>
            <w:vAlign w:val="center"/>
          </w:tcPr>
          <w:p w:rsidR="00F37D54" w:rsidRPr="00816C1F" w:rsidRDefault="00F37D54" w:rsidP="00F37D54">
            <w:pPr>
              <w:spacing w:line="200" w:lineRule="atLeast"/>
              <w:jc w:val="both"/>
              <w:rPr>
                <w:rStyle w:val="Strong"/>
                <w:color w:val="000000"/>
              </w:rPr>
            </w:pPr>
            <w:r w:rsidRPr="00816C1F">
              <w:rPr>
                <w:rStyle w:val="Strong"/>
                <w:color w:val="000000"/>
              </w:rPr>
              <w:t>TOTAL</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31"/>
              </w:tabs>
              <w:spacing w:line="200" w:lineRule="atLeast"/>
              <w:jc w:val="both"/>
              <w:rPr>
                <w:b/>
                <w:color w:val="000000"/>
              </w:rPr>
            </w:pPr>
            <w:r>
              <w:rPr>
                <w:b/>
                <w:color w:val="000000"/>
              </w:rPr>
              <w:t>99</w:t>
            </w:r>
            <w:r w:rsidRPr="00816C1F">
              <w:rPr>
                <w:b/>
                <w:color w:val="000000"/>
              </w:rPr>
              <w:t>.</w:t>
            </w:r>
            <w:r>
              <w:rPr>
                <w:b/>
                <w:color w:val="000000"/>
              </w:rPr>
              <w:t>95</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F37D54" w:rsidRPr="00816C1F" w:rsidRDefault="00F37D54" w:rsidP="00F37D54">
            <w:pPr>
              <w:tabs>
                <w:tab w:val="decimal" w:pos="1425"/>
              </w:tabs>
              <w:spacing w:line="200" w:lineRule="atLeast"/>
              <w:jc w:val="both"/>
              <w:rPr>
                <w:b/>
                <w:color w:val="000000"/>
              </w:rPr>
            </w:pPr>
            <w:r>
              <w:rPr>
                <w:b/>
                <w:color w:val="000000"/>
              </w:rPr>
              <w:t>495</w:t>
            </w:r>
            <w:r w:rsidRPr="00816C1F">
              <w:rPr>
                <w:b/>
                <w:color w:val="000000"/>
              </w:rPr>
              <w:t>.</w:t>
            </w:r>
            <w:r>
              <w:rPr>
                <w:b/>
                <w:color w:val="000000"/>
              </w:rPr>
              <w:t>55</w:t>
            </w:r>
          </w:p>
        </w:tc>
      </w:tr>
    </w:tbl>
    <w:p w:rsidR="00F217A0" w:rsidRPr="00816C1F" w:rsidRDefault="00F217A0" w:rsidP="003262E3">
      <w:pPr>
        <w:pStyle w:val="Heading2"/>
        <w:jc w:val="both"/>
        <w:rPr>
          <w:sz w:val="24"/>
          <w:szCs w:val="24"/>
        </w:rPr>
      </w:pPr>
      <w:bookmarkStart w:id="207" w:name="TIMECOST_SUP"/>
      <w:bookmarkStart w:id="208" w:name="_Toc158019381"/>
      <w:bookmarkEnd w:id="207"/>
    </w:p>
    <w:p w:rsidR="00F217A0" w:rsidRPr="00816C1F" w:rsidRDefault="00F217A0">
      <w:pPr>
        <w:rPr>
          <w:b/>
          <w:bCs/>
          <w:color w:val="000000"/>
        </w:rPr>
      </w:pPr>
      <w:r w:rsidRPr="00816C1F">
        <w:br w:type="page"/>
      </w:r>
    </w:p>
    <w:p w:rsidR="00C67D43" w:rsidRPr="004713F4" w:rsidRDefault="000411CD" w:rsidP="004713F4">
      <w:pPr>
        <w:pStyle w:val="Heading2"/>
        <w:jc w:val="center"/>
        <w:rPr>
          <w:sz w:val="26"/>
          <w:szCs w:val="26"/>
        </w:rPr>
      </w:pPr>
      <w:bookmarkStart w:id="209" w:name="_Toc384896521"/>
      <w:r w:rsidRPr="004713F4">
        <w:rPr>
          <w:sz w:val="26"/>
          <w:szCs w:val="26"/>
        </w:rPr>
        <w:lastRenderedPageBreak/>
        <w:t>Annex 5. Beneficiary Survey Results</w:t>
      </w:r>
      <w:bookmarkEnd w:id="208"/>
      <w:bookmarkEnd w:id="209"/>
    </w:p>
    <w:p w:rsidR="004713F4" w:rsidRDefault="004713F4" w:rsidP="003262E3">
      <w:pPr>
        <w:jc w:val="both"/>
      </w:pPr>
    </w:p>
    <w:p w:rsidR="000411CD" w:rsidRPr="00816C1F" w:rsidRDefault="00A85878" w:rsidP="003262E3">
      <w:pPr>
        <w:jc w:val="both"/>
      </w:pPr>
      <w:r w:rsidRPr="00816C1F">
        <w:t>Not Applicable</w:t>
      </w:r>
    </w:p>
    <w:p w:rsidR="00E07BAC" w:rsidRPr="00816C1F" w:rsidRDefault="00E07BAC" w:rsidP="003262E3">
      <w:pPr>
        <w:jc w:val="both"/>
      </w:pPr>
      <w:bookmarkStart w:id="210" w:name="ANN8"/>
      <w:bookmarkEnd w:id="210"/>
    </w:p>
    <w:p w:rsidR="00E03DE1" w:rsidRPr="00816C1F" w:rsidRDefault="00E03DE1" w:rsidP="003262E3">
      <w:pPr>
        <w:jc w:val="both"/>
        <w:rPr>
          <w:vanish/>
        </w:rPr>
      </w:pPr>
      <w:r w:rsidRPr="00816C1F">
        <w:br w:type="page"/>
      </w:r>
    </w:p>
    <w:p w:rsidR="00C67D43" w:rsidRPr="004713F4" w:rsidRDefault="000411CD" w:rsidP="004713F4">
      <w:pPr>
        <w:pStyle w:val="Heading2"/>
        <w:jc w:val="center"/>
        <w:rPr>
          <w:sz w:val="26"/>
          <w:szCs w:val="26"/>
        </w:rPr>
      </w:pPr>
      <w:bookmarkStart w:id="211" w:name="_Toc158019382"/>
      <w:bookmarkStart w:id="212" w:name="_Toc384896522"/>
      <w:r w:rsidRPr="004713F4">
        <w:rPr>
          <w:sz w:val="26"/>
          <w:szCs w:val="26"/>
        </w:rPr>
        <w:t>Annex 6. Stakeholder Workshop Report and Results</w:t>
      </w:r>
      <w:bookmarkEnd w:id="211"/>
      <w:bookmarkEnd w:id="212"/>
    </w:p>
    <w:p w:rsidR="004713F4" w:rsidRDefault="004713F4" w:rsidP="003262E3">
      <w:pPr>
        <w:jc w:val="both"/>
      </w:pPr>
    </w:p>
    <w:p w:rsidR="000411CD" w:rsidRPr="00816C1F" w:rsidRDefault="00A85878" w:rsidP="003262E3">
      <w:pPr>
        <w:jc w:val="both"/>
      </w:pPr>
      <w:r w:rsidRPr="00816C1F">
        <w:t>Not Applicable</w:t>
      </w:r>
    </w:p>
    <w:p w:rsidR="00775151" w:rsidRPr="00816C1F" w:rsidRDefault="00775151" w:rsidP="003262E3">
      <w:pPr>
        <w:jc w:val="both"/>
      </w:pPr>
      <w:bookmarkStart w:id="213" w:name="ANN9"/>
      <w:bookmarkEnd w:id="213"/>
    </w:p>
    <w:p w:rsidR="00E03DE1" w:rsidRPr="004713F4" w:rsidRDefault="00E03DE1" w:rsidP="004713F4">
      <w:pPr>
        <w:jc w:val="center"/>
        <w:rPr>
          <w:vanish/>
          <w:sz w:val="26"/>
          <w:szCs w:val="26"/>
        </w:rPr>
      </w:pPr>
      <w:r w:rsidRPr="00816C1F">
        <w:br w:type="page"/>
      </w:r>
    </w:p>
    <w:p w:rsidR="00C67D43" w:rsidRPr="004713F4" w:rsidRDefault="00C67D43" w:rsidP="004713F4">
      <w:pPr>
        <w:pStyle w:val="Heading2"/>
        <w:jc w:val="center"/>
        <w:rPr>
          <w:sz w:val="26"/>
          <w:szCs w:val="26"/>
        </w:rPr>
      </w:pPr>
      <w:bookmarkStart w:id="214" w:name="_IL22"/>
      <w:bookmarkStart w:id="215" w:name="_Toc158019383"/>
      <w:bookmarkStart w:id="216" w:name="_Toc384896523"/>
      <w:r w:rsidRPr="004713F4">
        <w:rPr>
          <w:sz w:val="26"/>
          <w:szCs w:val="26"/>
        </w:rPr>
        <w:t xml:space="preserve">Annex 7. </w:t>
      </w:r>
      <w:bookmarkStart w:id="217" w:name="ANN7_RE_LBL"/>
      <w:r w:rsidRPr="004713F4">
        <w:rPr>
          <w:sz w:val="26"/>
          <w:szCs w:val="26"/>
        </w:rPr>
        <w:t>Summary of Borrower's ICR and</w:t>
      </w:r>
      <w:r w:rsidR="008D4B11">
        <w:rPr>
          <w:sz w:val="26"/>
          <w:szCs w:val="26"/>
        </w:rPr>
        <w:t xml:space="preserve"> </w:t>
      </w:r>
      <w:r w:rsidRPr="004713F4">
        <w:rPr>
          <w:sz w:val="26"/>
          <w:szCs w:val="26"/>
        </w:rPr>
        <w:t>/</w:t>
      </w:r>
      <w:r w:rsidR="008D4B11">
        <w:rPr>
          <w:sz w:val="26"/>
          <w:szCs w:val="26"/>
        </w:rPr>
        <w:t xml:space="preserve"> </w:t>
      </w:r>
      <w:r w:rsidRPr="004713F4">
        <w:rPr>
          <w:sz w:val="26"/>
          <w:szCs w:val="26"/>
        </w:rPr>
        <w:t>or Comments on Draft ICR</w:t>
      </w:r>
      <w:bookmarkEnd w:id="214"/>
      <w:bookmarkEnd w:id="215"/>
      <w:bookmarkEnd w:id="216"/>
      <w:bookmarkEnd w:id="217"/>
    </w:p>
    <w:p w:rsidR="008F491A" w:rsidRDefault="008F491A" w:rsidP="00E4573C">
      <w:bookmarkStart w:id="218" w:name="ANN10"/>
      <w:bookmarkEnd w:id="218"/>
    </w:p>
    <w:p w:rsidR="0092331A" w:rsidRDefault="0092331A" w:rsidP="00E4573C"/>
    <w:p w:rsidR="0092331A" w:rsidRDefault="0092331A" w:rsidP="0092331A"/>
    <w:p w:rsidR="0092331A" w:rsidRDefault="0092331A" w:rsidP="0092331A">
      <w:pPr>
        <w:pStyle w:val="Default"/>
        <w:rPr>
          <w:rFonts w:ascii="Calibri" w:hAnsi="Calibri" w:cs="Calibri"/>
          <w:b/>
          <w:sz w:val="32"/>
          <w:szCs w:val="32"/>
        </w:rPr>
      </w:pPr>
      <w:r>
        <w:rPr>
          <w:noProof/>
        </w:rPr>
        <w:drawing>
          <wp:anchor distT="0" distB="0" distL="114300" distR="114300" simplePos="0" relativeHeight="251662336" behindDoc="0" locked="0" layoutInCell="1" allowOverlap="1" wp14:anchorId="2FC3DF3D" wp14:editId="0857F145">
            <wp:simplePos x="0" y="0"/>
            <wp:positionH relativeFrom="column">
              <wp:align>left</wp:align>
            </wp:positionH>
            <wp:positionV relativeFrom="paragraph">
              <wp:posOffset>147955</wp:posOffset>
            </wp:positionV>
            <wp:extent cx="2162175" cy="476250"/>
            <wp:effectExtent l="0" t="0" r="9525" b="0"/>
            <wp:wrapSquare wrapText="bothSides"/>
            <wp:docPr id="6" name="Picture 6" descr="ufis-logo-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fis-logo-mail.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621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32"/>
          <w:szCs w:val="32"/>
        </w:rPr>
        <w:t xml:space="preserve">                      </w:t>
      </w:r>
      <w:r>
        <w:rPr>
          <w:rFonts w:ascii="Calibri" w:hAnsi="Calibri" w:cs="Calibri"/>
          <w:b/>
          <w:noProof/>
          <w:sz w:val="32"/>
          <w:szCs w:val="32"/>
        </w:rPr>
        <w:drawing>
          <wp:inline distT="0" distB="0" distL="0" distR="0" wp14:anchorId="30CF89D5" wp14:editId="24E778D6">
            <wp:extent cx="1971675" cy="72326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723265"/>
                    </a:xfrm>
                    <a:prstGeom prst="rect">
                      <a:avLst/>
                    </a:prstGeom>
                    <a:noFill/>
                    <a:ln>
                      <a:noFill/>
                    </a:ln>
                  </pic:spPr>
                </pic:pic>
              </a:graphicData>
            </a:graphic>
          </wp:inline>
        </w:drawing>
      </w:r>
      <w:r>
        <w:rPr>
          <w:rFonts w:ascii="Calibri" w:hAnsi="Calibri" w:cs="Calibri"/>
          <w:b/>
          <w:sz w:val="32"/>
          <w:szCs w:val="32"/>
        </w:rPr>
        <w:br w:type="textWrapping" w:clear="all"/>
      </w:r>
    </w:p>
    <w:p w:rsidR="0092331A" w:rsidRDefault="0092331A" w:rsidP="0092331A">
      <w:pPr>
        <w:pStyle w:val="Default"/>
        <w:jc w:val="center"/>
        <w:rPr>
          <w:rFonts w:ascii="Calibri" w:hAnsi="Calibri" w:cs="Calibri"/>
          <w:b/>
          <w:sz w:val="40"/>
          <w:szCs w:val="40"/>
        </w:rPr>
      </w:pPr>
    </w:p>
    <w:p w:rsidR="0092331A" w:rsidRDefault="0092331A" w:rsidP="0092331A">
      <w:pPr>
        <w:pStyle w:val="Default"/>
        <w:jc w:val="center"/>
        <w:rPr>
          <w:rFonts w:ascii="Calibri" w:hAnsi="Calibri" w:cs="Calibri"/>
          <w:b/>
          <w:sz w:val="40"/>
          <w:szCs w:val="40"/>
        </w:rPr>
      </w:pPr>
    </w:p>
    <w:p w:rsidR="0092331A" w:rsidRPr="002A16B0" w:rsidRDefault="0092331A" w:rsidP="0092331A">
      <w:pPr>
        <w:pStyle w:val="Default"/>
        <w:jc w:val="center"/>
        <w:rPr>
          <w:rFonts w:ascii="Times New Roman" w:hAnsi="Times New Roman" w:cs="Times New Roman"/>
          <w:b/>
          <w:sz w:val="40"/>
          <w:szCs w:val="40"/>
        </w:rPr>
      </w:pPr>
    </w:p>
    <w:p w:rsidR="0092331A" w:rsidRPr="002A16B0" w:rsidRDefault="0092331A" w:rsidP="0092331A">
      <w:pPr>
        <w:pStyle w:val="Default"/>
        <w:jc w:val="center"/>
        <w:rPr>
          <w:rFonts w:ascii="Times New Roman" w:hAnsi="Times New Roman" w:cs="Times New Roman"/>
          <w:b/>
          <w:sz w:val="40"/>
          <w:szCs w:val="40"/>
        </w:rPr>
      </w:pPr>
      <w:r w:rsidRPr="002A16B0">
        <w:rPr>
          <w:rFonts w:ascii="Times New Roman" w:hAnsi="Times New Roman" w:cs="Times New Roman"/>
          <w:b/>
          <w:sz w:val="40"/>
          <w:szCs w:val="40"/>
        </w:rPr>
        <w:t>EMERGENCY PROJECT FOR THE PREVENTION, MONITORING AND CONTROL OF INFLUENZA H1N1 DISEASE TYPE</w:t>
      </w:r>
    </w:p>
    <w:p w:rsidR="0092331A" w:rsidRPr="002A16B0" w:rsidRDefault="0092331A" w:rsidP="0092331A">
      <w:pPr>
        <w:pStyle w:val="Default"/>
        <w:jc w:val="center"/>
        <w:rPr>
          <w:rFonts w:ascii="Times New Roman" w:hAnsi="Times New Roman" w:cs="Times New Roman"/>
          <w:b/>
          <w:sz w:val="40"/>
          <w:szCs w:val="40"/>
        </w:rPr>
      </w:pPr>
      <w:r w:rsidRPr="002A16B0">
        <w:rPr>
          <w:rFonts w:ascii="Times New Roman" w:hAnsi="Times New Roman" w:cs="Times New Roman"/>
          <w:b/>
          <w:sz w:val="40"/>
          <w:szCs w:val="40"/>
        </w:rPr>
        <w:t xml:space="preserve"> </w:t>
      </w:r>
    </w:p>
    <w:p w:rsidR="0092331A" w:rsidRPr="002A16B0" w:rsidRDefault="0092331A" w:rsidP="0092331A">
      <w:pPr>
        <w:pStyle w:val="Default"/>
        <w:jc w:val="center"/>
        <w:rPr>
          <w:rFonts w:ascii="Times New Roman" w:hAnsi="Times New Roman" w:cs="Times New Roman"/>
          <w:b/>
          <w:sz w:val="40"/>
          <w:szCs w:val="40"/>
        </w:rPr>
      </w:pPr>
      <w:r w:rsidRPr="002A16B0">
        <w:rPr>
          <w:rFonts w:ascii="Times New Roman" w:hAnsi="Times New Roman" w:cs="Times New Roman"/>
          <w:b/>
          <w:sz w:val="40"/>
          <w:szCs w:val="40"/>
        </w:rPr>
        <w:t xml:space="preserve">IBRD 7843-AR </w:t>
      </w:r>
    </w:p>
    <w:p w:rsidR="0092331A" w:rsidRPr="002A16B0" w:rsidRDefault="0092331A" w:rsidP="0092331A">
      <w:pPr>
        <w:rPr>
          <w:b/>
          <w:sz w:val="32"/>
          <w:szCs w:val="32"/>
        </w:rPr>
      </w:pPr>
    </w:p>
    <w:p w:rsidR="0092331A" w:rsidRDefault="0092331A" w:rsidP="0092331A">
      <w:pPr>
        <w:rPr>
          <w:b/>
          <w:sz w:val="32"/>
          <w:szCs w:val="32"/>
        </w:rPr>
      </w:pPr>
    </w:p>
    <w:p w:rsidR="0092331A" w:rsidRDefault="0092331A" w:rsidP="0092331A">
      <w:pPr>
        <w:rPr>
          <w:b/>
          <w:sz w:val="32"/>
          <w:szCs w:val="32"/>
        </w:rPr>
      </w:pPr>
    </w:p>
    <w:p w:rsidR="0092331A" w:rsidRDefault="0092331A" w:rsidP="0092331A">
      <w:pPr>
        <w:jc w:val="center"/>
        <w:rPr>
          <w:b/>
          <w:sz w:val="32"/>
          <w:szCs w:val="32"/>
        </w:rPr>
      </w:pPr>
      <w:r w:rsidRPr="00CA668D">
        <w:rPr>
          <w:b/>
          <w:sz w:val="32"/>
          <w:szCs w:val="32"/>
        </w:rPr>
        <w:t>Completion</w:t>
      </w:r>
      <w:r>
        <w:rPr>
          <w:b/>
          <w:sz w:val="32"/>
          <w:szCs w:val="32"/>
        </w:rPr>
        <w:t xml:space="preserve"> </w:t>
      </w:r>
      <w:r w:rsidRPr="00CA668D">
        <w:rPr>
          <w:b/>
          <w:sz w:val="32"/>
          <w:szCs w:val="32"/>
        </w:rPr>
        <w:t>Report</w:t>
      </w:r>
      <w:r>
        <w:rPr>
          <w:b/>
          <w:sz w:val="32"/>
          <w:szCs w:val="32"/>
        </w:rPr>
        <w:t xml:space="preserve"> </w:t>
      </w:r>
    </w:p>
    <w:p w:rsidR="0092331A" w:rsidRDefault="0092331A" w:rsidP="0092331A">
      <w:pPr>
        <w:jc w:val="center"/>
        <w:rPr>
          <w:b/>
          <w:sz w:val="32"/>
          <w:szCs w:val="32"/>
        </w:rPr>
      </w:pPr>
    </w:p>
    <w:p w:rsidR="0092331A" w:rsidRDefault="0092331A" w:rsidP="0092331A">
      <w:pPr>
        <w:jc w:val="center"/>
        <w:rPr>
          <w:b/>
          <w:sz w:val="32"/>
          <w:szCs w:val="32"/>
        </w:rPr>
      </w:pPr>
    </w:p>
    <w:p w:rsidR="0092331A" w:rsidRDefault="0092331A" w:rsidP="0092331A">
      <w:pPr>
        <w:jc w:val="center"/>
        <w:rPr>
          <w:b/>
          <w:sz w:val="32"/>
          <w:szCs w:val="32"/>
        </w:rPr>
      </w:pPr>
    </w:p>
    <w:p w:rsidR="0092331A" w:rsidRDefault="0092331A" w:rsidP="0092331A">
      <w:pPr>
        <w:jc w:val="center"/>
        <w:rPr>
          <w:b/>
          <w:sz w:val="32"/>
          <w:szCs w:val="32"/>
        </w:rPr>
      </w:pPr>
    </w:p>
    <w:p w:rsidR="0092331A" w:rsidRDefault="0092331A" w:rsidP="0092331A">
      <w:pPr>
        <w:jc w:val="center"/>
        <w:rPr>
          <w:b/>
          <w:sz w:val="32"/>
          <w:szCs w:val="32"/>
        </w:rPr>
      </w:pPr>
    </w:p>
    <w:p w:rsidR="0092331A" w:rsidRDefault="0092331A" w:rsidP="0092331A">
      <w:pPr>
        <w:jc w:val="center"/>
        <w:rPr>
          <w:b/>
        </w:rPr>
      </w:pPr>
      <w:r>
        <w:rPr>
          <w:b/>
        </w:rPr>
        <w:t>January, 2014</w:t>
      </w:r>
    </w:p>
    <w:p w:rsidR="0092331A" w:rsidRPr="008D3C1C" w:rsidRDefault="0092331A" w:rsidP="0092331A">
      <w:pPr>
        <w:jc w:val="center"/>
        <w:rPr>
          <w:b/>
          <w:sz w:val="32"/>
          <w:szCs w:val="32"/>
        </w:rPr>
      </w:pPr>
    </w:p>
    <w:p w:rsidR="0092331A" w:rsidRDefault="0092331A" w:rsidP="0092331A"/>
    <w:p w:rsidR="0092331A" w:rsidRDefault="0092331A">
      <w:r>
        <w:br w:type="page"/>
      </w: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lastRenderedPageBreak/>
        <w:t>INTRODUCTION</w:t>
      </w:r>
    </w:p>
    <w:p w:rsidR="00E4573C" w:rsidRPr="00E4573C" w:rsidRDefault="00E4573C" w:rsidP="00E4573C">
      <w:pPr>
        <w:pStyle w:val="Default"/>
        <w:jc w:val="both"/>
        <w:rPr>
          <w:rFonts w:ascii="Times New Roman" w:hAnsi="Times New Roman" w:cs="Times New Roman"/>
        </w:rPr>
      </w:pPr>
    </w:p>
    <w:p w:rsidR="00E4573C" w:rsidRPr="00E4573C" w:rsidRDefault="00E4573C" w:rsidP="00877EDA">
      <w:pPr>
        <w:pStyle w:val="ListParagraph"/>
        <w:numPr>
          <w:ilvl w:val="0"/>
          <w:numId w:val="12"/>
        </w:numPr>
        <w:ind w:left="0" w:firstLine="0"/>
        <w:jc w:val="both"/>
      </w:pPr>
      <w:r w:rsidRPr="00E4573C">
        <w:t xml:space="preserve">The purpose of this Closing and Results Report is to consolidate the most important information regarding the performance of the </w:t>
      </w:r>
      <w:r w:rsidRPr="00E4573C">
        <w:rPr>
          <w:b/>
        </w:rPr>
        <w:t>Emergency Project for the Prevention, Surveillance and Control of A/H1N1 Influenza Type Illnesses</w:t>
      </w:r>
      <w:r w:rsidRPr="00E4573C">
        <w:t xml:space="preserve">, indicating the primary actions carried out in the various project areas and the results achieved in terms of compliance with the objectives proposed in the project design. </w:t>
      </w:r>
    </w:p>
    <w:p w:rsidR="00E4573C" w:rsidRPr="00E4573C" w:rsidRDefault="00E4573C" w:rsidP="00E4573C">
      <w:pPr>
        <w:pStyle w:val="Default"/>
        <w:spacing w:line="276" w:lineRule="auto"/>
        <w:jc w:val="both"/>
        <w:rPr>
          <w:rFonts w:ascii="Times New Roman" w:hAnsi="Times New Roman" w:cs="Times New Roman"/>
        </w:rPr>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CHAPTER 1: Description of the initial situation and the context in which the Project was formulated</w:t>
      </w:r>
    </w:p>
    <w:p w:rsidR="00E4573C" w:rsidRPr="00E4573C" w:rsidRDefault="00E4573C" w:rsidP="00E4573C">
      <w:pPr>
        <w:pStyle w:val="Default"/>
        <w:jc w:val="both"/>
        <w:rPr>
          <w:rFonts w:ascii="Times New Roman" w:hAnsi="Times New Roman" w:cs="Times New Roman"/>
          <w:b/>
        </w:rPr>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1.1 Background </w:t>
      </w:r>
    </w:p>
    <w:p w:rsidR="00E4573C" w:rsidRPr="00E4573C" w:rsidRDefault="00E4573C" w:rsidP="00E4573C">
      <w:pPr>
        <w:jc w:val="both"/>
      </w:pPr>
    </w:p>
    <w:p w:rsidR="00A8084C" w:rsidRDefault="00A8084C" w:rsidP="00A8084C">
      <w:pPr>
        <w:pStyle w:val="ListParagraph"/>
        <w:numPr>
          <w:ilvl w:val="0"/>
          <w:numId w:val="12"/>
        </w:numPr>
        <w:ind w:left="0" w:firstLine="0"/>
        <w:jc w:val="both"/>
      </w:pPr>
      <w:r>
        <w:t xml:space="preserve">In 2009 </w:t>
      </w:r>
      <w:r w:rsidR="00E4573C" w:rsidRPr="00E4573C">
        <w:t>the epidemic generated by the A/H1N1 virus caus</w:t>
      </w:r>
      <w:r>
        <w:t>ed in Argentina</w:t>
      </w:r>
      <w:r w:rsidR="00E4573C" w:rsidRPr="00E4573C">
        <w:t xml:space="preserve"> 14,000 cases of hospitalization due to severe Acute Respiratory Infection (ARI) and more than 600 deaths throughout the country.</w:t>
      </w:r>
      <w:r>
        <w:t xml:space="preserve"> </w:t>
      </w:r>
      <w:r w:rsidRPr="00E4573C">
        <w:t>In that same year, scientific and epidemiological studies predicted another wave of influenza caused by the A/H1N1 virus, expected to affect the Southern Cone in 2010. Consequently, the Government of Argentina (GOA) requested a loan from the World Bank to help finance the costs associated with the efforts made by national authorities to prevent, monitor and control the A/H1N1 influenza epidemic, preparing an Emergency operation project under OP/BP 8.00.</w:t>
      </w:r>
    </w:p>
    <w:p w:rsidR="00E4573C" w:rsidRPr="00E4573C" w:rsidRDefault="00E4573C" w:rsidP="00E4573C">
      <w:pPr>
        <w:jc w:val="both"/>
      </w:pPr>
    </w:p>
    <w:p w:rsidR="00E4573C" w:rsidRDefault="00E4573C" w:rsidP="00877EDA">
      <w:pPr>
        <w:pStyle w:val="ListParagraph"/>
        <w:numPr>
          <w:ilvl w:val="0"/>
          <w:numId w:val="12"/>
        </w:numPr>
        <w:ind w:left="0" w:firstLine="0"/>
        <w:jc w:val="both"/>
      </w:pPr>
      <w:r w:rsidRPr="00E4573C">
        <w:t xml:space="preserve">The project was approved by the World Bank’s Board of Directors on February 21, 2010, and </w:t>
      </w:r>
      <w:r w:rsidR="00A8084C">
        <w:t>became effective</w:t>
      </w:r>
      <w:r w:rsidRPr="00E4573C">
        <w:t xml:space="preserve"> in April 2010. Nevertheless, the GOA initiated the planned actions in the originally-estimated time periods. In particular the vaccination campaign was initiated in late February 2010. This meant that the process of acquiring pandemic vaccines was carried out under national regulations, and acknowledgement of the process by the World Bank would be requested later.</w:t>
      </w:r>
    </w:p>
    <w:p w:rsidR="00E4573C" w:rsidRPr="00E4573C" w:rsidRDefault="00E4573C" w:rsidP="00E4573C">
      <w:pPr>
        <w:jc w:val="both"/>
      </w:pPr>
    </w:p>
    <w:p w:rsidR="00E4573C" w:rsidRDefault="00E4573C" w:rsidP="00877EDA">
      <w:pPr>
        <w:pStyle w:val="ListParagraph"/>
        <w:numPr>
          <w:ilvl w:val="0"/>
          <w:numId w:val="12"/>
        </w:numPr>
        <w:ind w:left="0" w:firstLine="0"/>
        <w:jc w:val="both"/>
      </w:pPr>
      <w:r w:rsidRPr="00E4573C">
        <w:t xml:space="preserve">With the project, the GOA was seeking—in addition to controlling a potential new pandemic wave—to strengthen the country’s overall epidemiological response system, and carry out actions for improving the surveillance system and contributing to the improvement of the network of hospitals for symptomatic patients throughout the country. </w:t>
      </w:r>
    </w:p>
    <w:p w:rsidR="00E4573C" w:rsidRPr="00E4573C" w:rsidRDefault="00E4573C" w:rsidP="00E4573C">
      <w:pPr>
        <w:jc w:val="both"/>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1.2 Health emergency setting (2009)   </w:t>
      </w:r>
    </w:p>
    <w:p w:rsidR="00E4573C" w:rsidRPr="00E4573C" w:rsidRDefault="00E4573C" w:rsidP="00E4573C">
      <w:pPr>
        <w:pStyle w:val="Default"/>
        <w:jc w:val="both"/>
        <w:rPr>
          <w:rFonts w:ascii="Times New Roman" w:hAnsi="Times New Roman" w:cs="Times New Roman"/>
        </w:rPr>
      </w:pPr>
    </w:p>
    <w:p w:rsidR="00E4573C" w:rsidRDefault="00E4573C" w:rsidP="00AF359D">
      <w:pPr>
        <w:pStyle w:val="ListParagraph"/>
        <w:numPr>
          <w:ilvl w:val="0"/>
          <w:numId w:val="12"/>
        </w:numPr>
        <w:ind w:left="0" w:firstLine="0"/>
        <w:jc w:val="both"/>
      </w:pPr>
      <w:r w:rsidRPr="00E4573C">
        <w:t xml:space="preserve">In April 2009, after the outbreak of the new A/H1N1 Influenza in Mexico, the virus spread rapidly to other countries. On June 11, 2009 the WHO’s declaration of Phase 6 of the Pandemic Alert for A/H1N1 Influenza indicated that a world pandemic was in progress, and that it was necessary to move from preparations to response. </w:t>
      </w:r>
    </w:p>
    <w:p w:rsidR="00AF359D" w:rsidRPr="00E4573C" w:rsidRDefault="00AF359D" w:rsidP="00AF359D">
      <w:pPr>
        <w:pStyle w:val="ListParagraph"/>
        <w:ind w:left="0"/>
        <w:jc w:val="both"/>
      </w:pPr>
    </w:p>
    <w:p w:rsidR="00E4573C" w:rsidRDefault="00E4573C" w:rsidP="00AF359D">
      <w:pPr>
        <w:pStyle w:val="ListParagraph"/>
        <w:numPr>
          <w:ilvl w:val="0"/>
          <w:numId w:val="12"/>
        </w:numPr>
        <w:ind w:left="0" w:firstLine="0"/>
        <w:jc w:val="both"/>
      </w:pPr>
      <w:r w:rsidRPr="00E4573C">
        <w:t xml:space="preserve">In Argentina the peak of contagion took place between June 20 and July 3, with the virus circulating throughout the entire country. By December 4 the number of deaths had reached 613, above the number for Mexico, with Argentina ranking third among countries around the world at that time. </w:t>
      </w:r>
    </w:p>
    <w:p w:rsidR="00AF359D" w:rsidRPr="00E4573C" w:rsidRDefault="00AF359D" w:rsidP="00AF359D">
      <w:pPr>
        <w:pStyle w:val="ListParagraph"/>
        <w:ind w:left="0"/>
        <w:jc w:val="both"/>
      </w:pPr>
    </w:p>
    <w:p w:rsidR="00E4573C" w:rsidRDefault="00E4573C" w:rsidP="00877EDA">
      <w:pPr>
        <w:pStyle w:val="ListParagraph"/>
        <w:numPr>
          <w:ilvl w:val="0"/>
          <w:numId w:val="12"/>
        </w:numPr>
        <w:ind w:left="0" w:firstLine="0"/>
        <w:jc w:val="both"/>
      </w:pPr>
      <w:r w:rsidRPr="00E4573C">
        <w:t>The number of cases of ILI (influenza-like illness) reported during 2009 was much higher than during previous epidemic years, reaching a level of 160,000 cases reported per week at the peak of viral circulation.</w:t>
      </w:r>
    </w:p>
    <w:p w:rsidR="00E4573C" w:rsidRPr="00E4573C" w:rsidRDefault="00E4573C" w:rsidP="00E4573C">
      <w:pPr>
        <w:jc w:val="both"/>
      </w:pPr>
    </w:p>
    <w:p w:rsidR="00E4573C" w:rsidRDefault="00E4573C" w:rsidP="00877EDA">
      <w:pPr>
        <w:pStyle w:val="ListParagraph"/>
        <w:numPr>
          <w:ilvl w:val="0"/>
          <w:numId w:val="12"/>
        </w:numPr>
        <w:ind w:left="0" w:firstLine="0"/>
        <w:jc w:val="both"/>
      </w:pPr>
      <w:r w:rsidRPr="00E4573C">
        <w:t>As for serious cases, a total of 14,160 cases requiring hospitalization due to severe Acute Respiratory Infection (ARI) were reported during 2009, representing a hospitalization rate of 34.95 cases per 100,000 inhabitants.</w:t>
      </w:r>
    </w:p>
    <w:p w:rsidR="00E4573C" w:rsidRPr="00E4573C" w:rsidRDefault="00E4573C" w:rsidP="00E4573C">
      <w:pPr>
        <w:jc w:val="both"/>
      </w:pPr>
    </w:p>
    <w:p w:rsidR="00E4573C" w:rsidRDefault="00E4573C" w:rsidP="00877EDA">
      <w:pPr>
        <w:pStyle w:val="ListParagraph"/>
        <w:numPr>
          <w:ilvl w:val="0"/>
          <w:numId w:val="12"/>
        </w:numPr>
        <w:ind w:left="0" w:firstLine="0"/>
        <w:jc w:val="both"/>
      </w:pPr>
      <w:r w:rsidRPr="00E4573C">
        <w:t xml:space="preserve">The age groups most seriously affected were children under five years of age, with a rate of 76.41 cases per 100,000 inhabitants, followed by the group of persons 45 to 64 years of age, with a rate of 26 cases per 100,000 inhabitants. </w:t>
      </w:r>
    </w:p>
    <w:p w:rsidR="00E4573C" w:rsidRPr="00E4573C" w:rsidRDefault="00E4573C" w:rsidP="00E4573C">
      <w:pPr>
        <w:jc w:val="both"/>
      </w:pPr>
    </w:p>
    <w:p w:rsidR="00A8084C" w:rsidRDefault="00E4573C" w:rsidP="00A8084C">
      <w:pPr>
        <w:pStyle w:val="ListParagraph"/>
        <w:numPr>
          <w:ilvl w:val="0"/>
          <w:numId w:val="12"/>
        </w:numPr>
        <w:ind w:left="0" w:firstLine="0"/>
        <w:jc w:val="both"/>
      </w:pPr>
      <w:r w:rsidRPr="00E4573C">
        <w:t>During 2009, 12,080 cases of Pandemic Influenza (H1N1) were confirmed by laboratory tests. The 2009 Pandemic Influenza (H1N1) and unspecified Influenza A represented 83.3% of the total respiratory viruses reported in patients fives year of age or older, and 22.13% in children under the age of five.</w:t>
      </w:r>
      <w:r w:rsidRPr="00E4573C">
        <w:rPr>
          <w:rStyle w:val="FootnoteReference"/>
          <w:rFonts w:eastAsia="Constantia"/>
          <w:color w:val="000000"/>
        </w:rPr>
        <w:footnoteReference w:id="41"/>
      </w:r>
      <w:r w:rsidR="00A8084C" w:rsidRPr="00A8084C">
        <w:t xml:space="preserve"> </w:t>
      </w:r>
      <w:r w:rsidR="00A8084C" w:rsidRPr="00E4573C">
        <w:t>In 2009 there were 626 confirmed patient deaths from the pandemic influenza, during the period of the greatest circulation.</w:t>
      </w:r>
    </w:p>
    <w:p w:rsidR="00FD6021" w:rsidRPr="00E4573C" w:rsidRDefault="00FD6021" w:rsidP="00E4573C">
      <w:pPr>
        <w:jc w:val="both"/>
      </w:pPr>
    </w:p>
    <w:p w:rsidR="00FD6021" w:rsidRDefault="00E4573C" w:rsidP="00E4573C">
      <w:pPr>
        <w:pStyle w:val="Default"/>
        <w:jc w:val="both"/>
        <w:rPr>
          <w:rFonts w:ascii="Times New Roman" w:hAnsi="Times New Roman" w:cs="Times New Roman"/>
          <w:b/>
        </w:rPr>
      </w:pPr>
      <w:r w:rsidRPr="00E4573C">
        <w:rPr>
          <w:rFonts w:ascii="Times New Roman" w:hAnsi="Times New Roman" w:cs="Times New Roman"/>
          <w:b/>
        </w:rPr>
        <w:t>1.3 GOA’s intervention strategy</w:t>
      </w:r>
    </w:p>
    <w:p w:rsidR="00E4573C" w:rsidRPr="00E4573C" w:rsidRDefault="00E4573C" w:rsidP="00E4573C">
      <w:pPr>
        <w:pStyle w:val="Default"/>
        <w:jc w:val="both"/>
        <w:rPr>
          <w:rFonts w:ascii="Times New Roman" w:hAnsi="Times New Roman" w:cs="Times New Roman"/>
          <w:b/>
        </w:rPr>
      </w:pPr>
    </w:p>
    <w:p w:rsidR="007B37D1" w:rsidRDefault="00E4573C" w:rsidP="007B37D1">
      <w:pPr>
        <w:pStyle w:val="ListParagraph"/>
        <w:numPr>
          <w:ilvl w:val="0"/>
          <w:numId w:val="12"/>
        </w:numPr>
        <w:ind w:left="0" w:firstLine="0"/>
        <w:jc w:val="both"/>
      </w:pPr>
      <w:r w:rsidRPr="00E4573C">
        <w:t>Argentina responded to the emergency by following the Integrated Response Plan for the Influenza Pandemic and “SARS,” approved by Decree 644/2007</w:t>
      </w:r>
      <w:r w:rsidR="00C7222B">
        <w:t>.</w:t>
      </w:r>
      <w:r w:rsidRPr="00E4573C">
        <w:t xml:space="preserve"> </w:t>
      </w:r>
      <w:r w:rsidR="007B37D1" w:rsidRPr="00E4573C">
        <w:t>The Project was formulated in this context, with an immediate objective—controlling the pandemic—and another objective structural in nature—the comprehensive strengthening of the Argentine health system’s capacity for responding to potential epidemiological outbreaks.</w:t>
      </w:r>
    </w:p>
    <w:p w:rsidR="00E4573C" w:rsidRPr="00E4573C" w:rsidRDefault="00E4573C" w:rsidP="00E4573C">
      <w:pPr>
        <w:jc w:val="both"/>
      </w:pPr>
    </w:p>
    <w:p w:rsidR="004E5C39" w:rsidRDefault="00E4573C" w:rsidP="004E5C39">
      <w:pPr>
        <w:pStyle w:val="ListParagraph"/>
        <w:numPr>
          <w:ilvl w:val="0"/>
          <w:numId w:val="12"/>
        </w:numPr>
        <w:ind w:left="0" w:firstLine="0"/>
        <w:jc w:val="both"/>
      </w:pPr>
      <w:r w:rsidRPr="00E4573C">
        <w:t xml:space="preserve">Argentina was the first country in the region (in the Southern hemisphere) to begin an anti-influenza vaccination campaign, implementing a comprehensive vaccination strategy that also included the pneumococcal and pertussis vaccines. </w:t>
      </w:r>
      <w:r w:rsidR="004E5C39" w:rsidRPr="00E4573C">
        <w:t>The 2010 and 2011 vaccination campaigns were on a massive scale, offered free-of-charge in all of the country’s hospitals and vaccination centers for the at-risk population.</w:t>
      </w:r>
      <w:r w:rsidR="004E5C39" w:rsidRPr="00E4573C">
        <w:rPr>
          <w:rStyle w:val="FootnoteReference"/>
        </w:rPr>
        <w:footnoteReference w:id="42"/>
      </w:r>
      <w:r w:rsidR="004E5C39" w:rsidRPr="00E4573C">
        <w:t xml:space="preserve"> Based on a decision by the GOA, the anti-flu vaccine was incorporated into the National Vaccination Calendar for the at-risk population during the second half of 2011.</w:t>
      </w:r>
    </w:p>
    <w:p w:rsidR="00E4573C" w:rsidRPr="00E4573C" w:rsidRDefault="00E4573C" w:rsidP="00E4573C">
      <w:pPr>
        <w:jc w:val="both"/>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CHAPTER 2: Results Achieved in the H1N1 Emergency Project and the Contribution to Strengthening Prioritized Actions</w:t>
      </w:r>
    </w:p>
    <w:p w:rsidR="00E4573C" w:rsidRPr="00E4573C" w:rsidRDefault="00E4573C" w:rsidP="00E4573C">
      <w:pPr>
        <w:pStyle w:val="Default"/>
        <w:jc w:val="both"/>
        <w:rPr>
          <w:rFonts w:ascii="Times New Roman" w:hAnsi="Times New Roman" w:cs="Times New Roman"/>
          <w:b/>
        </w:rPr>
      </w:pPr>
    </w:p>
    <w:p w:rsidR="00E4573C" w:rsidRDefault="00E4573C" w:rsidP="00877EDA">
      <w:pPr>
        <w:pStyle w:val="ListParagraph"/>
        <w:numPr>
          <w:ilvl w:val="0"/>
          <w:numId w:val="12"/>
        </w:numPr>
        <w:ind w:left="0" w:firstLine="0"/>
        <w:jc w:val="both"/>
        <w:rPr>
          <w:color w:val="000000"/>
        </w:rPr>
      </w:pPr>
      <w:r w:rsidRPr="00E4573C">
        <w:rPr>
          <w:color w:val="000000"/>
        </w:rPr>
        <w:t>In the following sections, the Project’s contributions and results are described in detail, by components, outputs, indicators and related actions.</w:t>
      </w:r>
    </w:p>
    <w:p w:rsidR="00CC1427" w:rsidRPr="00E4573C" w:rsidRDefault="00CC1427" w:rsidP="00CC1427">
      <w:pPr>
        <w:pStyle w:val="ListParagraph"/>
        <w:ind w:left="0"/>
        <w:jc w:val="both"/>
        <w:rPr>
          <w:color w:val="000000"/>
        </w:rPr>
      </w:pPr>
    </w:p>
    <w:p w:rsidR="00CC1427" w:rsidRDefault="00E4573C" w:rsidP="00E4573C">
      <w:pPr>
        <w:jc w:val="both"/>
        <w:rPr>
          <w:b/>
          <w:color w:val="000000"/>
        </w:rPr>
      </w:pPr>
      <w:r w:rsidRPr="00E4573C">
        <w:rPr>
          <w:b/>
          <w:color w:val="000000"/>
        </w:rPr>
        <w:lastRenderedPageBreak/>
        <w:t>2.1 Component 1: Strengthening epidemiological surveillance for preventing, monitoring and evaluating influenza activity</w:t>
      </w:r>
    </w:p>
    <w:p w:rsidR="00E4573C" w:rsidRPr="00E4573C" w:rsidRDefault="00E4573C" w:rsidP="00E4573C">
      <w:pPr>
        <w:jc w:val="both"/>
        <w:rPr>
          <w:b/>
          <w:color w:val="000000"/>
        </w:rPr>
      </w:pPr>
      <w:r w:rsidRPr="00E4573C">
        <w:rPr>
          <w:b/>
          <w:color w:val="000000"/>
        </w:rPr>
        <w:t xml:space="preserve">      </w:t>
      </w:r>
    </w:p>
    <w:p w:rsidR="00CC1427" w:rsidRDefault="00E4573C" w:rsidP="00877EDA">
      <w:pPr>
        <w:pStyle w:val="ListParagraph"/>
        <w:numPr>
          <w:ilvl w:val="0"/>
          <w:numId w:val="12"/>
        </w:numPr>
        <w:ind w:left="0" w:firstLine="0"/>
        <w:jc w:val="both"/>
      </w:pPr>
      <w:r w:rsidRPr="00E4573C">
        <w:t xml:space="preserve">With the objectives of expanding and improving the quality of the epidemiological surveillance system for timely detection of cases of respiratory illnesses, and promoting prevention and self-care measures, this component included the following actions: </w:t>
      </w:r>
    </w:p>
    <w:p w:rsidR="00E4573C" w:rsidRPr="00E4573C" w:rsidRDefault="00E4573C" w:rsidP="00E4573C">
      <w:pPr>
        <w:jc w:val="both"/>
      </w:pPr>
      <w:r w:rsidRPr="00E4573C">
        <w:t xml:space="preserve"> </w:t>
      </w: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2.1.1. Provincial Health Situation Rooms   </w:t>
      </w:r>
    </w:p>
    <w:p w:rsidR="00E4573C" w:rsidRPr="00E4573C" w:rsidRDefault="00E4573C" w:rsidP="00E4573C">
      <w:pPr>
        <w:jc w:val="both"/>
        <w:rPr>
          <w:color w:val="000000"/>
        </w:rPr>
      </w:pPr>
    </w:p>
    <w:p w:rsidR="004E5C39" w:rsidRDefault="00E4573C" w:rsidP="004E5C39">
      <w:pPr>
        <w:pStyle w:val="ListParagraph"/>
        <w:ind w:left="0"/>
        <w:jc w:val="both"/>
        <w:rPr>
          <w:color w:val="000000"/>
        </w:rPr>
      </w:pPr>
      <w:r w:rsidRPr="00E4573C">
        <w:rPr>
          <w:color w:val="000000"/>
        </w:rPr>
        <w:t>The project proposed the implementation of Health Situation Rooms (HSRs) throughout the country, under Output 1 of Component 1. The objective was to implement 38 HSRs (during a two-year period).</w:t>
      </w:r>
      <w:r w:rsidRPr="00E4573C">
        <w:rPr>
          <w:rStyle w:val="FootnoteReference"/>
          <w:color w:val="000000"/>
        </w:rPr>
        <w:footnoteReference w:id="43"/>
      </w:r>
      <w:r w:rsidR="004E5C39" w:rsidRPr="004E5C39">
        <w:t xml:space="preserve"> </w:t>
      </w:r>
      <w:r w:rsidR="004E5C39" w:rsidRPr="00E4573C">
        <w:t>At the projects’ end, 36 Health Situation Rooms are operating throughout the country.</w:t>
      </w:r>
      <w:r w:rsidR="004E5C39" w:rsidRPr="00E4573C">
        <w:rPr>
          <w:rStyle w:val="FootnoteReference"/>
        </w:rPr>
        <w:footnoteReference w:id="44"/>
      </w:r>
      <w:r w:rsidR="004E5C39" w:rsidRPr="00E4573C">
        <w:t xml:space="preserve"> </w:t>
      </w:r>
      <w:r w:rsidR="004E5C39" w:rsidRPr="00E4573C">
        <w:rPr>
          <w:color w:val="000000"/>
        </w:rPr>
        <w:t>The implementation and strengthening of the provincial Health Situation Rooms, with human, physical and technological resources associated with their operations, and with a coordinated protocol for completing tasks, supervised by a national technical team, generated a platform for producing systematic, periodic information. This led to improved contributions from the provinces to the National Health Surveillance System (SNVS) and promoted the assimilation of the Rooms by provincial health authorities, as an instrument for improvements in managing and making health decisions.</w:t>
      </w:r>
    </w:p>
    <w:p w:rsidR="00CC1427" w:rsidRPr="00E4573C" w:rsidRDefault="00CC1427" w:rsidP="00E4573C">
      <w:pPr>
        <w:jc w:val="both"/>
        <w:rPr>
          <w:color w:val="000000"/>
        </w:rPr>
      </w:pPr>
    </w:p>
    <w:p w:rsidR="004E5C39" w:rsidRPr="00C51EAB" w:rsidRDefault="00E4573C" w:rsidP="004E5C39">
      <w:pPr>
        <w:pStyle w:val="ListParagraph"/>
        <w:numPr>
          <w:ilvl w:val="0"/>
          <w:numId w:val="12"/>
        </w:numPr>
        <w:ind w:left="0" w:firstLine="0"/>
        <w:jc w:val="both"/>
        <w:rPr>
          <w:color w:val="000000"/>
        </w:rPr>
      </w:pPr>
      <w:r w:rsidRPr="00E4573C">
        <w:t>Of the 36 Rooms, 28 certified their activities in 2012 above 80% compliance with the certification protocol, indicating an optimal level of functioning.</w:t>
      </w:r>
      <w:r w:rsidRPr="00E4573C">
        <w:rPr>
          <w:rStyle w:val="FootnoteReference"/>
        </w:rPr>
        <w:footnoteReference w:id="45"/>
      </w:r>
      <w:r w:rsidR="004E5C39" w:rsidRPr="004E5C39">
        <w:rPr>
          <w:color w:val="000000"/>
        </w:rPr>
        <w:t xml:space="preserve"> </w:t>
      </w:r>
      <w:r w:rsidR="004E5C39" w:rsidRPr="00C51EAB">
        <w:rPr>
          <w:color w:val="000000"/>
        </w:rPr>
        <w:t xml:space="preserve">During the last year of certification (2012), the evaluation was particularly oriented toward the production of high-quality information in a systematic, timely manner, through contributions from the various areas, programs and projects. This generates mechanisms for flows of information centralized in the Room, which also offers and produces information for provincial health authorities.  </w:t>
      </w:r>
    </w:p>
    <w:p w:rsidR="00C51EAB" w:rsidRPr="00C51EAB" w:rsidRDefault="00C51EAB" w:rsidP="004E5C39">
      <w:pPr>
        <w:pStyle w:val="ListParagraph"/>
        <w:ind w:left="0"/>
        <w:jc w:val="both"/>
        <w:rPr>
          <w:color w:val="000000"/>
        </w:rPr>
      </w:pPr>
    </w:p>
    <w:p w:rsidR="00CC1427" w:rsidRPr="00CC1427" w:rsidRDefault="00CC1427" w:rsidP="00CC1427">
      <w:pPr>
        <w:pStyle w:val="ListParagraph"/>
        <w:rPr>
          <w:color w:val="000000"/>
        </w:rPr>
      </w:pPr>
    </w:p>
    <w:p w:rsid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2.1.1.1 Degree of the Rooms’ institutionalization </w:t>
      </w:r>
    </w:p>
    <w:p w:rsidR="00CC1427" w:rsidRPr="00E4573C" w:rsidRDefault="00CC1427" w:rsidP="00E4573C">
      <w:pPr>
        <w:pStyle w:val="Default"/>
        <w:jc w:val="both"/>
        <w:rPr>
          <w:rFonts w:ascii="Times New Roman" w:hAnsi="Times New Roman" w:cs="Times New Roman"/>
          <w:b/>
        </w:rPr>
      </w:pPr>
    </w:p>
    <w:p w:rsidR="00E4573C" w:rsidRPr="00E4573C" w:rsidRDefault="00E4573C" w:rsidP="00877EDA">
      <w:pPr>
        <w:pStyle w:val="ListParagraph"/>
        <w:numPr>
          <w:ilvl w:val="0"/>
          <w:numId w:val="12"/>
        </w:numPr>
        <w:ind w:left="0" w:firstLine="0"/>
        <w:jc w:val="both"/>
      </w:pPr>
      <w:r w:rsidRPr="00E4573C">
        <w:t xml:space="preserve">The degree of institutionalization in the HSRs at the end of the project can be summarized as follows: 33% of the provincial HSRs are formally established within the </w:t>
      </w:r>
      <w:r w:rsidRPr="00E4573C">
        <w:lastRenderedPageBreak/>
        <w:t>scheme of the Ministries of Health at the provincial level; 57% of the provincial HSRs are still in the process of becoming formalized; and 10% of the HSRs have not presented initiatives for their integral formalization.</w:t>
      </w:r>
    </w:p>
    <w:p w:rsidR="00E4573C" w:rsidRPr="00E4573C" w:rsidRDefault="00E4573C" w:rsidP="00E4573C">
      <w:pPr>
        <w:pStyle w:val="Default"/>
        <w:jc w:val="both"/>
        <w:rPr>
          <w:rFonts w:ascii="Times New Roman" w:hAnsi="Times New Roman" w:cs="Times New Roman"/>
        </w:rPr>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2.1.1.2 Financing for Human Resources         </w:t>
      </w:r>
    </w:p>
    <w:p w:rsidR="00E4573C" w:rsidRPr="00E4573C" w:rsidRDefault="00E4573C" w:rsidP="00E4573C">
      <w:pPr>
        <w:pStyle w:val="Default"/>
        <w:jc w:val="both"/>
        <w:rPr>
          <w:rFonts w:ascii="Times New Roman" w:hAnsi="Times New Roman" w:cs="Times New Roman"/>
          <w:b/>
        </w:rPr>
      </w:pPr>
    </w:p>
    <w:p w:rsidR="00E4573C" w:rsidRPr="00E4573C" w:rsidRDefault="00E4573C" w:rsidP="00877EDA">
      <w:pPr>
        <w:pStyle w:val="ListParagraph"/>
        <w:numPr>
          <w:ilvl w:val="0"/>
          <w:numId w:val="12"/>
        </w:numPr>
        <w:ind w:left="0" w:firstLine="0"/>
        <w:jc w:val="both"/>
      </w:pPr>
      <w:r w:rsidRPr="00E4573C">
        <w:t>The work carried out in the provincial Situation Rooms and coordinated at the national level was possible due to financing for the hiring of Human Resources. A small group of consultants in the Epidemiology Department in Argentina’s Ministry of Health (MSAL) was hired according to stipulations in the Project’s Operations Manual, through a competition among groups of three, as was an extensive group of consultants from the provincial Situation Rooms, using the ROSTER method.</w:t>
      </w:r>
    </w:p>
    <w:p w:rsidR="00E4573C" w:rsidRPr="00E4573C" w:rsidRDefault="00E4573C" w:rsidP="00E4573C">
      <w:pPr>
        <w:pStyle w:val="Default"/>
        <w:jc w:val="both"/>
        <w:rPr>
          <w:rFonts w:ascii="Times New Roman" w:hAnsi="Times New Roman" w:cs="Times New Roman"/>
        </w:rPr>
      </w:pPr>
    </w:p>
    <w:p w:rsidR="00106899" w:rsidRDefault="00E4573C" w:rsidP="00877EDA">
      <w:pPr>
        <w:pStyle w:val="ListParagraph"/>
        <w:numPr>
          <w:ilvl w:val="0"/>
          <w:numId w:val="12"/>
        </w:numPr>
        <w:ind w:left="0" w:firstLine="0"/>
        <w:jc w:val="both"/>
      </w:pPr>
      <w:r w:rsidRPr="00E4573C">
        <w:t xml:space="preserve">Three consultants, specifically two experts in epidemiology and one with a public health </w:t>
      </w:r>
      <w:r w:rsidR="00F35FFB" w:rsidRPr="00E4573C">
        <w:t>orientation</w:t>
      </w:r>
      <w:r w:rsidRPr="00E4573C">
        <w:t xml:space="preserve"> were hired for the Epidemiology Department at MSAL. They became part of the National HSR technical team during the Project’s entire execution. The team’s performance, in terms of complying with all of the actions required for implementing the provincial Rooms, was excellent.</w:t>
      </w:r>
      <w:r w:rsidR="00106899">
        <w:t xml:space="preserve"> </w:t>
      </w:r>
    </w:p>
    <w:p w:rsidR="00106899" w:rsidRDefault="00106899" w:rsidP="00106899">
      <w:pPr>
        <w:pStyle w:val="ListParagraph"/>
      </w:pPr>
    </w:p>
    <w:p w:rsidR="00E4573C" w:rsidRDefault="00E4573C" w:rsidP="00877EDA">
      <w:pPr>
        <w:pStyle w:val="ListParagraph"/>
        <w:numPr>
          <w:ilvl w:val="0"/>
          <w:numId w:val="12"/>
        </w:numPr>
        <w:ind w:left="0" w:firstLine="0"/>
        <w:jc w:val="both"/>
      </w:pPr>
      <w:r w:rsidRPr="00E4573C">
        <w:t>A fundamental factor in stimulating the Situation Rooms’ work was the establishment of an interdisciplinary technical team with the capacity to obtain data from various sources and provide tools for not only bringing together quantitative and qualitative methodologies but also different perspectives.</w:t>
      </w:r>
      <w:r w:rsidRPr="00E4573C">
        <w:rPr>
          <w:rStyle w:val="FootnoteReference"/>
        </w:rPr>
        <w:footnoteReference w:id="46"/>
      </w:r>
    </w:p>
    <w:p w:rsidR="00397595" w:rsidRDefault="00397595" w:rsidP="00397595">
      <w:pPr>
        <w:pStyle w:val="ListParagraph"/>
      </w:pPr>
    </w:p>
    <w:p w:rsidR="00397595" w:rsidRPr="00E4573C" w:rsidRDefault="00397595" w:rsidP="00397595">
      <w:pPr>
        <w:pStyle w:val="ListParagraph"/>
        <w:ind w:left="0"/>
        <w:jc w:val="both"/>
      </w:pPr>
    </w:p>
    <w:p w:rsidR="00CC1427" w:rsidRDefault="00E4573C" w:rsidP="00E4573C">
      <w:pPr>
        <w:pStyle w:val="Default"/>
        <w:jc w:val="both"/>
        <w:rPr>
          <w:rFonts w:ascii="Times New Roman" w:hAnsi="Times New Roman" w:cs="Times New Roman"/>
          <w:b/>
        </w:rPr>
      </w:pPr>
      <w:r w:rsidRPr="00E4573C">
        <w:rPr>
          <w:rFonts w:ascii="Times New Roman" w:hAnsi="Times New Roman" w:cs="Times New Roman"/>
          <w:b/>
        </w:rPr>
        <w:t>2.1.1.3 Training</w:t>
      </w: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   </w:t>
      </w:r>
    </w:p>
    <w:p w:rsidR="00E4573C" w:rsidRPr="00E4573C" w:rsidRDefault="00E4573C" w:rsidP="00877EDA">
      <w:pPr>
        <w:pStyle w:val="ListParagraph"/>
        <w:numPr>
          <w:ilvl w:val="0"/>
          <w:numId w:val="12"/>
        </w:numPr>
        <w:ind w:left="0" w:firstLine="0"/>
        <w:jc w:val="both"/>
      </w:pPr>
      <w:r w:rsidRPr="00E4573C">
        <w:t>Financing was provided for training activities ranging from graduate studies, to practical-theoretical courses, to workshops on specific topics related to processing health information.</w:t>
      </w:r>
      <w:r w:rsidR="002F38C7">
        <w:t xml:space="preserve"> </w:t>
      </w:r>
      <w:r w:rsidR="002F38C7" w:rsidRPr="00E4573C">
        <w:t>Training was provided to over 200 professionals with the Graduate Course in Epidemiology given by the National University of Córdoba.</w:t>
      </w:r>
    </w:p>
    <w:p w:rsidR="00E4573C" w:rsidRPr="00E4573C" w:rsidRDefault="00E4573C" w:rsidP="00E4573C">
      <w:pPr>
        <w:pStyle w:val="Default"/>
        <w:jc w:val="both"/>
        <w:rPr>
          <w:rFonts w:ascii="Times New Roman" w:hAnsi="Times New Roman" w:cs="Times New Roman"/>
        </w:rPr>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2.1.1.4 Publications</w:t>
      </w:r>
    </w:p>
    <w:p w:rsidR="00E4573C" w:rsidRPr="00E4573C" w:rsidRDefault="00E4573C" w:rsidP="00E4573C">
      <w:pPr>
        <w:pStyle w:val="Default"/>
        <w:jc w:val="both"/>
        <w:rPr>
          <w:rFonts w:ascii="Times New Roman" w:hAnsi="Times New Roman" w:cs="Times New Roman"/>
        </w:rPr>
      </w:pPr>
    </w:p>
    <w:p w:rsidR="00C55ED9" w:rsidRPr="00E4573C" w:rsidRDefault="00C55ED9" w:rsidP="00C55ED9">
      <w:pPr>
        <w:pStyle w:val="ListParagraph"/>
        <w:numPr>
          <w:ilvl w:val="0"/>
          <w:numId w:val="12"/>
        </w:numPr>
        <w:ind w:left="0" w:firstLine="0"/>
        <w:jc w:val="both"/>
      </w:pPr>
      <w:r w:rsidRPr="00E4573C">
        <w:t>Two publications were produced in the framework of the implementation of Situation Rooms, and they were distributed to health departments in all of the country’s provinces: (i) “</w:t>
      </w:r>
      <w:r w:rsidRPr="00E4573C">
        <w:rPr>
          <w:i/>
        </w:rPr>
        <w:t>Salas de Situación de Salud en Argentina: Compartiendo el proceso de implementación</w:t>
      </w:r>
      <w:r w:rsidRPr="00E4573C">
        <w:t>”, a presentation of all the strategic plans for implementing HSRs in the 23 provincial jurisdictions, for the particular context in each province</w:t>
      </w:r>
      <w:r w:rsidR="002F38C7">
        <w:t xml:space="preserve"> and </w:t>
      </w:r>
      <w:r w:rsidRPr="00E4573C">
        <w:t xml:space="preserve"> (ii) </w:t>
      </w:r>
      <w:r w:rsidRPr="00E4573C">
        <w:lastRenderedPageBreak/>
        <w:t>“</w:t>
      </w:r>
      <w:r w:rsidRPr="00E4573C">
        <w:rPr>
          <w:i/>
        </w:rPr>
        <w:t>Experiencias Exitosas de Salas de Situación de Salud en Argentina</w:t>
      </w:r>
      <w:r w:rsidRPr="00E4573C">
        <w:t xml:space="preserve">”,  a compilation of experiences in the Rooms in the Mendoza, Neuquén, Santa </w:t>
      </w:r>
      <w:r>
        <w:t>F</w:t>
      </w:r>
      <w:r w:rsidRPr="00E4573C">
        <w:t>e and Tucumán provinces</w:t>
      </w:r>
      <w:r w:rsidR="002F38C7">
        <w:t>.</w:t>
      </w:r>
      <w:r w:rsidRPr="00E4573C">
        <w:t xml:space="preserve"> </w:t>
      </w:r>
    </w:p>
    <w:p w:rsidR="00E4573C" w:rsidRPr="00E4573C" w:rsidRDefault="00E4573C" w:rsidP="00E4573C">
      <w:pPr>
        <w:pStyle w:val="Default"/>
        <w:jc w:val="both"/>
        <w:rPr>
          <w:rFonts w:ascii="Times New Roman" w:hAnsi="Times New Roman" w:cs="Times New Roman"/>
        </w:rPr>
      </w:pPr>
    </w:p>
    <w:p w:rsid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2.1.1.5 Computer Equipment  </w:t>
      </w:r>
    </w:p>
    <w:p w:rsidR="00CC1427" w:rsidRPr="00E4573C" w:rsidRDefault="00CC1427" w:rsidP="00E4573C">
      <w:pPr>
        <w:pStyle w:val="Default"/>
        <w:jc w:val="both"/>
        <w:rPr>
          <w:rFonts w:ascii="Times New Roman" w:hAnsi="Times New Roman" w:cs="Times New Roman"/>
          <w:b/>
        </w:rPr>
      </w:pPr>
    </w:p>
    <w:p w:rsidR="00E4573C" w:rsidRDefault="00E4573C" w:rsidP="006216F1">
      <w:pPr>
        <w:pStyle w:val="ListParagraph"/>
        <w:numPr>
          <w:ilvl w:val="0"/>
          <w:numId w:val="12"/>
        </w:numPr>
        <w:ind w:left="0" w:firstLine="0"/>
        <w:jc w:val="both"/>
      </w:pPr>
      <w:r w:rsidRPr="00E4573C">
        <w:t xml:space="preserve">The project also contributed to strengthening the epidemiological surveillance system through the purchase and distribution of computer equipment for the nodes in the </w:t>
      </w:r>
      <w:r w:rsidRPr="006216F1">
        <w:rPr>
          <w:b/>
        </w:rPr>
        <w:t>National Health Surveillance System</w:t>
      </w:r>
      <w:r w:rsidRPr="00E4573C">
        <w:t xml:space="preserve"> (</w:t>
      </w:r>
      <w:r w:rsidRPr="006216F1">
        <w:rPr>
          <w:i/>
        </w:rPr>
        <w:t>Sistema Nacional de Vigilancia de Salud</w:t>
      </w:r>
      <w:r w:rsidRPr="00E4573C">
        <w:t xml:space="preserve">—SNVS). This system operates by promoting the flow of information for improving the coverage and quality of surveillance data that begins at the local level and expands to the provinces and the national government. </w:t>
      </w:r>
    </w:p>
    <w:p w:rsidR="006216F1" w:rsidRPr="006216F1" w:rsidRDefault="006216F1" w:rsidP="006216F1">
      <w:pPr>
        <w:pStyle w:val="ListParagraph"/>
        <w:ind w:left="0"/>
        <w:jc w:val="both"/>
      </w:pPr>
    </w:p>
    <w:p w:rsid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2.1.2 Communication campaigns for prevention and self-care    </w:t>
      </w:r>
    </w:p>
    <w:p w:rsidR="00CC1427" w:rsidRPr="00E4573C" w:rsidRDefault="00CC1427" w:rsidP="00E4573C">
      <w:pPr>
        <w:pStyle w:val="Default"/>
        <w:jc w:val="both"/>
        <w:rPr>
          <w:rFonts w:ascii="Times New Roman" w:hAnsi="Times New Roman" w:cs="Times New Roman"/>
          <w:b/>
        </w:rPr>
      </w:pPr>
    </w:p>
    <w:p w:rsidR="00397595" w:rsidRPr="00E4573C" w:rsidRDefault="00E4573C" w:rsidP="00DD01E2">
      <w:pPr>
        <w:pStyle w:val="ListParagraph"/>
        <w:numPr>
          <w:ilvl w:val="0"/>
          <w:numId w:val="12"/>
        </w:numPr>
        <w:ind w:left="0" w:firstLine="0"/>
        <w:jc w:val="both"/>
      </w:pPr>
      <w:r w:rsidRPr="00E4573C">
        <w:t xml:space="preserve">The project financed the </w:t>
      </w:r>
      <w:r w:rsidRPr="00E4573C">
        <w:rPr>
          <w:b/>
        </w:rPr>
        <w:t>Operational Modules of Social Communication (MOCS)</w:t>
      </w:r>
      <w:r w:rsidRPr="00E4573C">
        <w:t xml:space="preserve">, with the objectives of promoting the dissemination of measures for preventing the spreading of respiratory illness, promoting early doctor visits, and adapting social communication policies to native communities, through communication campaigns directed at local communities. </w:t>
      </w:r>
      <w:r w:rsidR="00397595" w:rsidRPr="00E4573C">
        <w:t xml:space="preserve">The </w:t>
      </w:r>
      <w:r w:rsidR="00397595" w:rsidRPr="00E4573C">
        <w:rPr>
          <w:b/>
        </w:rPr>
        <w:t>MOCS directed at the indigenous population</w:t>
      </w:r>
      <w:r w:rsidR="00397595" w:rsidRPr="00E4573C">
        <w:t xml:space="preserve"> facilitated a synergy of actions with the IPP in the FESP Project, through the promotion of actions aimed at coordination with indigenous health agents (workshops, groups, conferences, meetings, etc.)</w:t>
      </w:r>
      <w:r w:rsidR="00397595">
        <w:t xml:space="preserve"> </w:t>
      </w:r>
      <w:r w:rsidR="00397595" w:rsidRPr="00E4573C">
        <w:t>The experience of systematizing the MOCS was considered by MSAL’s Communications Department as an experience to be replicated in other programs.</w:t>
      </w:r>
    </w:p>
    <w:p w:rsidR="00E4573C" w:rsidRPr="00E4573C" w:rsidRDefault="00E4573C" w:rsidP="00E4573C">
      <w:pPr>
        <w:pStyle w:val="BodyText21"/>
        <w:rPr>
          <w:lang w:val="en-US"/>
        </w:rPr>
      </w:pPr>
    </w:p>
    <w:p w:rsidR="00E4573C" w:rsidRDefault="00E4573C" w:rsidP="00E4573C">
      <w:pPr>
        <w:jc w:val="both"/>
        <w:rPr>
          <w:b/>
          <w:color w:val="000000"/>
        </w:rPr>
      </w:pPr>
      <w:r w:rsidRPr="00E4573C">
        <w:rPr>
          <w:b/>
          <w:color w:val="000000"/>
        </w:rPr>
        <w:t xml:space="preserve">2.2 Component 2: Strengthening the Argentine health system’s response capacity for reducing the virus’ transmissibility.   </w:t>
      </w:r>
    </w:p>
    <w:p w:rsidR="00CC1427" w:rsidRPr="00E4573C" w:rsidRDefault="00CC1427" w:rsidP="00E4573C">
      <w:pPr>
        <w:jc w:val="both"/>
        <w:rPr>
          <w:b/>
          <w:color w:val="000000"/>
        </w:rPr>
      </w:pPr>
    </w:p>
    <w:p w:rsidR="00E4573C" w:rsidRPr="00E4573C" w:rsidRDefault="00E4573C" w:rsidP="00E4573C">
      <w:pPr>
        <w:spacing w:after="240"/>
        <w:jc w:val="both"/>
        <w:rPr>
          <w:b/>
        </w:rPr>
      </w:pPr>
      <w:r w:rsidRPr="00E4573C">
        <w:rPr>
          <w:b/>
        </w:rPr>
        <w:t xml:space="preserve">2.2.1 Reducing the virus’ transmissibility   </w:t>
      </w:r>
    </w:p>
    <w:p w:rsidR="00E4573C" w:rsidRDefault="00E4573C" w:rsidP="00877EDA">
      <w:pPr>
        <w:pStyle w:val="ListParagraph"/>
        <w:numPr>
          <w:ilvl w:val="0"/>
          <w:numId w:val="12"/>
        </w:numPr>
        <w:ind w:left="0" w:firstLine="0"/>
        <w:jc w:val="both"/>
      </w:pPr>
      <w:r w:rsidRPr="00E4573C">
        <w:t>In Argentina, the primary reason for doctor visits and inpatient services at all ages is respiratory illness. Based on the data from the National Health Surveillance System (in the clinic and laboratory surveillance modalities) and from the National Reference Laboratory for Influenza and other respiratory viruses, the situation for the Influenza-Type Illness (ITI) is analyzed, together with the studied cases of respiratory viruses.</w:t>
      </w:r>
    </w:p>
    <w:p w:rsidR="00CC1427" w:rsidRPr="00E4573C" w:rsidRDefault="00CC1427" w:rsidP="00CC1427">
      <w:pPr>
        <w:pStyle w:val="ListParagraph"/>
        <w:ind w:left="0"/>
        <w:jc w:val="both"/>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2.2.1.1. Anti-flu Vaccination      </w:t>
      </w:r>
    </w:p>
    <w:p w:rsidR="00282A54" w:rsidRPr="00E4573C" w:rsidRDefault="00282A54" w:rsidP="00E4573C">
      <w:pPr>
        <w:pStyle w:val="Default"/>
        <w:jc w:val="both"/>
        <w:rPr>
          <w:rFonts w:ascii="Times New Roman" w:hAnsi="Times New Roman" w:cs="Times New Roman"/>
          <w:b/>
        </w:rPr>
      </w:pPr>
    </w:p>
    <w:p w:rsidR="00E4573C" w:rsidRPr="00E4573C" w:rsidRDefault="00E4573C" w:rsidP="00877EDA">
      <w:pPr>
        <w:pStyle w:val="ListParagraph"/>
        <w:numPr>
          <w:ilvl w:val="0"/>
          <w:numId w:val="12"/>
        </w:numPr>
        <w:ind w:left="0" w:firstLine="0"/>
        <w:jc w:val="both"/>
      </w:pPr>
      <w:r w:rsidRPr="00E4573C">
        <w:t>The GOA used funds from the National Treasury to purchase and distribute vaccines and antiviral treatment during the Project’s entire implementation. The Project helped to generate the necessary synergies among the different levels of government in order to confront the pandemic and outline long-term intervention strategies. Payment for results was a driving force that motivated authorities in the provinces to appropriately record and document information on the doses applied.</w:t>
      </w:r>
    </w:p>
    <w:p w:rsidR="00E4573C" w:rsidRDefault="00E4573C" w:rsidP="00E4573C">
      <w:pPr>
        <w:pStyle w:val="Default"/>
        <w:jc w:val="both"/>
        <w:rPr>
          <w:rFonts w:ascii="Times New Roman" w:hAnsi="Times New Roman" w:cs="Times New Roman"/>
        </w:rPr>
      </w:pPr>
    </w:p>
    <w:p w:rsidR="00DD01E2" w:rsidRPr="00E4573C" w:rsidRDefault="00DD01E2" w:rsidP="00E4573C">
      <w:pPr>
        <w:pStyle w:val="Default"/>
        <w:jc w:val="both"/>
        <w:rPr>
          <w:rFonts w:ascii="Times New Roman" w:hAnsi="Times New Roman" w:cs="Times New Roman"/>
        </w:rPr>
      </w:pPr>
    </w:p>
    <w:p w:rsidR="00E4573C" w:rsidRPr="00E4573C" w:rsidRDefault="00E4573C" w:rsidP="00877EDA">
      <w:pPr>
        <w:pStyle w:val="ListParagraph"/>
        <w:numPr>
          <w:ilvl w:val="0"/>
          <w:numId w:val="12"/>
        </w:numPr>
        <w:ind w:left="0" w:firstLine="0"/>
        <w:jc w:val="both"/>
        <w:rPr>
          <w:bCs/>
          <w:iCs/>
        </w:rPr>
      </w:pPr>
      <w:r w:rsidRPr="00E4573C">
        <w:rPr>
          <w:bCs/>
          <w:iCs/>
        </w:rPr>
        <w:lastRenderedPageBreak/>
        <w:t>During the two years of output certification, coverage above 90% of the target population was established for the indicator “</w:t>
      </w:r>
      <w:r w:rsidRPr="00E4573C">
        <w:rPr>
          <w:b/>
          <w:bCs/>
          <w:iCs/>
        </w:rPr>
        <w:t>doses of A/H1N1 vaccines applied</w:t>
      </w:r>
      <w:r w:rsidRPr="00E4573C">
        <w:rPr>
          <w:bCs/>
          <w:iCs/>
        </w:rPr>
        <w:t>.” At the end of the 2010 campaign, no deaths from H1N1 influenza had been reported within the prioritized at-risk groups, with two deaths from H1N1 outside these groups reported. During 2011 no deaths from the H1N1 virus were reported from any groups. In summary, if we compare the data on mortality from the virus in 2009 (626 deaths) with the data from 2010 and 2011, the success of the massive vaccination campaign conducted during those two years is clearly apparent.</w:t>
      </w:r>
    </w:p>
    <w:p w:rsidR="00E4573C" w:rsidRPr="00E4573C" w:rsidRDefault="00E4573C" w:rsidP="00E4573C">
      <w:pPr>
        <w:pStyle w:val="Default"/>
        <w:jc w:val="both"/>
        <w:rPr>
          <w:rFonts w:ascii="Times New Roman" w:hAnsi="Times New Roman" w:cs="Times New Roman"/>
          <w:bCs/>
          <w:iCs/>
        </w:rPr>
      </w:pPr>
    </w:p>
    <w:p w:rsidR="00E4573C" w:rsidRPr="00E4573C" w:rsidRDefault="00E4573C" w:rsidP="00877EDA">
      <w:pPr>
        <w:pStyle w:val="ListParagraph"/>
        <w:numPr>
          <w:ilvl w:val="0"/>
          <w:numId w:val="12"/>
        </w:numPr>
        <w:ind w:left="0" w:firstLine="0"/>
        <w:jc w:val="both"/>
        <w:rPr>
          <w:bCs/>
          <w:iCs/>
        </w:rPr>
      </w:pPr>
      <w:r w:rsidRPr="00E4573C">
        <w:rPr>
          <w:bCs/>
          <w:iCs/>
        </w:rPr>
        <w:t>In 2011 the anti-flu vaccine was incorporated into the national vaccination calendar, demonstrating the importance that the GOA placed on reducing the transmissibility of the influenza virus. According to PRONACEI reports, coverage rates were as high as 87.6% in 2012 and 89.6% at SE 40 in 2013.</w:t>
      </w:r>
    </w:p>
    <w:p w:rsidR="00E4573C" w:rsidRPr="00E4573C" w:rsidRDefault="00E4573C" w:rsidP="00E4573C">
      <w:pPr>
        <w:pStyle w:val="Default"/>
        <w:jc w:val="both"/>
        <w:rPr>
          <w:rFonts w:ascii="Times New Roman" w:hAnsi="Times New Roman" w:cs="Times New Roman"/>
          <w:bCs/>
          <w:iCs/>
        </w:rPr>
      </w:pPr>
    </w:p>
    <w:p w:rsidR="00CC1427" w:rsidRDefault="00E4573C" w:rsidP="00E4573C">
      <w:pPr>
        <w:pStyle w:val="Default"/>
        <w:jc w:val="both"/>
        <w:rPr>
          <w:rFonts w:ascii="Times New Roman" w:hAnsi="Times New Roman" w:cs="Times New Roman"/>
          <w:b/>
          <w:bCs/>
          <w:iCs/>
        </w:rPr>
      </w:pPr>
      <w:r w:rsidRPr="00E4573C">
        <w:rPr>
          <w:rFonts w:ascii="Times New Roman" w:hAnsi="Times New Roman" w:cs="Times New Roman"/>
          <w:b/>
          <w:bCs/>
          <w:iCs/>
        </w:rPr>
        <w:t xml:space="preserve">2.2.1.2. Anti-pneumococcal Vaccination  </w:t>
      </w:r>
    </w:p>
    <w:p w:rsidR="00E4573C" w:rsidRPr="00E4573C" w:rsidRDefault="00E4573C" w:rsidP="00E4573C">
      <w:pPr>
        <w:pStyle w:val="Default"/>
        <w:jc w:val="both"/>
        <w:rPr>
          <w:rFonts w:ascii="Times New Roman" w:hAnsi="Times New Roman" w:cs="Times New Roman"/>
          <w:b/>
          <w:bCs/>
          <w:iCs/>
        </w:rPr>
      </w:pPr>
      <w:r w:rsidRPr="00E4573C">
        <w:rPr>
          <w:rFonts w:ascii="Times New Roman" w:hAnsi="Times New Roman" w:cs="Times New Roman"/>
          <w:b/>
          <w:bCs/>
          <w:iCs/>
        </w:rPr>
        <w:t xml:space="preserve"> </w:t>
      </w:r>
    </w:p>
    <w:p w:rsidR="00E4573C" w:rsidRPr="00E4573C" w:rsidRDefault="00E4573C" w:rsidP="00877EDA">
      <w:pPr>
        <w:pStyle w:val="ListParagraph"/>
        <w:numPr>
          <w:ilvl w:val="0"/>
          <w:numId w:val="12"/>
        </w:numPr>
        <w:ind w:left="0" w:firstLine="0"/>
        <w:jc w:val="both"/>
        <w:rPr>
          <w:bCs/>
          <w:iCs/>
        </w:rPr>
      </w:pPr>
      <w:r w:rsidRPr="00E4573C">
        <w:rPr>
          <w:bCs/>
          <w:iCs/>
        </w:rPr>
        <w:t>Illnesses caused by Streptococcus pneumoniae (Sp) continue to be a significant cause of morbidity and mortality around the world. Rates of infection from Sp have been reported as high as 30-50% of Community-acquired pneumonia (CAP) cases, with mortality near 25%. The illness occurs more frequently among older adults (&gt;55 years), and individuals who are immunocompromised or who have chronic illnesses. Sp can cause not only CAP, but also various serious systemic infections such as meningitis and bacteremia, with high rates of mortality.</w:t>
      </w:r>
    </w:p>
    <w:p w:rsidR="00E4573C" w:rsidRPr="00E4573C" w:rsidRDefault="00E4573C" w:rsidP="00E4573C">
      <w:pPr>
        <w:pStyle w:val="Default"/>
        <w:jc w:val="both"/>
        <w:rPr>
          <w:rFonts w:ascii="Times New Roman" w:hAnsi="Times New Roman" w:cs="Times New Roman"/>
          <w:bCs/>
          <w:iCs/>
        </w:rPr>
      </w:pPr>
    </w:p>
    <w:p w:rsidR="00E4573C" w:rsidRPr="00E4573C" w:rsidRDefault="00E4573C" w:rsidP="00877EDA">
      <w:pPr>
        <w:pStyle w:val="ListParagraph"/>
        <w:numPr>
          <w:ilvl w:val="0"/>
          <w:numId w:val="12"/>
        </w:numPr>
        <w:ind w:left="0" w:firstLine="0"/>
        <w:jc w:val="both"/>
        <w:rPr>
          <w:bCs/>
          <w:iCs/>
        </w:rPr>
      </w:pPr>
      <w:r w:rsidRPr="00E4573C">
        <w:rPr>
          <w:bCs/>
          <w:iCs/>
        </w:rPr>
        <w:t>In 2012 the pneumococcal conjugate vaccine was incorporated into the National Vaccination Calendar for children at two months (1 dose), four months (2 doses), and twelve months (1 booster). Coverage has been 85% in 2012 and 82.4% in 2013, according to PRONACEI reports.</w:t>
      </w:r>
    </w:p>
    <w:p w:rsidR="00E4573C" w:rsidRPr="00E4573C" w:rsidRDefault="00E4573C" w:rsidP="00E4573C">
      <w:pPr>
        <w:pStyle w:val="Default"/>
        <w:jc w:val="both"/>
        <w:rPr>
          <w:rFonts w:ascii="Times New Roman" w:hAnsi="Times New Roman" w:cs="Times New Roman"/>
          <w:bCs/>
          <w:iCs/>
        </w:rPr>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2.2.2. Improvement in services to affected individuals      </w:t>
      </w:r>
    </w:p>
    <w:p w:rsidR="00E4573C" w:rsidRPr="00E4573C" w:rsidRDefault="00E4573C" w:rsidP="00E4573C">
      <w:pPr>
        <w:pStyle w:val="Default"/>
        <w:jc w:val="both"/>
        <w:rPr>
          <w:rFonts w:ascii="Times New Roman" w:hAnsi="Times New Roman" w:cs="Times New Roman"/>
        </w:rPr>
      </w:pPr>
    </w:p>
    <w:p w:rsidR="00E4573C" w:rsidRPr="00E4573C" w:rsidRDefault="00E4573C" w:rsidP="00877EDA">
      <w:pPr>
        <w:pStyle w:val="ListParagraph"/>
        <w:numPr>
          <w:ilvl w:val="0"/>
          <w:numId w:val="12"/>
        </w:numPr>
        <w:ind w:left="0" w:firstLine="0"/>
        <w:jc w:val="both"/>
      </w:pPr>
      <w:r w:rsidRPr="00E4573C">
        <w:t>In relation to persons with influenza-like symptoms, the project carried out actions aimed at improving hospital services, financing antiviral treatments and laboratory tests as outputs, as well as the provision of hospital inputs and equipment.</w:t>
      </w:r>
    </w:p>
    <w:p w:rsidR="00E4573C" w:rsidRPr="00E4573C" w:rsidRDefault="00E4573C" w:rsidP="00E4573C">
      <w:pPr>
        <w:pStyle w:val="Default"/>
        <w:jc w:val="both"/>
        <w:rPr>
          <w:rFonts w:ascii="Times New Roman" w:hAnsi="Times New Roman" w:cs="Times New Roman"/>
        </w:rPr>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2.2.2.1 Outpatient treatment provided       </w:t>
      </w:r>
    </w:p>
    <w:p w:rsidR="00E4573C" w:rsidRPr="00E4573C" w:rsidRDefault="00E4573C" w:rsidP="00E4573C">
      <w:pPr>
        <w:pStyle w:val="Default"/>
        <w:jc w:val="both"/>
        <w:rPr>
          <w:rFonts w:ascii="Times New Roman" w:hAnsi="Times New Roman" w:cs="Times New Roman"/>
          <w:b/>
        </w:rPr>
      </w:pPr>
    </w:p>
    <w:p w:rsidR="005A71EA" w:rsidRPr="00E4573C" w:rsidRDefault="00E4573C" w:rsidP="005A71EA">
      <w:pPr>
        <w:pStyle w:val="ListParagraph"/>
        <w:numPr>
          <w:ilvl w:val="0"/>
          <w:numId w:val="12"/>
        </w:numPr>
        <w:ind w:left="0" w:firstLine="0"/>
        <w:jc w:val="both"/>
        <w:rPr>
          <w:bCs/>
          <w:iCs/>
        </w:rPr>
      </w:pPr>
      <w:r w:rsidRPr="005A71EA">
        <w:rPr>
          <w:bCs/>
          <w:iCs/>
        </w:rPr>
        <w:t>In both 2010 and 2011 a high level of compliance was demonstrated in the project’s output 6, “</w:t>
      </w:r>
      <w:r w:rsidRPr="005A71EA">
        <w:rPr>
          <w:b/>
          <w:bCs/>
          <w:iCs/>
        </w:rPr>
        <w:t>outpatient treatments provided</w:t>
      </w:r>
      <w:r w:rsidRPr="005A71EA">
        <w:rPr>
          <w:bCs/>
          <w:iCs/>
        </w:rPr>
        <w:t>,” as measured by the number of cases of Influenza-Like Illness (ILI) reported to the SNVS, in relation to the number of treatments anticipated.</w:t>
      </w:r>
      <w:r w:rsidR="005A71EA" w:rsidRPr="005A71EA">
        <w:rPr>
          <w:bCs/>
          <w:iCs/>
        </w:rPr>
        <w:t xml:space="preserve"> </w:t>
      </w:r>
      <w:r w:rsidR="005A71EA" w:rsidRPr="00E4573C">
        <w:rPr>
          <w:bCs/>
          <w:iCs/>
        </w:rPr>
        <w:t xml:space="preserve">The project’s efforts to achieve certification in this indicator generated indirect positive effects, such as an improvement in the level of reporting in the provincial nodes in the SNVS, through the Complex Index for the Evaluation of the National Health Surveillance System (SNVS) – Module C by the National Directorate of Epidemiology (DE). This Index, developed in the project’s framework, is designed to </w:t>
      </w:r>
      <w:r w:rsidR="005A71EA" w:rsidRPr="00E4573C">
        <w:rPr>
          <w:bCs/>
          <w:iCs/>
        </w:rPr>
        <w:lastRenderedPageBreak/>
        <w:t>measure the status of reporting on the basis of data regularity and opportunity, as well as reporting coverage and adequate use of the system.</w:t>
      </w:r>
    </w:p>
    <w:p w:rsidR="00E4573C" w:rsidRPr="00E4573C" w:rsidRDefault="00E4573C" w:rsidP="00E4573C">
      <w:pPr>
        <w:pStyle w:val="Default"/>
        <w:jc w:val="both"/>
        <w:rPr>
          <w:rFonts w:ascii="Times New Roman" w:hAnsi="Times New Roman" w:cs="Times New Roman"/>
          <w:bCs/>
          <w:iCs/>
        </w:rPr>
      </w:pPr>
    </w:p>
    <w:p w:rsidR="00E4573C" w:rsidRPr="00E4573C" w:rsidRDefault="00E4573C" w:rsidP="00877EDA">
      <w:pPr>
        <w:pStyle w:val="ListParagraph"/>
        <w:numPr>
          <w:ilvl w:val="0"/>
          <w:numId w:val="12"/>
        </w:numPr>
        <w:ind w:left="0" w:firstLine="0"/>
        <w:jc w:val="both"/>
        <w:rPr>
          <w:bCs/>
          <w:iCs/>
        </w:rPr>
      </w:pPr>
      <w:r w:rsidRPr="00E4573C">
        <w:rPr>
          <w:bCs/>
          <w:iCs/>
        </w:rPr>
        <w:t>Among the primary institutional achievements linked to the reporting of Influenza-Like Illnesses, the following are worth highlighting: (i) SNVS’s legitimacy as a single reporting system; (ii) SNVS’s visibility in the national political agenda and the regional technical agenda; (iii) systematization of evaluation instruments; (iv) periodic production of MSAL’s Integrated Surveillance Newsletter; and (v) the integration of MSAL’s Surveillance Area with other programs.</w:t>
      </w:r>
    </w:p>
    <w:p w:rsidR="00E4573C" w:rsidRPr="00E4573C" w:rsidRDefault="00E4573C" w:rsidP="00E4573C">
      <w:pPr>
        <w:pStyle w:val="Default"/>
        <w:jc w:val="both"/>
        <w:rPr>
          <w:rFonts w:ascii="Times New Roman" w:hAnsi="Times New Roman" w:cs="Times New Roman"/>
          <w:bCs/>
          <w:iCs/>
        </w:rPr>
      </w:pPr>
    </w:p>
    <w:p w:rsidR="00E4573C" w:rsidRPr="00E4573C" w:rsidRDefault="00E4573C" w:rsidP="00E4573C">
      <w:pPr>
        <w:pStyle w:val="Default"/>
        <w:jc w:val="both"/>
        <w:rPr>
          <w:rFonts w:ascii="Times New Roman" w:hAnsi="Times New Roman" w:cs="Times New Roman"/>
          <w:bCs/>
          <w:iCs/>
        </w:rPr>
      </w:pPr>
      <w:r w:rsidRPr="00E4573C">
        <w:rPr>
          <w:rFonts w:ascii="Times New Roman" w:hAnsi="Times New Roman" w:cs="Times New Roman"/>
          <w:b/>
          <w:bCs/>
          <w:iCs/>
        </w:rPr>
        <w:t xml:space="preserve">2.2.2.2 Hospital treatment for Acute Respiratory Infections  </w:t>
      </w:r>
    </w:p>
    <w:p w:rsidR="00E4573C" w:rsidRPr="00E4573C" w:rsidRDefault="00E4573C" w:rsidP="00E4573C">
      <w:pPr>
        <w:pStyle w:val="Default"/>
        <w:jc w:val="both"/>
        <w:rPr>
          <w:rFonts w:ascii="Times New Roman" w:hAnsi="Times New Roman" w:cs="Times New Roman"/>
          <w:bCs/>
          <w:iCs/>
        </w:rPr>
      </w:pPr>
    </w:p>
    <w:p w:rsidR="00F11CC2" w:rsidRDefault="00E4573C" w:rsidP="00F11CC2">
      <w:pPr>
        <w:pStyle w:val="ListParagraph"/>
        <w:numPr>
          <w:ilvl w:val="0"/>
          <w:numId w:val="12"/>
        </w:numPr>
        <w:ind w:left="0" w:firstLine="0"/>
        <w:jc w:val="both"/>
        <w:rPr>
          <w:bCs/>
          <w:iCs/>
        </w:rPr>
      </w:pPr>
      <w:r w:rsidRPr="00E4573C">
        <w:rPr>
          <w:bCs/>
          <w:iCs/>
        </w:rPr>
        <w:t xml:space="preserve">During the winter months, acute respiratory infections represent the primary reason for doctor visits and inpatient treatment. </w:t>
      </w:r>
      <w:r w:rsidR="00F11CC2" w:rsidRPr="00E4573C">
        <w:rPr>
          <w:bCs/>
          <w:iCs/>
        </w:rPr>
        <w:t>While this indicator was not one of the project’s outputs, it indicates the increase in reported events of acute respiratory infections during the project’s implementation.</w:t>
      </w:r>
    </w:p>
    <w:p w:rsidR="00E4573C" w:rsidRPr="00E4573C" w:rsidRDefault="00E4573C" w:rsidP="00F11CC2">
      <w:pPr>
        <w:pStyle w:val="ListParagraph"/>
        <w:ind w:left="0"/>
        <w:jc w:val="both"/>
        <w:rPr>
          <w:bCs/>
          <w:iCs/>
        </w:rPr>
      </w:pPr>
    </w:p>
    <w:p w:rsidR="00E4573C" w:rsidRPr="00E4573C" w:rsidRDefault="00E4573C" w:rsidP="00E4573C">
      <w:pPr>
        <w:jc w:val="both"/>
        <w:rPr>
          <w:b/>
          <w:bCs/>
          <w:iCs/>
          <w:color w:val="000000"/>
        </w:rPr>
      </w:pPr>
      <w:r w:rsidRPr="00E4573C">
        <w:rPr>
          <w:b/>
          <w:bCs/>
          <w:iCs/>
          <w:color w:val="000000"/>
        </w:rPr>
        <w:t xml:space="preserve">2.2.2.3 Laboratory tests conducted  </w:t>
      </w:r>
    </w:p>
    <w:p w:rsidR="00E4573C" w:rsidRPr="00E4573C" w:rsidRDefault="00E4573C" w:rsidP="00E4573C">
      <w:pPr>
        <w:jc w:val="both"/>
        <w:rPr>
          <w:bCs/>
          <w:iCs/>
          <w:color w:val="000000"/>
        </w:rPr>
      </w:pPr>
    </w:p>
    <w:p w:rsidR="00E4573C" w:rsidRPr="00E4573C" w:rsidRDefault="00E4573C" w:rsidP="00877EDA">
      <w:pPr>
        <w:pStyle w:val="ListParagraph"/>
        <w:numPr>
          <w:ilvl w:val="0"/>
          <w:numId w:val="12"/>
        </w:numPr>
        <w:ind w:left="0" w:firstLine="0"/>
        <w:jc w:val="both"/>
        <w:rPr>
          <w:bCs/>
          <w:iCs/>
          <w:color w:val="000000"/>
        </w:rPr>
      </w:pPr>
      <w:r w:rsidRPr="00E4573C">
        <w:rPr>
          <w:bCs/>
          <w:iCs/>
          <w:color w:val="000000"/>
        </w:rPr>
        <w:t>Among the main achievements identified by the Directorate of Epidemiology in relation to laboratory surveillance</w:t>
      </w:r>
      <w:r w:rsidR="006216F1">
        <w:rPr>
          <w:bCs/>
          <w:iCs/>
          <w:color w:val="000000"/>
        </w:rPr>
        <w:t xml:space="preserve"> are</w:t>
      </w:r>
      <w:r w:rsidRPr="00E4573C">
        <w:rPr>
          <w:bCs/>
          <w:iCs/>
          <w:color w:val="000000"/>
        </w:rPr>
        <w:t xml:space="preserve"> the following: (i) active monitoring of respiratory viruses was maintained in Argentina since 2008, and was strengthened during and following the influenza pandemic; (ii) the influenza outbreaks in 2011 were detected early through SIVILA information and helped to characterize the increases in ILI cases, including those not occurring during the winter season; (iii) the system was consolidated as a communication tool through the use of virtual derivation; (iv) Argentina currently contributes the greatest volume of information on respiratory viruses in the region, used in the analysis and dissemination of information on the influenza situation; (v) information on the situation in the country is available weekly through the Integrated Surveillance Newsletter; (vi) information is analyzed and disseminated at provincial and local levels; and (vii) SIVILA was consolidated as the single source of information on the monitoring of respiratory viruses at the national level.</w:t>
      </w:r>
    </w:p>
    <w:p w:rsidR="00E4573C" w:rsidRPr="00E4573C" w:rsidRDefault="00E4573C" w:rsidP="00E4573C">
      <w:pPr>
        <w:jc w:val="both"/>
        <w:rPr>
          <w:bCs/>
          <w:iCs/>
          <w:color w:val="000000"/>
        </w:rPr>
      </w:pPr>
    </w:p>
    <w:p w:rsidR="00E4573C" w:rsidRPr="00E4573C" w:rsidRDefault="00E4573C" w:rsidP="00E4573C">
      <w:pPr>
        <w:pStyle w:val="Default"/>
        <w:jc w:val="both"/>
        <w:rPr>
          <w:rFonts w:ascii="Times New Roman" w:hAnsi="Times New Roman" w:cs="Times New Roman"/>
          <w:b/>
          <w:bCs/>
          <w:iCs/>
        </w:rPr>
      </w:pPr>
      <w:r w:rsidRPr="00E4573C">
        <w:rPr>
          <w:rFonts w:ascii="Times New Roman" w:hAnsi="Times New Roman" w:cs="Times New Roman"/>
          <w:b/>
          <w:bCs/>
          <w:iCs/>
        </w:rPr>
        <w:t xml:space="preserve">2.2.2.4 Inputs and Equipment     </w:t>
      </w:r>
    </w:p>
    <w:p w:rsidR="00E4573C" w:rsidRPr="00E4573C" w:rsidRDefault="00E4573C" w:rsidP="00E4573C">
      <w:pPr>
        <w:pStyle w:val="Default"/>
        <w:jc w:val="both"/>
        <w:rPr>
          <w:rFonts w:ascii="Times New Roman" w:hAnsi="Times New Roman" w:cs="Times New Roman"/>
          <w:b/>
          <w:bCs/>
          <w:iCs/>
        </w:rPr>
      </w:pPr>
    </w:p>
    <w:p w:rsidR="005B2B45" w:rsidRPr="00E4573C" w:rsidRDefault="005B2B45" w:rsidP="005B2B45">
      <w:pPr>
        <w:pStyle w:val="ListParagraph"/>
        <w:numPr>
          <w:ilvl w:val="0"/>
          <w:numId w:val="12"/>
        </w:numPr>
        <w:ind w:left="0" w:firstLine="0"/>
        <w:jc w:val="both"/>
      </w:pPr>
      <w:r w:rsidRPr="00E4573C">
        <w:t>With the acquisition of equipment, the network of 208 hospitals (with a total of 1,674 critical care hospital beds) was strengthened. If we consider that the equipment for a critical care bed consists of a multiparametric monitor, infusion pump and oximeter, equipment was provided for a total of 625 beds (37.33% of those available).</w:t>
      </w:r>
    </w:p>
    <w:p w:rsidR="005B2B45" w:rsidRPr="00E4573C" w:rsidRDefault="005B2B45" w:rsidP="005B2B45">
      <w:pPr>
        <w:pStyle w:val="ListParagraph"/>
        <w:ind w:left="0"/>
        <w:jc w:val="both"/>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2.3 Primary factors affecting the Project’s execution     </w:t>
      </w:r>
      <w:bookmarkStart w:id="219" w:name="_Toc251926853"/>
      <w:bookmarkStart w:id="220" w:name="Sustainability"/>
    </w:p>
    <w:p w:rsidR="00E4573C" w:rsidRPr="00E4573C" w:rsidRDefault="00E4573C" w:rsidP="00E4573C">
      <w:pPr>
        <w:pStyle w:val="Default"/>
        <w:jc w:val="both"/>
        <w:rPr>
          <w:rFonts w:ascii="Times New Roman" w:hAnsi="Times New Roman" w:cs="Times New Roman"/>
        </w:rPr>
      </w:pPr>
    </w:p>
    <w:p w:rsidR="00E4573C" w:rsidRDefault="00E4573C" w:rsidP="00877EDA">
      <w:pPr>
        <w:pStyle w:val="ListParagraph"/>
        <w:numPr>
          <w:ilvl w:val="0"/>
          <w:numId w:val="12"/>
        </w:numPr>
        <w:ind w:left="0" w:firstLine="0"/>
        <w:jc w:val="both"/>
      </w:pPr>
      <w:r w:rsidRPr="00E4573C">
        <w:t xml:space="preserve">The risks identified </w:t>
      </w:r>
      <w:r w:rsidR="005B2B45">
        <w:t xml:space="preserve">in the PAD </w:t>
      </w:r>
      <w:r w:rsidRPr="00E4573C">
        <w:t>are presented below, together with the way in which the Project was able to mitigate them, and some results that indicate this.</w:t>
      </w:r>
    </w:p>
    <w:p w:rsidR="00CC1427" w:rsidRPr="00E4573C" w:rsidRDefault="00CC1427" w:rsidP="00CC1427">
      <w:pPr>
        <w:pStyle w:val="ListParagraph"/>
        <w:ind w:left="0"/>
        <w:jc w:val="both"/>
      </w:pPr>
    </w:p>
    <w:bookmarkEnd w:id="219"/>
    <w:p w:rsidR="003F225D" w:rsidRPr="005B2B45" w:rsidRDefault="00E4573C" w:rsidP="005B2B45">
      <w:pPr>
        <w:pStyle w:val="ListParagraph"/>
        <w:numPr>
          <w:ilvl w:val="0"/>
          <w:numId w:val="12"/>
        </w:numPr>
        <w:ind w:left="0" w:firstLine="0"/>
        <w:jc w:val="both"/>
        <w:rPr>
          <w:b/>
          <w:i/>
          <w:lang w:eastAsia="es-AR"/>
        </w:rPr>
      </w:pPr>
      <w:r w:rsidRPr="005B2B45">
        <w:rPr>
          <w:b/>
          <w:i/>
          <w:lang w:eastAsia="es-AR"/>
        </w:rPr>
        <w:lastRenderedPageBreak/>
        <w:t>Argentina could confront some challenges in order to acquire enough A/H1N1 vaccines necessary to vaccinate 8.5 million persons.</w:t>
      </w:r>
      <w:r w:rsidR="005B2B45" w:rsidRPr="005B2B45">
        <w:t xml:space="preserve"> </w:t>
      </w:r>
    </w:p>
    <w:p w:rsidR="00E4573C" w:rsidRPr="00E4573C" w:rsidRDefault="00E4573C" w:rsidP="00E4573C">
      <w:pPr>
        <w:jc w:val="both"/>
      </w:pPr>
    </w:p>
    <w:p w:rsidR="005B2B45" w:rsidRDefault="005B2B45" w:rsidP="005B2B45">
      <w:pPr>
        <w:pStyle w:val="ListParagraph"/>
        <w:numPr>
          <w:ilvl w:val="0"/>
          <w:numId w:val="12"/>
        </w:numPr>
        <w:ind w:left="0" w:firstLine="0"/>
        <w:jc w:val="both"/>
        <w:rPr>
          <w:b/>
          <w:i/>
          <w:lang w:eastAsia="es-AR"/>
        </w:rPr>
      </w:pPr>
      <w:r w:rsidRPr="00E4573C">
        <w:t>The Pandemic Flu Vaccination Campaign was part of a comprehensive strategy for preventing illnesses from the A/H1N1 Influenza in Argentina</w:t>
      </w:r>
      <w:r>
        <w:t xml:space="preserve">. </w:t>
      </w:r>
      <w:r w:rsidRPr="00E4573C">
        <w:t>The GOA acquired the pandemic and trivalent vaccines with the pandemic strain for the amount of US $88,000,000 through a bidding process carried out between November 2009 and January 2010 through what was known at that time as MSAL’s Expanded Immunizations Program (PAI). During preparations for the Project, in January to March 2010, consideration was given to the possibility of retroactive financing of this expenditure by the Bank, but the standards for acquisition were not compatible, and therefore the partial cancellation of the loan in this amount was requested in December 2010.</w:t>
      </w:r>
    </w:p>
    <w:p w:rsidR="00E4573C" w:rsidRPr="00E4573C" w:rsidRDefault="00E4573C" w:rsidP="00E4573C">
      <w:pPr>
        <w:jc w:val="both"/>
      </w:pPr>
    </w:p>
    <w:p w:rsidR="00E4573C" w:rsidRDefault="00E4573C" w:rsidP="00877EDA">
      <w:pPr>
        <w:pStyle w:val="ListParagraph"/>
        <w:numPr>
          <w:ilvl w:val="0"/>
          <w:numId w:val="12"/>
        </w:numPr>
        <w:ind w:left="0" w:firstLine="0"/>
        <w:jc w:val="both"/>
        <w:rPr>
          <w:b/>
          <w:i/>
          <w:lang w:eastAsia="es-AR"/>
        </w:rPr>
      </w:pPr>
      <w:r w:rsidRPr="00E4573C">
        <w:rPr>
          <w:b/>
          <w:i/>
          <w:lang w:eastAsia="es-AR"/>
        </w:rPr>
        <w:t>The A/H1N1 vaccine currently being developed may cause adverse affects to health with greater frequency and of a more serious nature than what was anticipated and deemed tolerable.</w:t>
      </w:r>
    </w:p>
    <w:p w:rsidR="00CC1427" w:rsidRPr="00CC1427" w:rsidRDefault="00CC1427" w:rsidP="00CC1427">
      <w:pPr>
        <w:pStyle w:val="ListParagraph"/>
        <w:rPr>
          <w:b/>
          <w:i/>
          <w:lang w:eastAsia="es-AR"/>
        </w:rPr>
      </w:pPr>
    </w:p>
    <w:p w:rsidR="00E4573C" w:rsidRDefault="00E4573C" w:rsidP="00877EDA">
      <w:pPr>
        <w:pStyle w:val="ListParagraph"/>
        <w:numPr>
          <w:ilvl w:val="0"/>
          <w:numId w:val="12"/>
        </w:numPr>
        <w:ind w:left="0" w:firstLine="0"/>
        <w:jc w:val="both"/>
      </w:pPr>
      <w:r w:rsidRPr="00E4573C">
        <w:t>The risk-benefit assessment of the application of vaccines allows us to affirm that the available vaccines are safe. The safety of vaccines and vaccination covers the products’ characteristics as well as the ways in which they are applied.</w:t>
      </w:r>
    </w:p>
    <w:p w:rsidR="00E4573C" w:rsidRDefault="00E4573C" w:rsidP="00877EDA">
      <w:pPr>
        <w:pStyle w:val="ListParagraph"/>
        <w:numPr>
          <w:ilvl w:val="0"/>
          <w:numId w:val="12"/>
        </w:numPr>
        <w:ind w:left="0" w:firstLine="0"/>
        <w:jc w:val="both"/>
        <w:rPr>
          <w:b/>
          <w:i/>
          <w:lang w:eastAsia="es-AR"/>
        </w:rPr>
      </w:pPr>
      <w:r w:rsidRPr="00E4573C">
        <w:rPr>
          <w:b/>
          <w:i/>
          <w:lang w:eastAsia="es-AR"/>
        </w:rPr>
        <w:t>In terms of the capacity for implementation, there are serious institutional limitations in responding quickly and effectively to a wave of the long-term, virulent A/H1N1 influenza epidemic.</w:t>
      </w:r>
    </w:p>
    <w:p w:rsidR="00CC1427" w:rsidRPr="00CC1427" w:rsidRDefault="00CC1427" w:rsidP="00CC1427">
      <w:pPr>
        <w:pStyle w:val="ListParagraph"/>
        <w:rPr>
          <w:b/>
          <w:i/>
          <w:lang w:eastAsia="es-AR"/>
        </w:rPr>
      </w:pPr>
    </w:p>
    <w:p w:rsidR="00CC1427" w:rsidRDefault="00E4573C" w:rsidP="00877EDA">
      <w:pPr>
        <w:pStyle w:val="ListParagraph"/>
        <w:numPr>
          <w:ilvl w:val="0"/>
          <w:numId w:val="12"/>
        </w:numPr>
        <w:ind w:left="0" w:firstLine="0"/>
        <w:jc w:val="both"/>
        <w:rPr>
          <w:lang w:eastAsia="es-AR"/>
        </w:rPr>
      </w:pPr>
      <w:r w:rsidRPr="00E4573C">
        <w:rPr>
          <w:lang w:eastAsia="es-AR"/>
        </w:rPr>
        <w:t>The GOA’s capacity to confront the second pandemic wave expected in 2010 was proven to be effective. The coordination between the national and provincial levels in the implementation of control and prevention actions was highly effective, as demonstrated by the indicators of coverage and mortality from the virus during that year.</w:t>
      </w:r>
    </w:p>
    <w:p w:rsidR="00CC1427" w:rsidRDefault="00CC1427" w:rsidP="00CC1427">
      <w:pPr>
        <w:pStyle w:val="ListParagraph"/>
        <w:rPr>
          <w:lang w:eastAsia="es-AR"/>
        </w:rPr>
      </w:pPr>
    </w:p>
    <w:bookmarkEnd w:id="220"/>
    <w:p w:rsidR="00E4573C" w:rsidRPr="00CC1427" w:rsidRDefault="00E4573C" w:rsidP="00877EDA">
      <w:pPr>
        <w:pStyle w:val="ListParagraph"/>
        <w:numPr>
          <w:ilvl w:val="0"/>
          <w:numId w:val="12"/>
        </w:numPr>
        <w:ind w:left="0" w:firstLine="0"/>
        <w:jc w:val="both"/>
        <w:rPr>
          <w:b/>
          <w:i/>
        </w:rPr>
      </w:pPr>
      <w:r w:rsidRPr="00F35FFB">
        <w:rPr>
          <w:b/>
          <w:i/>
        </w:rPr>
        <w:t>Other factors not anticipated in the PAD that affected the project’s execution</w:t>
      </w:r>
      <w:r w:rsidR="00877EDA">
        <w:rPr>
          <w:b/>
        </w:rPr>
        <w:t xml:space="preserve"> </w:t>
      </w:r>
      <w:r w:rsidRPr="00CC1427">
        <w:rPr>
          <w:b/>
          <w:i/>
        </w:rPr>
        <w:t>Incompatibility between national standards for acquisitions and those of the financing entity:</w:t>
      </w:r>
    </w:p>
    <w:p w:rsidR="00E4573C" w:rsidRPr="00E4573C" w:rsidRDefault="00E4573C" w:rsidP="00E4573C">
      <w:pPr>
        <w:jc w:val="both"/>
        <w:rPr>
          <w:b/>
          <w:i/>
        </w:rPr>
      </w:pPr>
    </w:p>
    <w:p w:rsidR="00E4573C" w:rsidRPr="00E4573C" w:rsidRDefault="00E4573C" w:rsidP="00877EDA">
      <w:pPr>
        <w:pStyle w:val="ListParagraph"/>
        <w:numPr>
          <w:ilvl w:val="0"/>
          <w:numId w:val="12"/>
        </w:numPr>
        <w:ind w:left="0" w:firstLine="0"/>
        <w:jc w:val="both"/>
      </w:pPr>
      <w:r w:rsidRPr="00E4573C">
        <w:t>The incompatibility between national standards for acquisitions and those of the project’s financing entity generated the need to request the partial cancelation of the loan initially anticipated. Of US $229,000,000, a total of US $88,000,000 was cancelled, with a loan of US $141,000,000 remaining. It is important to emphasize that this unforeseen circumstance did not affect the project’s execution in any way, as acquisitions were made with funds from the national treasury.</w:t>
      </w:r>
    </w:p>
    <w:p w:rsidR="00E4573C" w:rsidRDefault="00E4573C" w:rsidP="00E4573C">
      <w:pPr>
        <w:jc w:val="both"/>
      </w:pPr>
    </w:p>
    <w:p w:rsidR="00E4573C" w:rsidRPr="00E4573C" w:rsidRDefault="00E4573C" w:rsidP="00E4573C">
      <w:pPr>
        <w:jc w:val="both"/>
        <w:rPr>
          <w:b/>
          <w:i/>
        </w:rPr>
      </w:pPr>
      <w:r w:rsidRPr="00E4573C">
        <w:rPr>
          <w:b/>
          <w:i/>
        </w:rPr>
        <w:t xml:space="preserve">Provincial political-institutional contexts    </w:t>
      </w:r>
    </w:p>
    <w:p w:rsidR="00E4573C" w:rsidRPr="00E4573C" w:rsidRDefault="00E4573C" w:rsidP="00E4573C">
      <w:pPr>
        <w:jc w:val="both"/>
        <w:rPr>
          <w:b/>
          <w:i/>
        </w:rPr>
      </w:pPr>
    </w:p>
    <w:p w:rsidR="00E4573C" w:rsidRPr="00E4573C" w:rsidRDefault="00E4573C" w:rsidP="00877EDA">
      <w:pPr>
        <w:pStyle w:val="ListParagraph"/>
        <w:numPr>
          <w:ilvl w:val="0"/>
          <w:numId w:val="12"/>
        </w:numPr>
        <w:ind w:left="0" w:firstLine="0"/>
        <w:jc w:val="both"/>
      </w:pPr>
      <w:r w:rsidRPr="00E4573C">
        <w:t xml:space="preserve">Output 1, “Health Situation Rooms,” was influenced by jurisdictions’ political decisions that had an impact on their implementation. We might especially mention the case of the city of Buenos Aires which, by not signing on to Project FESP, could not participate in the </w:t>
      </w:r>
      <w:r w:rsidR="005B2B45">
        <w:t>P</w:t>
      </w:r>
      <w:r w:rsidRPr="00E4573C">
        <w:t xml:space="preserve">roject’s financing of Situation Rooms. We would also mention the </w:t>
      </w:r>
      <w:r w:rsidRPr="00E4573C">
        <w:lastRenderedPageBreak/>
        <w:t xml:space="preserve">case of the Formosa province, where the change in health authorities led to the suspension of activities in the Situation Room during the third year of implementation, as it was not considered to be a priority within its overall policies. </w:t>
      </w:r>
    </w:p>
    <w:p w:rsidR="00E4573C" w:rsidRPr="00E4573C" w:rsidRDefault="00E4573C" w:rsidP="00E4573C">
      <w:pPr>
        <w:jc w:val="both"/>
      </w:pPr>
    </w:p>
    <w:p w:rsidR="00E4573C" w:rsidRPr="00E4573C" w:rsidRDefault="00E4573C" w:rsidP="00877EDA">
      <w:pPr>
        <w:pStyle w:val="ListParagraph"/>
        <w:numPr>
          <w:ilvl w:val="0"/>
          <w:numId w:val="12"/>
        </w:numPr>
        <w:ind w:left="0" w:firstLine="0"/>
        <w:jc w:val="both"/>
      </w:pPr>
      <w:r w:rsidRPr="00E4573C">
        <w:t>Outputs 2 and 3, “MOCS for the general population and for the indigenous population,” also executed at the provincial level, were affected by the lack of interinstitutional coordination among the various areas involved: health ministries, communication departments and offices for promoting and assisting native peoples. This was the case in La Pampa and Salta.</w:t>
      </w:r>
    </w:p>
    <w:p w:rsidR="00E4573C" w:rsidRPr="00E4573C" w:rsidRDefault="00E4573C" w:rsidP="00E4573C">
      <w:pPr>
        <w:jc w:val="both"/>
      </w:pPr>
    </w:p>
    <w:p w:rsidR="00E4573C" w:rsidRPr="00E4573C" w:rsidRDefault="00E4573C" w:rsidP="00E4573C">
      <w:pPr>
        <w:pStyle w:val="Default"/>
        <w:jc w:val="both"/>
        <w:rPr>
          <w:rFonts w:ascii="Times New Roman" w:hAnsi="Times New Roman" w:cs="Times New Roman"/>
          <w:b/>
        </w:rPr>
      </w:pPr>
      <w:r w:rsidRPr="00E4573C">
        <w:rPr>
          <w:rFonts w:ascii="Times New Roman" w:hAnsi="Times New Roman" w:cs="Times New Roman"/>
          <w:b/>
        </w:rPr>
        <w:t xml:space="preserve">CHAPTER 3: Final considerations  </w:t>
      </w:r>
    </w:p>
    <w:p w:rsidR="00877EDA" w:rsidRDefault="00877EDA" w:rsidP="00763E90"/>
    <w:p w:rsidR="00E4573C" w:rsidRDefault="00E4573C" w:rsidP="00877EDA">
      <w:pPr>
        <w:pStyle w:val="ListParagraph"/>
        <w:numPr>
          <w:ilvl w:val="0"/>
          <w:numId w:val="12"/>
        </w:numPr>
        <w:ind w:left="0" w:firstLine="0"/>
        <w:jc w:val="both"/>
      </w:pPr>
      <w:r w:rsidRPr="00E4573C">
        <w:t>An important result of timely actions in anti-flu vaccination is that the number of deaths from the A/H1N1 virus decreased from 626 in 2009, to 2 in 2010 (outside risk groups), to 0 in 2011, as reported to the intensified surveillance system implemented during the pandemic and in the years that followed.</w:t>
      </w:r>
    </w:p>
    <w:p w:rsidR="00877EDA" w:rsidRDefault="00877EDA" w:rsidP="00763E90"/>
    <w:p w:rsidR="00E4573C" w:rsidRDefault="00E4573C" w:rsidP="00877EDA">
      <w:pPr>
        <w:pStyle w:val="ListParagraph"/>
        <w:numPr>
          <w:ilvl w:val="0"/>
          <w:numId w:val="12"/>
        </w:numPr>
        <w:ind w:left="0" w:firstLine="0"/>
        <w:jc w:val="both"/>
      </w:pPr>
      <w:r w:rsidRPr="00E4573C">
        <w:t xml:space="preserve">Regarding the anti-pneumococcal vaccination, efforts have been made to intensify its application to the at-risk population. During the 2010 campaign, it became clear that the records of the vaccine’s application did not reflect the demand for and application of doses in the provinces. This led to the need for reinforcing the doses from the national level to the SNVS for the 2011 campaign. That year the coverage achieved in terms of the doses distributed in all the country’s provinces was 93.3%. </w:t>
      </w:r>
    </w:p>
    <w:p w:rsidR="00877EDA" w:rsidRDefault="00877EDA" w:rsidP="00877EDA">
      <w:pPr>
        <w:pStyle w:val="ListParagraph"/>
      </w:pPr>
    </w:p>
    <w:p w:rsidR="00E4573C" w:rsidRDefault="00E4573C" w:rsidP="00877EDA">
      <w:pPr>
        <w:pStyle w:val="ListParagraph"/>
        <w:numPr>
          <w:ilvl w:val="0"/>
          <w:numId w:val="12"/>
        </w:numPr>
        <w:ind w:left="0" w:firstLine="0"/>
        <w:jc w:val="both"/>
      </w:pPr>
      <w:r w:rsidRPr="00E4573C">
        <w:t>The anti-pneumococcal vaccine, like the anti-flu vaccine, was incorporated into the national vaccination calendar, beginning on January 1, 2012, for children under one year of age. This was implemented together with strategies for diminishing morbimortality from respiratory illnesses, primarily from pneumonia in children, since pneumococcus may produce serious illness, with serious consequences and/or death.</w:t>
      </w:r>
    </w:p>
    <w:p w:rsidR="00877EDA" w:rsidRDefault="00877EDA" w:rsidP="00877EDA">
      <w:pPr>
        <w:pStyle w:val="ListParagraph"/>
      </w:pPr>
    </w:p>
    <w:p w:rsidR="00E4573C" w:rsidRDefault="00E4573C" w:rsidP="00877EDA">
      <w:pPr>
        <w:pStyle w:val="ListParagraph"/>
        <w:numPr>
          <w:ilvl w:val="0"/>
          <w:numId w:val="12"/>
        </w:numPr>
        <w:ind w:left="0" w:firstLine="0"/>
        <w:jc w:val="both"/>
      </w:pPr>
      <w:r w:rsidRPr="00E4573C">
        <w:t xml:space="preserve">The high coverage achieved during the pandemic, in terms of reporting ILI in the SNVS, was maintained with a high degree of compliance, and was used to evaluate the provision of outpatient treatments to symptomatic patients, with 105.8% for 2010 and 99.1% for 2011, in relation to the goals proposed for the project. </w:t>
      </w:r>
    </w:p>
    <w:p w:rsidR="00877EDA" w:rsidRDefault="00877EDA" w:rsidP="00763E90"/>
    <w:p w:rsidR="00E4573C" w:rsidRDefault="00E4573C" w:rsidP="00877EDA">
      <w:pPr>
        <w:pStyle w:val="ListParagraph"/>
        <w:numPr>
          <w:ilvl w:val="0"/>
          <w:numId w:val="12"/>
        </w:numPr>
        <w:ind w:left="0" w:firstLine="0"/>
        <w:jc w:val="both"/>
      </w:pPr>
      <w:r w:rsidRPr="00E4573C">
        <w:t>With regard to laboratory surveillance, the project consolidated the use of this surveillance tool, reporting a significant level of compliance. In 2009 a total of 36,000 laboratory tests conducted (baseline) was reported to the SNVS, and between 2010 and 2011, a total of 65,341 tests for respiratory viruses were reported.</w:t>
      </w:r>
    </w:p>
    <w:p w:rsidR="00877EDA" w:rsidRDefault="00877EDA" w:rsidP="00877EDA">
      <w:pPr>
        <w:pStyle w:val="ListParagraph"/>
      </w:pPr>
    </w:p>
    <w:p w:rsidR="00E4573C" w:rsidRDefault="00E4573C" w:rsidP="00877EDA">
      <w:pPr>
        <w:pStyle w:val="ListParagraph"/>
        <w:numPr>
          <w:ilvl w:val="0"/>
          <w:numId w:val="12"/>
        </w:numPr>
        <w:ind w:left="0" w:firstLine="0"/>
        <w:jc w:val="both"/>
      </w:pPr>
      <w:r w:rsidRPr="00E4573C">
        <w:t xml:space="preserve">An important externality from the project has been the use of SNVS components as a single registry system in all of the country’s provinces. This is because in order to certify the application of vaccines (PRONACEI), the provision of outpatient treatments (Module C2) and the application of laboratory tests (SIVILA Module), it was necessary for the cases to be reported to the SNVS. This led to an improvement in the quality and </w:t>
      </w:r>
      <w:r w:rsidRPr="00E4573C">
        <w:lastRenderedPageBreak/>
        <w:t xml:space="preserve">timeliness of the information provided to the SNVS, in terms of obligatory reporting of events. </w:t>
      </w:r>
    </w:p>
    <w:p w:rsidR="00877EDA" w:rsidRDefault="00877EDA" w:rsidP="00763E90"/>
    <w:p w:rsidR="00877EDA" w:rsidRDefault="00E4573C" w:rsidP="0088770B">
      <w:pPr>
        <w:pStyle w:val="ListParagraph"/>
        <w:numPr>
          <w:ilvl w:val="0"/>
          <w:numId w:val="12"/>
        </w:numPr>
        <w:ind w:left="0" w:firstLine="0"/>
        <w:jc w:val="both"/>
      </w:pPr>
      <w:r w:rsidRPr="00E4573C">
        <w:t xml:space="preserve">Although the project was designed in an emergency context, with the aim of controlling the pandemic in Argentina caused by the A/H1N1 virus during 2009, two of the main structural objectives were to strengthen surveillance systems and to improve access to timely information for making health decisions. Thus, one of the project’s important contributions to these objectives was the implementation of Health Situation Rooms (HSRs) in all of the country’s provinces. </w:t>
      </w:r>
    </w:p>
    <w:p w:rsidR="00520B42" w:rsidRDefault="00520B42" w:rsidP="00520B42">
      <w:pPr>
        <w:pStyle w:val="ListParagraph"/>
        <w:ind w:left="0"/>
        <w:jc w:val="both"/>
      </w:pPr>
    </w:p>
    <w:p w:rsidR="00E4573C" w:rsidRDefault="00E4573C" w:rsidP="00877EDA">
      <w:pPr>
        <w:pStyle w:val="ListParagraph"/>
        <w:numPr>
          <w:ilvl w:val="0"/>
          <w:numId w:val="12"/>
        </w:numPr>
        <w:ind w:left="0" w:firstLine="0"/>
        <w:jc w:val="both"/>
      </w:pPr>
      <w:r w:rsidRPr="00E4573C">
        <w:t xml:space="preserve">The </w:t>
      </w:r>
      <w:r w:rsidR="00F35FFB" w:rsidRPr="00E4573C">
        <w:t>project promoted</w:t>
      </w:r>
      <w:r w:rsidRPr="00E4573C">
        <w:t xml:space="preserve"> the design and implementation of communication campaigns focused on prevention and self-care, directed at the general population and the indigenous population in particular. The experience has been successful, since it permitted the provinces to define strategic actions, and to implement and document them. From an institutional perspective, this is considered an action to be replicated by other programs in terms of interinstitutional management and coordination, with guidance from the national level and implemented with provinces and within them, among the various areas involved.</w:t>
      </w:r>
    </w:p>
    <w:p w:rsidR="00877EDA" w:rsidRDefault="00877EDA" w:rsidP="00877EDA">
      <w:pPr>
        <w:pStyle w:val="ListParagraph"/>
      </w:pPr>
    </w:p>
    <w:p w:rsidR="00E4573C" w:rsidRDefault="00E4573C" w:rsidP="00877EDA">
      <w:pPr>
        <w:pStyle w:val="ListParagraph"/>
        <w:numPr>
          <w:ilvl w:val="0"/>
          <w:numId w:val="12"/>
        </w:numPr>
        <w:ind w:left="0" w:firstLine="0"/>
        <w:jc w:val="both"/>
      </w:pPr>
      <w:r w:rsidRPr="00E4573C">
        <w:t>In general, the project management model has been considered to be successful, and has contributed to the optimization of resources, strengthening synergies among the various actors involved, minimizing operational costs and contributing to strengthening the country’s Ministry of Health. Actively involved in project coordination by the International Financing Units were the technical teams from the Epidemiology Department, PRONACEI, Health Economy Department, Communications area and the FESP Project. With this model it was possible to reprogram operational and administrative expenditures in line with technical components.</w:t>
      </w:r>
    </w:p>
    <w:p w:rsidR="00877EDA" w:rsidRDefault="00877EDA" w:rsidP="00877EDA">
      <w:pPr>
        <w:pStyle w:val="ListParagraph"/>
      </w:pPr>
    </w:p>
    <w:p w:rsidR="00E4573C" w:rsidRDefault="00E4573C" w:rsidP="00877EDA">
      <w:pPr>
        <w:pStyle w:val="ListParagraph"/>
        <w:numPr>
          <w:ilvl w:val="0"/>
          <w:numId w:val="12"/>
        </w:numPr>
        <w:ind w:left="0" w:firstLine="0"/>
        <w:jc w:val="both"/>
      </w:pPr>
      <w:r w:rsidRPr="00E4573C">
        <w:t xml:space="preserve">The results-based financing model promoted changes in guidelines for the management, evaluation and regulation of the organizations involved, facilitating improvements in strategic and operational planning actions and the re-engineering of processes and structures. The Situation Rooms were developed with this model, under a scheme of incentives and the development of mechanisms for evaluating and controlling results. </w:t>
      </w:r>
    </w:p>
    <w:p w:rsidR="00877EDA" w:rsidRDefault="00877EDA" w:rsidP="00877EDA">
      <w:pPr>
        <w:pStyle w:val="ListParagraph"/>
      </w:pPr>
    </w:p>
    <w:p w:rsidR="00E4573C" w:rsidRDefault="00E4573C" w:rsidP="00877EDA">
      <w:pPr>
        <w:pStyle w:val="ListParagraph"/>
        <w:numPr>
          <w:ilvl w:val="0"/>
          <w:numId w:val="12"/>
        </w:numPr>
        <w:ind w:left="0" w:firstLine="0"/>
        <w:jc w:val="both"/>
      </w:pPr>
      <w:r w:rsidRPr="00E4573C">
        <w:t>The emergency context generated by the pandemic served to deepen the commitment assumed in the provinces, formalized through the signing of letters of adherence in the country’s 23 jurisdictions. The guiding role of the National Ministry of Health with the Provincial Ministries of Health was strengthened in order to respond effectively to the emergency.</w:t>
      </w:r>
    </w:p>
    <w:p w:rsidR="00877EDA" w:rsidRDefault="00877EDA" w:rsidP="00877EDA">
      <w:pPr>
        <w:pStyle w:val="ListParagraph"/>
      </w:pPr>
    </w:p>
    <w:p w:rsidR="00E4573C" w:rsidRDefault="00E4573C" w:rsidP="00877EDA">
      <w:pPr>
        <w:pStyle w:val="ListParagraph"/>
        <w:numPr>
          <w:ilvl w:val="0"/>
          <w:numId w:val="12"/>
        </w:numPr>
        <w:ind w:left="0" w:firstLine="0"/>
        <w:jc w:val="both"/>
      </w:pPr>
      <w:r w:rsidRPr="00E4573C">
        <w:t xml:space="preserve">The study of the impact from health measures taken in Argentina to fight influenza offers an estimate of the significant magnitude of the economic impact generated by the Influenza A/H1N1 pandemic in the society during 2009 and 2010. This impact was specifically in terms of direct costs for treatment and prevention, the loss of productivity due to school and work absences, and the loss of opportunities for society. </w:t>
      </w:r>
      <w:r w:rsidRPr="00E4573C">
        <w:lastRenderedPageBreak/>
        <w:t>Also offered is an estimate of the life years lost through premature death, adjusted by life quality and disability.</w:t>
      </w:r>
    </w:p>
    <w:p w:rsidR="00877EDA" w:rsidRDefault="00877EDA" w:rsidP="00877EDA">
      <w:pPr>
        <w:pStyle w:val="ListParagraph"/>
      </w:pPr>
    </w:p>
    <w:p w:rsidR="00E4573C" w:rsidRPr="00E4573C" w:rsidRDefault="00E4573C" w:rsidP="00877EDA">
      <w:pPr>
        <w:pStyle w:val="ListParagraph"/>
        <w:numPr>
          <w:ilvl w:val="0"/>
          <w:numId w:val="12"/>
        </w:numPr>
        <w:ind w:left="0" w:firstLine="0"/>
        <w:jc w:val="both"/>
      </w:pPr>
      <w:r w:rsidRPr="00E4573C">
        <w:t>We can affirm that the implementation of the A/H1N1 Emergency Project not only fulfilled the proposed objectives in a satisfactory manner, but it also contributed to the development of institutional and management capacities at both national and provincial levels in the area of public health policy implementation.</w:t>
      </w:r>
    </w:p>
    <w:p w:rsidR="00E4573C" w:rsidRPr="00E4573C" w:rsidRDefault="00E4573C" w:rsidP="00E4573C">
      <w:pPr>
        <w:jc w:val="both"/>
      </w:pPr>
    </w:p>
    <w:p w:rsidR="008F491A" w:rsidRPr="00816C1F" w:rsidRDefault="008F491A" w:rsidP="008F491A">
      <w:pPr>
        <w:pStyle w:val="ListParagraph"/>
      </w:pPr>
      <w:r w:rsidRPr="00816C1F">
        <w:br w:type="page"/>
      </w:r>
    </w:p>
    <w:p w:rsidR="00C67D43" w:rsidRPr="004713F4" w:rsidRDefault="00C67D43" w:rsidP="004713F4">
      <w:pPr>
        <w:pStyle w:val="Heading2"/>
        <w:jc w:val="center"/>
        <w:rPr>
          <w:sz w:val="26"/>
          <w:szCs w:val="26"/>
        </w:rPr>
      </w:pPr>
      <w:bookmarkStart w:id="221" w:name="_IL23"/>
      <w:bookmarkStart w:id="222" w:name="_Toc158019384"/>
      <w:bookmarkStart w:id="223" w:name="_Toc384896524"/>
      <w:r w:rsidRPr="004713F4">
        <w:rPr>
          <w:sz w:val="26"/>
          <w:szCs w:val="26"/>
        </w:rPr>
        <w:lastRenderedPageBreak/>
        <w:t>Annex 8. Comments of Cofinanciers and Other Partners/Stakeholders</w:t>
      </w:r>
      <w:bookmarkEnd w:id="221"/>
      <w:bookmarkEnd w:id="222"/>
      <w:bookmarkEnd w:id="223"/>
    </w:p>
    <w:p w:rsidR="004713F4" w:rsidRDefault="004713F4" w:rsidP="003262E3">
      <w:pPr>
        <w:jc w:val="both"/>
      </w:pPr>
      <w:bookmarkStart w:id="224" w:name="ANN11"/>
      <w:bookmarkEnd w:id="224"/>
    </w:p>
    <w:p w:rsidR="00C67D43" w:rsidRPr="00816C1F" w:rsidRDefault="000B4C10" w:rsidP="003262E3">
      <w:pPr>
        <w:jc w:val="both"/>
      </w:pPr>
      <w:r w:rsidRPr="00816C1F">
        <w:t>Not Applicable</w:t>
      </w:r>
    </w:p>
    <w:p w:rsidR="00775151" w:rsidRPr="00816C1F" w:rsidRDefault="00775151" w:rsidP="003262E3">
      <w:pPr>
        <w:jc w:val="both"/>
      </w:pPr>
    </w:p>
    <w:p w:rsidR="00E03DE1" w:rsidRPr="004713F4" w:rsidRDefault="00E03DE1" w:rsidP="004713F4">
      <w:pPr>
        <w:jc w:val="center"/>
        <w:rPr>
          <w:vanish/>
          <w:sz w:val="26"/>
          <w:szCs w:val="26"/>
        </w:rPr>
      </w:pPr>
      <w:r w:rsidRPr="00816C1F">
        <w:br w:type="page"/>
      </w:r>
    </w:p>
    <w:p w:rsidR="0024764C" w:rsidRPr="0063364B" w:rsidRDefault="00C67D43" w:rsidP="004713F4">
      <w:pPr>
        <w:pStyle w:val="Heading2"/>
        <w:jc w:val="center"/>
        <w:rPr>
          <w:sz w:val="26"/>
          <w:szCs w:val="26"/>
          <w:lang w:val="es-AR"/>
        </w:rPr>
      </w:pPr>
      <w:bookmarkStart w:id="225" w:name="_IL24"/>
      <w:bookmarkStart w:id="226" w:name="_Toc158019385"/>
      <w:bookmarkStart w:id="227" w:name="_Toc384896525"/>
      <w:r w:rsidRPr="0063364B">
        <w:rPr>
          <w:sz w:val="26"/>
          <w:szCs w:val="26"/>
          <w:lang w:val="es-AR"/>
        </w:rPr>
        <w:t>Annex 9. List of Supporting Documents</w:t>
      </w:r>
      <w:bookmarkStart w:id="228" w:name="SUP_DOCS"/>
      <w:bookmarkEnd w:id="225"/>
      <w:bookmarkEnd w:id="226"/>
      <w:bookmarkEnd w:id="227"/>
      <w:bookmarkEnd w:id="228"/>
    </w:p>
    <w:p w:rsidR="00CB64A5" w:rsidRPr="0063364B" w:rsidRDefault="00CB64A5" w:rsidP="004713F4">
      <w:pPr>
        <w:pStyle w:val="Heading2"/>
        <w:jc w:val="center"/>
        <w:rPr>
          <w:sz w:val="26"/>
          <w:szCs w:val="26"/>
          <w:lang w:val="es-AR"/>
        </w:rPr>
      </w:pPr>
    </w:p>
    <w:p w:rsidR="00060E9B" w:rsidRDefault="00060E9B" w:rsidP="00060E9B">
      <w:pPr>
        <w:jc w:val="both"/>
        <w:rPr>
          <w:lang w:val="es-ES"/>
        </w:rPr>
      </w:pPr>
      <w:r w:rsidRPr="00AB02DF">
        <w:rPr>
          <w:lang w:val="es-ES"/>
        </w:rPr>
        <w:t>CEPAL (2010): Evaluación Preliminar del Impacto en Mexico de la Influenza A H1N1. Documento elaborado por el equipo conjunto CEPAL/OPS-OMS a solicitud y con el apoyo del Gobierno de México</w:t>
      </w:r>
    </w:p>
    <w:p w:rsidR="00060E9B" w:rsidRDefault="00060E9B" w:rsidP="00060E9B">
      <w:pPr>
        <w:jc w:val="both"/>
        <w:rPr>
          <w:lang w:val="es-ES"/>
        </w:rPr>
      </w:pPr>
    </w:p>
    <w:p w:rsidR="00060E9B" w:rsidRDefault="00060E9B" w:rsidP="008761BE">
      <w:pPr>
        <w:jc w:val="both"/>
      </w:pPr>
      <w:r w:rsidRPr="000D08C9">
        <w:t>Chowell</w:t>
      </w:r>
      <w:r>
        <w:t xml:space="preserve"> G.</w:t>
      </w:r>
      <w:r w:rsidRPr="000D08C9">
        <w:t>, Vibourd</w:t>
      </w:r>
      <w:r>
        <w:t xml:space="preserve"> V</w:t>
      </w:r>
      <w:r w:rsidRPr="000D08C9">
        <w:t>, Wang</w:t>
      </w:r>
      <w:r>
        <w:t xml:space="preserve"> </w:t>
      </w:r>
      <w:r w:rsidRPr="000D08C9">
        <w:t>X</w:t>
      </w:r>
      <w:r>
        <w:t>.</w:t>
      </w:r>
      <w:r w:rsidRPr="000D08C9">
        <w:t>, S Bertozzi</w:t>
      </w:r>
      <w:r>
        <w:t>, S.</w:t>
      </w:r>
      <w:r w:rsidRPr="000D08C9">
        <w:t xml:space="preserve"> and Miller</w:t>
      </w:r>
      <w:r>
        <w:t xml:space="preserve">, </w:t>
      </w:r>
      <w:r w:rsidRPr="000D08C9">
        <w:t>M.</w:t>
      </w:r>
      <w:r w:rsidRPr="006C7195">
        <w:t xml:space="preserve"> Adaptive Vaccination Strategies to Mitigate Pandemic Influenza: Mexico as a Case Study</w:t>
      </w:r>
      <w:r>
        <w:t xml:space="preserve"> (2009)</w:t>
      </w:r>
    </w:p>
    <w:p w:rsidR="00060E9B" w:rsidRPr="00B52AB4" w:rsidRDefault="00060E9B" w:rsidP="008761BE">
      <w:pPr>
        <w:jc w:val="both"/>
      </w:pPr>
    </w:p>
    <w:p w:rsidR="0024764C" w:rsidRPr="0063364B" w:rsidRDefault="00060E9B" w:rsidP="00733D69">
      <w:pPr>
        <w:jc w:val="both"/>
        <w:rPr>
          <w:lang w:val="es-ES"/>
        </w:rPr>
      </w:pPr>
      <w:r>
        <w:rPr>
          <w:lang w:val="es-ES"/>
        </w:rPr>
        <w:t>G</w:t>
      </w:r>
      <w:r w:rsidRPr="007B1961">
        <w:rPr>
          <w:lang w:val="es-ES"/>
        </w:rPr>
        <w:t xml:space="preserve">entile A, J. Bakir, C Russ, S. Ruvinsky, G. Ensinich, A. Falaschi, A. Cané, F. Lución, M. Bruno, R. Moreno and N. </w:t>
      </w:r>
      <w:r>
        <w:rPr>
          <w:lang w:val="es-ES"/>
        </w:rPr>
        <w:t>Bidone, Estudio de las Enfermedades respiratorias por virus Influenza AHINI (pH1N1) en niños internados durante el ano de la pandemia. Experiencia de 34 centros en la Argentina, Archivos de Pediatría del Uruguay 2013, 84 (1).</w:t>
      </w:r>
      <w:r w:rsidR="00CB64A5" w:rsidRPr="00B52AB4">
        <w:rPr>
          <w:lang w:val="es-ES"/>
        </w:rPr>
        <w:t xml:space="preserve">IEG Working Paper 2009/4. </w:t>
      </w:r>
      <w:r w:rsidR="00CB64A5" w:rsidRPr="0063364B">
        <w:rPr>
          <w:lang w:val="es-ES"/>
        </w:rPr>
        <w:t>“Do Health Sector-Wide Approaches Achieve Results?”</w:t>
      </w:r>
    </w:p>
    <w:p w:rsidR="00CB64A5" w:rsidRPr="0063364B" w:rsidRDefault="00CB64A5" w:rsidP="003262E3">
      <w:pPr>
        <w:pStyle w:val="NoSpacing"/>
        <w:jc w:val="both"/>
        <w:rPr>
          <w:rFonts w:ascii="Times New Roman" w:hAnsi="Times New Roman" w:cs="Times New Roman"/>
          <w:sz w:val="24"/>
          <w:szCs w:val="24"/>
          <w:lang w:val="es-ES"/>
        </w:rPr>
      </w:pPr>
    </w:p>
    <w:p w:rsidR="00060E9B" w:rsidRPr="00AB02DF" w:rsidRDefault="00060E9B" w:rsidP="00060E9B">
      <w:pPr>
        <w:jc w:val="both"/>
        <w:rPr>
          <w:lang w:val="es-ES"/>
        </w:rPr>
      </w:pPr>
      <w:r w:rsidRPr="00AB02DF">
        <w:rPr>
          <w:lang w:val="es-ES"/>
        </w:rPr>
        <w:t>Ministerio de Salud de la Nación (2013): Evaluación de Impacto de las Medidas Sanitarias contra la Influenza A (H1N1) en Argentina. Informe Final Ampliado.</w:t>
      </w:r>
    </w:p>
    <w:p w:rsidR="00060E9B" w:rsidRDefault="00060E9B" w:rsidP="00060E9B">
      <w:pPr>
        <w:jc w:val="both"/>
        <w:rPr>
          <w:lang w:val="es-ES"/>
        </w:rPr>
      </w:pPr>
    </w:p>
    <w:p w:rsidR="00060E9B" w:rsidRDefault="00060E9B" w:rsidP="00060E9B">
      <w:pPr>
        <w:jc w:val="both"/>
        <w:rPr>
          <w:lang w:val="es-ES"/>
        </w:rPr>
      </w:pPr>
      <w:r w:rsidRPr="00AB02DF">
        <w:rPr>
          <w:lang w:val="es-ES"/>
        </w:rPr>
        <w:t>Ministerio de Salud (2014): Proyecto de Emergencia para la Prevención, Vigilancia y Control de Enfermedades Tipo Influenza H1N1- BIRF 7843-AR Documento de Cierre. Enero de 2014</w:t>
      </w:r>
    </w:p>
    <w:p w:rsidR="00B52AB4" w:rsidRPr="00AB02DF" w:rsidRDefault="00B52AB4" w:rsidP="00060E9B">
      <w:pPr>
        <w:jc w:val="both"/>
        <w:rPr>
          <w:lang w:val="es-ES"/>
        </w:rPr>
      </w:pPr>
    </w:p>
    <w:p w:rsidR="00060E9B" w:rsidRPr="00AB02DF" w:rsidRDefault="00060E9B" w:rsidP="00060E9B">
      <w:pPr>
        <w:jc w:val="both"/>
        <w:rPr>
          <w:lang w:val="es-ES"/>
        </w:rPr>
      </w:pPr>
      <w:r w:rsidRPr="00AB02DF">
        <w:rPr>
          <w:lang w:val="es-ES"/>
        </w:rPr>
        <w:t xml:space="preserve">Raffo (2011) Epidemia de influenza A(H1N1) en la Argentina. Experiencia del Hospital Nacional Profesor Alejandro Posadas Comisión para la Contingencia de Influenza A (H1N1), Hospital Nacional Profesor Alejandro Posadas. </w:t>
      </w:r>
    </w:p>
    <w:p w:rsidR="0054361D" w:rsidRPr="00B52AB4" w:rsidRDefault="0054361D" w:rsidP="0054361D">
      <w:pPr>
        <w:pStyle w:val="NoSpacing"/>
        <w:jc w:val="both"/>
        <w:rPr>
          <w:rFonts w:ascii="Times New Roman" w:hAnsi="Times New Roman" w:cs="Times New Roman"/>
          <w:sz w:val="24"/>
          <w:szCs w:val="24"/>
          <w:lang w:val="es-ES"/>
        </w:rPr>
      </w:pPr>
    </w:p>
    <w:p w:rsidR="003E3F98" w:rsidRDefault="001A4C89" w:rsidP="004713F4">
      <w:pPr>
        <w:jc w:val="both"/>
      </w:pPr>
      <w:r w:rsidRPr="001A4C89">
        <w:t xml:space="preserve">Schuchat, A., B. Bell, and S. </w:t>
      </w:r>
      <w:r>
        <w:t>Redd, The Science Behind Preparing and Responding to Pandemic Influenza: the Lessons and Limits of Science, Oxford journal of Medicine: Clinical infectious Diseaseas, vol 52, issue Suplement 1, p.1 and 2.</w:t>
      </w:r>
    </w:p>
    <w:p w:rsidR="003E3F98" w:rsidRDefault="003E3F98" w:rsidP="004713F4">
      <w:pPr>
        <w:jc w:val="both"/>
      </w:pPr>
    </w:p>
    <w:p w:rsidR="007B1961" w:rsidRDefault="007B1961" w:rsidP="004713F4">
      <w:pPr>
        <w:jc w:val="both"/>
        <w:rPr>
          <w:lang w:val="es-ES"/>
        </w:rPr>
      </w:pPr>
      <w:r w:rsidRPr="00197715">
        <w:rPr>
          <w:lang w:val="es-ES"/>
        </w:rPr>
        <w:t xml:space="preserve">Unidad de </w:t>
      </w:r>
      <w:r w:rsidR="00572AFD">
        <w:rPr>
          <w:lang w:val="es-ES"/>
        </w:rPr>
        <w:t>F</w:t>
      </w:r>
      <w:r w:rsidRPr="00197715">
        <w:rPr>
          <w:lang w:val="es-ES"/>
        </w:rPr>
        <w:t>inanciam</w:t>
      </w:r>
      <w:r w:rsidR="00572AFD">
        <w:rPr>
          <w:lang w:val="es-ES"/>
        </w:rPr>
        <w:t>ie</w:t>
      </w:r>
      <w:r w:rsidRPr="00197715">
        <w:rPr>
          <w:lang w:val="es-ES"/>
        </w:rPr>
        <w:t>neto Internacional de Salud, Mi</w:t>
      </w:r>
      <w:r>
        <w:rPr>
          <w:lang w:val="es-ES"/>
        </w:rPr>
        <w:t>n</w:t>
      </w:r>
      <w:r w:rsidRPr="00197715">
        <w:rPr>
          <w:lang w:val="es-ES"/>
        </w:rPr>
        <w:t>i</w:t>
      </w:r>
      <w:r w:rsidR="00572AFD">
        <w:rPr>
          <w:lang w:val="es-ES"/>
        </w:rPr>
        <w:t>s</w:t>
      </w:r>
      <w:r w:rsidRPr="00197715">
        <w:rPr>
          <w:lang w:val="es-ES"/>
        </w:rPr>
        <w:t>terio de Salud, Proyecto de Emergencia para la Prevencio</w:t>
      </w:r>
      <w:r w:rsidR="00572AFD">
        <w:rPr>
          <w:lang w:val="es-ES"/>
        </w:rPr>
        <w:t>́</w:t>
      </w:r>
      <w:r w:rsidRPr="00197715">
        <w:rPr>
          <w:lang w:val="es-ES"/>
        </w:rPr>
        <w:t>n Vigilancia y Control de Enfermedades Tipo Influenza H1</w:t>
      </w:r>
      <w:r>
        <w:rPr>
          <w:lang w:val="es-ES"/>
        </w:rPr>
        <w:t>N1, BIRF 7843-AR</w:t>
      </w:r>
    </w:p>
    <w:p w:rsidR="007B1961" w:rsidRDefault="007B1961" w:rsidP="004713F4">
      <w:pPr>
        <w:jc w:val="both"/>
        <w:rPr>
          <w:lang w:val="es-ES"/>
        </w:rPr>
      </w:pPr>
    </w:p>
    <w:p w:rsidR="007B1961" w:rsidRDefault="007B1961" w:rsidP="004713F4">
      <w:pPr>
        <w:jc w:val="both"/>
        <w:rPr>
          <w:lang w:val="es-ES"/>
        </w:rPr>
      </w:pPr>
      <w:r w:rsidRPr="00197715">
        <w:rPr>
          <w:lang w:val="es-ES"/>
        </w:rPr>
        <w:t xml:space="preserve">Unidad de </w:t>
      </w:r>
      <w:r w:rsidR="00572AFD">
        <w:rPr>
          <w:lang w:val="es-ES"/>
        </w:rPr>
        <w:t>F</w:t>
      </w:r>
      <w:r w:rsidRPr="00197715">
        <w:rPr>
          <w:lang w:val="es-ES"/>
        </w:rPr>
        <w:t>inanciami</w:t>
      </w:r>
      <w:r w:rsidR="00572AFD">
        <w:rPr>
          <w:lang w:val="es-ES"/>
        </w:rPr>
        <w:t>i</w:t>
      </w:r>
      <w:r w:rsidRPr="00197715">
        <w:rPr>
          <w:lang w:val="es-ES"/>
        </w:rPr>
        <w:t>neto Internacional de Salud, Mi</w:t>
      </w:r>
      <w:r>
        <w:rPr>
          <w:lang w:val="es-ES"/>
        </w:rPr>
        <w:t>n</w:t>
      </w:r>
      <w:r w:rsidRPr="00197715">
        <w:rPr>
          <w:lang w:val="es-ES"/>
        </w:rPr>
        <w:t>i</w:t>
      </w:r>
      <w:r w:rsidR="00572AFD">
        <w:rPr>
          <w:lang w:val="es-ES"/>
        </w:rPr>
        <w:t>s</w:t>
      </w:r>
      <w:r w:rsidRPr="00197715">
        <w:rPr>
          <w:lang w:val="es-ES"/>
        </w:rPr>
        <w:t>terio de Salud, Proyecto de Emergencia para la Prevencio</w:t>
      </w:r>
      <w:r w:rsidR="00572AFD">
        <w:rPr>
          <w:lang w:val="es-ES"/>
        </w:rPr>
        <w:t>́</w:t>
      </w:r>
      <w:r w:rsidRPr="00197715">
        <w:rPr>
          <w:lang w:val="es-ES"/>
        </w:rPr>
        <w:t>n Vigilancia y Control de Enfermedades Tipo Influenza H1</w:t>
      </w:r>
      <w:r>
        <w:rPr>
          <w:lang w:val="es-ES"/>
        </w:rPr>
        <w:t>N1, BIRF 7843-AR, Segundo Semestre 2011</w:t>
      </w:r>
    </w:p>
    <w:p w:rsidR="007B1961" w:rsidRDefault="007B1961" w:rsidP="004713F4">
      <w:pPr>
        <w:jc w:val="both"/>
        <w:rPr>
          <w:lang w:val="es-ES"/>
        </w:rPr>
      </w:pPr>
    </w:p>
    <w:p w:rsidR="007B1961" w:rsidRDefault="007B1961" w:rsidP="004713F4">
      <w:pPr>
        <w:jc w:val="both"/>
        <w:rPr>
          <w:lang w:val="es-ES"/>
        </w:rPr>
      </w:pPr>
      <w:r w:rsidRPr="00197715">
        <w:rPr>
          <w:lang w:val="es-ES"/>
        </w:rPr>
        <w:t xml:space="preserve">Unidad de </w:t>
      </w:r>
      <w:r w:rsidR="00572AFD">
        <w:rPr>
          <w:lang w:val="es-ES"/>
        </w:rPr>
        <w:t>F</w:t>
      </w:r>
      <w:r w:rsidRPr="00197715">
        <w:rPr>
          <w:lang w:val="es-ES"/>
        </w:rPr>
        <w:t>inanciami</w:t>
      </w:r>
      <w:r w:rsidR="00572AFD">
        <w:rPr>
          <w:lang w:val="es-ES"/>
        </w:rPr>
        <w:t>e</w:t>
      </w:r>
      <w:r w:rsidRPr="00197715">
        <w:rPr>
          <w:lang w:val="es-ES"/>
        </w:rPr>
        <w:t>neto Internacional de Salud, Mi</w:t>
      </w:r>
      <w:r>
        <w:rPr>
          <w:lang w:val="es-ES"/>
        </w:rPr>
        <w:t>n</w:t>
      </w:r>
      <w:r w:rsidRPr="00197715">
        <w:rPr>
          <w:lang w:val="es-ES"/>
        </w:rPr>
        <w:t>i</w:t>
      </w:r>
      <w:r w:rsidR="00572AFD">
        <w:rPr>
          <w:lang w:val="es-ES"/>
        </w:rPr>
        <w:t>s</w:t>
      </w:r>
      <w:r w:rsidRPr="00197715">
        <w:rPr>
          <w:lang w:val="es-ES"/>
        </w:rPr>
        <w:t>terio de Salud, Proyecto de Emergencia para la Prevencio</w:t>
      </w:r>
      <w:r w:rsidR="00572AFD">
        <w:rPr>
          <w:lang w:val="es-ES"/>
        </w:rPr>
        <w:t>́</w:t>
      </w:r>
      <w:r w:rsidRPr="00197715">
        <w:rPr>
          <w:lang w:val="es-ES"/>
        </w:rPr>
        <w:t>n Vigilancia y Control de Enfermedades Tipo Influenza H1</w:t>
      </w:r>
      <w:r>
        <w:rPr>
          <w:lang w:val="es-ES"/>
        </w:rPr>
        <w:t>N1, BIRF 7843-AR, Primer Semestre 2012</w:t>
      </w:r>
    </w:p>
    <w:p w:rsidR="007B1961" w:rsidRDefault="007B1961" w:rsidP="004713F4">
      <w:pPr>
        <w:jc w:val="both"/>
        <w:rPr>
          <w:lang w:val="es-ES"/>
        </w:rPr>
      </w:pPr>
    </w:p>
    <w:p w:rsidR="007B1961" w:rsidRDefault="007B1961" w:rsidP="004713F4">
      <w:pPr>
        <w:jc w:val="both"/>
        <w:rPr>
          <w:lang w:val="es-ES"/>
        </w:rPr>
      </w:pPr>
      <w:r w:rsidRPr="00197715">
        <w:rPr>
          <w:lang w:val="es-ES"/>
        </w:rPr>
        <w:t xml:space="preserve">Unidad de </w:t>
      </w:r>
      <w:r w:rsidR="00572AFD">
        <w:rPr>
          <w:lang w:val="es-ES"/>
        </w:rPr>
        <w:t>F</w:t>
      </w:r>
      <w:r w:rsidRPr="00197715">
        <w:rPr>
          <w:lang w:val="es-ES"/>
        </w:rPr>
        <w:t>inanciami</w:t>
      </w:r>
      <w:r w:rsidR="00572AFD">
        <w:rPr>
          <w:lang w:val="es-ES"/>
        </w:rPr>
        <w:t>e</w:t>
      </w:r>
      <w:r w:rsidRPr="00197715">
        <w:rPr>
          <w:lang w:val="es-ES"/>
        </w:rPr>
        <w:t>nto Internacional de Salud, Mi</w:t>
      </w:r>
      <w:r>
        <w:rPr>
          <w:lang w:val="es-ES"/>
        </w:rPr>
        <w:t>n</w:t>
      </w:r>
      <w:r w:rsidRPr="00197715">
        <w:rPr>
          <w:lang w:val="es-ES"/>
        </w:rPr>
        <w:t>i</w:t>
      </w:r>
      <w:r w:rsidR="00572AFD">
        <w:rPr>
          <w:lang w:val="es-ES"/>
        </w:rPr>
        <w:t>s</w:t>
      </w:r>
      <w:r w:rsidRPr="00197715">
        <w:rPr>
          <w:lang w:val="es-ES"/>
        </w:rPr>
        <w:t>terio de Salud, Proyecto de Emergencia para la Prevencio</w:t>
      </w:r>
      <w:r w:rsidR="00572AFD">
        <w:rPr>
          <w:lang w:val="es-ES"/>
        </w:rPr>
        <w:t>́</w:t>
      </w:r>
      <w:r w:rsidRPr="00197715">
        <w:rPr>
          <w:lang w:val="es-ES"/>
        </w:rPr>
        <w:t>n Vigilancia y Control de Enfermedades Tipo Influenza H1</w:t>
      </w:r>
      <w:r>
        <w:rPr>
          <w:lang w:val="es-ES"/>
        </w:rPr>
        <w:t>N1, BIRF 7843-AR, Segundo Semestre 2012</w:t>
      </w:r>
    </w:p>
    <w:p w:rsidR="007B1961" w:rsidRDefault="007B1961" w:rsidP="004713F4">
      <w:pPr>
        <w:jc w:val="both"/>
        <w:rPr>
          <w:lang w:val="es-ES"/>
        </w:rPr>
      </w:pPr>
    </w:p>
    <w:p w:rsidR="00D62AA1" w:rsidRDefault="007B1961" w:rsidP="004713F4">
      <w:pPr>
        <w:jc w:val="both"/>
        <w:rPr>
          <w:lang w:val="es-ES"/>
        </w:rPr>
      </w:pPr>
      <w:r w:rsidRPr="00197715">
        <w:rPr>
          <w:lang w:val="es-ES"/>
        </w:rPr>
        <w:t xml:space="preserve">Unidad de </w:t>
      </w:r>
      <w:r w:rsidR="00572AFD">
        <w:rPr>
          <w:lang w:val="es-ES"/>
        </w:rPr>
        <w:t>F</w:t>
      </w:r>
      <w:r w:rsidRPr="00197715">
        <w:rPr>
          <w:lang w:val="es-ES"/>
        </w:rPr>
        <w:t>inanciami</w:t>
      </w:r>
      <w:r w:rsidR="00572AFD">
        <w:rPr>
          <w:lang w:val="es-ES"/>
        </w:rPr>
        <w:t>e</w:t>
      </w:r>
      <w:r w:rsidRPr="00197715">
        <w:rPr>
          <w:lang w:val="es-ES"/>
        </w:rPr>
        <w:t>neto Internacional de Salud, Mi</w:t>
      </w:r>
      <w:r>
        <w:rPr>
          <w:lang w:val="es-ES"/>
        </w:rPr>
        <w:t>n</w:t>
      </w:r>
      <w:r w:rsidRPr="00197715">
        <w:rPr>
          <w:lang w:val="es-ES"/>
        </w:rPr>
        <w:t>i</w:t>
      </w:r>
      <w:r w:rsidR="00572AFD">
        <w:rPr>
          <w:lang w:val="es-ES"/>
        </w:rPr>
        <w:t>s</w:t>
      </w:r>
      <w:r w:rsidRPr="00197715">
        <w:rPr>
          <w:lang w:val="es-ES"/>
        </w:rPr>
        <w:t>terio de Salud, Proyecto de Emergencia para la Prevencio</w:t>
      </w:r>
      <w:r w:rsidR="00572AFD">
        <w:rPr>
          <w:lang w:val="es-ES"/>
        </w:rPr>
        <w:t>́</w:t>
      </w:r>
      <w:r w:rsidRPr="00197715">
        <w:rPr>
          <w:lang w:val="es-ES"/>
        </w:rPr>
        <w:t>n Vigilancia y Control de Enfermedades Tipo Influenza H1</w:t>
      </w:r>
      <w:r>
        <w:rPr>
          <w:lang w:val="es-ES"/>
        </w:rPr>
        <w:t>N1, BIRF 7843-AR, Primer Semestre 2013</w:t>
      </w:r>
    </w:p>
    <w:p w:rsidR="007B1961" w:rsidRPr="007B1961" w:rsidRDefault="007B1961" w:rsidP="004713F4">
      <w:pPr>
        <w:jc w:val="both"/>
        <w:rPr>
          <w:lang w:val="es-ES"/>
        </w:rPr>
      </w:pPr>
    </w:p>
    <w:p w:rsidR="00734B3C" w:rsidRDefault="00197715" w:rsidP="004713F4">
      <w:pPr>
        <w:jc w:val="both"/>
        <w:rPr>
          <w:lang w:val="es-ES"/>
        </w:rPr>
      </w:pPr>
      <w:r w:rsidRPr="00197715">
        <w:rPr>
          <w:lang w:val="es-ES"/>
        </w:rPr>
        <w:t xml:space="preserve">Unidad de </w:t>
      </w:r>
      <w:r w:rsidR="00572AFD">
        <w:rPr>
          <w:lang w:val="es-ES"/>
        </w:rPr>
        <w:t>F</w:t>
      </w:r>
      <w:r w:rsidRPr="00197715">
        <w:rPr>
          <w:lang w:val="es-ES"/>
        </w:rPr>
        <w:t>inanciami</w:t>
      </w:r>
      <w:r w:rsidR="00572AFD">
        <w:rPr>
          <w:lang w:val="es-ES"/>
        </w:rPr>
        <w:t>e</w:t>
      </w:r>
      <w:r w:rsidRPr="00197715">
        <w:rPr>
          <w:lang w:val="es-ES"/>
        </w:rPr>
        <w:t>neto Internacional de Salud, Mi</w:t>
      </w:r>
      <w:r w:rsidR="007B1961">
        <w:rPr>
          <w:lang w:val="es-ES"/>
        </w:rPr>
        <w:t>n</w:t>
      </w:r>
      <w:r w:rsidRPr="00197715">
        <w:rPr>
          <w:lang w:val="es-ES"/>
        </w:rPr>
        <w:t>i</w:t>
      </w:r>
      <w:r w:rsidR="00572AFD">
        <w:rPr>
          <w:lang w:val="es-ES"/>
        </w:rPr>
        <w:t>s</w:t>
      </w:r>
      <w:r w:rsidRPr="00197715">
        <w:rPr>
          <w:lang w:val="es-ES"/>
        </w:rPr>
        <w:t>terio de Salud, Proyecto de Emergencia para la Prevencio</w:t>
      </w:r>
      <w:r w:rsidR="00572AFD">
        <w:rPr>
          <w:lang w:val="es-ES"/>
        </w:rPr>
        <w:t>́</w:t>
      </w:r>
      <w:r w:rsidRPr="00197715">
        <w:rPr>
          <w:lang w:val="es-ES"/>
        </w:rPr>
        <w:t>n Vigilancia y Control de Enfermedades Tipo Influenza H1</w:t>
      </w:r>
      <w:r>
        <w:rPr>
          <w:lang w:val="es-ES"/>
        </w:rPr>
        <w:t xml:space="preserve">N1, BIRF 7843-AR, Documento de Cierre, Enero 2014. </w:t>
      </w:r>
    </w:p>
    <w:p w:rsidR="00734B3C" w:rsidRDefault="00734B3C" w:rsidP="004713F4">
      <w:pPr>
        <w:jc w:val="both"/>
        <w:rPr>
          <w:lang w:val="es-ES"/>
        </w:rPr>
      </w:pPr>
    </w:p>
    <w:p w:rsidR="00734B3C" w:rsidRDefault="00B52AB4" w:rsidP="004713F4">
      <w:pPr>
        <w:jc w:val="both"/>
        <w:rPr>
          <w:lang w:val="es-ES"/>
        </w:rPr>
      </w:pPr>
      <w:r w:rsidRPr="00197715">
        <w:rPr>
          <w:lang w:val="es-ES"/>
        </w:rPr>
        <w:t xml:space="preserve">Unidad de </w:t>
      </w:r>
      <w:r w:rsidR="00572AFD">
        <w:rPr>
          <w:lang w:val="es-ES"/>
        </w:rPr>
        <w:t>F</w:t>
      </w:r>
      <w:r w:rsidRPr="00197715">
        <w:rPr>
          <w:lang w:val="es-ES"/>
        </w:rPr>
        <w:t>inanciami</w:t>
      </w:r>
      <w:r w:rsidR="00572AFD">
        <w:rPr>
          <w:lang w:val="es-ES"/>
        </w:rPr>
        <w:t>e</w:t>
      </w:r>
      <w:r w:rsidRPr="00197715">
        <w:rPr>
          <w:lang w:val="es-ES"/>
        </w:rPr>
        <w:t>neto Internacional de Salud, Mi</w:t>
      </w:r>
      <w:r>
        <w:rPr>
          <w:lang w:val="es-ES"/>
        </w:rPr>
        <w:t>n</w:t>
      </w:r>
      <w:r w:rsidRPr="00197715">
        <w:rPr>
          <w:lang w:val="es-ES"/>
        </w:rPr>
        <w:t>i</w:t>
      </w:r>
      <w:r w:rsidR="00572AFD">
        <w:rPr>
          <w:lang w:val="es-ES"/>
        </w:rPr>
        <w:t>s</w:t>
      </w:r>
      <w:r w:rsidRPr="00197715">
        <w:rPr>
          <w:lang w:val="es-ES"/>
        </w:rPr>
        <w:t>terio de Salud</w:t>
      </w:r>
      <w:r>
        <w:rPr>
          <w:lang w:val="es-ES"/>
        </w:rPr>
        <w:t xml:space="preserve">, </w:t>
      </w:r>
      <w:r w:rsidR="00734B3C">
        <w:rPr>
          <w:lang w:val="es-ES"/>
        </w:rPr>
        <w:t>Evaluacion de Impacto de las Medidad Sanitarias contra la Influenza A (H1N1) en Argentina.  Informe Final Ampliado</w:t>
      </w:r>
    </w:p>
    <w:p w:rsidR="007B1961" w:rsidRDefault="007B1961" w:rsidP="004713F4">
      <w:pPr>
        <w:jc w:val="both"/>
        <w:rPr>
          <w:lang w:val="es-ES"/>
        </w:rPr>
      </w:pPr>
    </w:p>
    <w:p w:rsidR="007B1961" w:rsidRDefault="007B1961" w:rsidP="004713F4">
      <w:pPr>
        <w:jc w:val="both"/>
        <w:rPr>
          <w:lang w:val="es-ES"/>
        </w:rPr>
      </w:pPr>
      <w:r w:rsidRPr="00197715">
        <w:rPr>
          <w:lang w:val="es-ES"/>
        </w:rPr>
        <w:t>Unidad de financiami</w:t>
      </w:r>
      <w:r w:rsidR="00572AFD">
        <w:rPr>
          <w:lang w:val="es-ES"/>
        </w:rPr>
        <w:t>e</w:t>
      </w:r>
      <w:r w:rsidRPr="00197715">
        <w:rPr>
          <w:lang w:val="es-ES"/>
        </w:rPr>
        <w:t>neto Internacional de Salud, Mi</w:t>
      </w:r>
      <w:r>
        <w:rPr>
          <w:lang w:val="es-ES"/>
        </w:rPr>
        <w:t>n</w:t>
      </w:r>
      <w:r w:rsidRPr="00197715">
        <w:rPr>
          <w:lang w:val="es-ES"/>
        </w:rPr>
        <w:t>i</w:t>
      </w:r>
      <w:r w:rsidR="00572AFD">
        <w:rPr>
          <w:lang w:val="es-ES"/>
        </w:rPr>
        <w:t>s</w:t>
      </w:r>
      <w:r w:rsidRPr="00197715">
        <w:rPr>
          <w:lang w:val="es-ES"/>
        </w:rPr>
        <w:t>terio de Salud</w:t>
      </w:r>
      <w:r>
        <w:rPr>
          <w:lang w:val="es-ES"/>
        </w:rPr>
        <w:t xml:space="preserve">, Experiencias Exitosas de Sala de Situacion de Salud en Argentina, Programa de </w:t>
      </w:r>
      <w:r w:rsidRPr="00197715">
        <w:rPr>
          <w:lang w:val="es-ES"/>
        </w:rPr>
        <w:t>Emergencia para la Prevencion Vigilancia y Control de Enfermedades Tipo Influenza H1</w:t>
      </w:r>
      <w:r>
        <w:rPr>
          <w:lang w:val="es-ES"/>
        </w:rPr>
        <w:t>N1, 2013</w:t>
      </w:r>
    </w:p>
    <w:p w:rsidR="007B1961" w:rsidRDefault="007B1961" w:rsidP="004713F4">
      <w:pPr>
        <w:jc w:val="both"/>
        <w:rPr>
          <w:lang w:val="es-ES"/>
        </w:rPr>
      </w:pPr>
    </w:p>
    <w:p w:rsidR="00AB02DF" w:rsidRDefault="00B52AB4" w:rsidP="00B52A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Van Kerkhove, M. and A. Mounts (2011), </w:t>
      </w:r>
      <w:r w:rsidRPr="0054361D">
        <w:rPr>
          <w:rFonts w:ascii="Times New Roman" w:hAnsi="Times New Roman" w:cs="Times New Roman"/>
          <w:sz w:val="24"/>
          <w:szCs w:val="24"/>
        </w:rPr>
        <w:t>2009 versus 2010 comparison of</w:t>
      </w:r>
      <w:r>
        <w:rPr>
          <w:rFonts w:ascii="Times New Roman" w:hAnsi="Times New Roman" w:cs="Times New Roman"/>
          <w:sz w:val="24"/>
          <w:szCs w:val="24"/>
        </w:rPr>
        <w:t xml:space="preserve"> </w:t>
      </w:r>
      <w:r w:rsidRPr="0054361D">
        <w:rPr>
          <w:rFonts w:ascii="Times New Roman" w:hAnsi="Times New Roman" w:cs="Times New Roman"/>
          <w:sz w:val="24"/>
          <w:szCs w:val="24"/>
        </w:rPr>
        <w:t>influenza activity in southern hemisphere temperate countries</w:t>
      </w:r>
      <w:r>
        <w:rPr>
          <w:rFonts w:ascii="Times New Roman" w:hAnsi="Times New Roman" w:cs="Times New Roman"/>
          <w:sz w:val="24"/>
          <w:szCs w:val="24"/>
        </w:rPr>
        <w:t>.</w:t>
      </w:r>
    </w:p>
    <w:p w:rsidR="00B52AB4" w:rsidRPr="00B52AB4" w:rsidRDefault="00B52AB4" w:rsidP="00B52AB4">
      <w:pPr>
        <w:pStyle w:val="NoSpacing"/>
        <w:jc w:val="both"/>
        <w:rPr>
          <w:b/>
        </w:rPr>
      </w:pPr>
    </w:p>
    <w:p w:rsidR="00B52AB4" w:rsidRPr="00B52AB4" w:rsidRDefault="00B52AB4" w:rsidP="008761BE">
      <w:pPr>
        <w:pStyle w:val="Default"/>
        <w:jc w:val="both"/>
        <w:rPr>
          <w:rFonts w:ascii="Times New Roman" w:hAnsi="Times New Roman" w:cs="Times New Roman"/>
        </w:rPr>
      </w:pPr>
      <w:r w:rsidRPr="00B52AB4">
        <w:rPr>
          <w:rFonts w:ascii="Times New Roman" w:hAnsi="Times New Roman" w:cs="Times New Roman"/>
        </w:rPr>
        <w:t>World Bank- Independent Evaluation Group (2013) Responding to Global Public Bads</w:t>
      </w:r>
    </w:p>
    <w:p w:rsidR="00B52AB4" w:rsidRPr="00B52AB4" w:rsidRDefault="00B52AB4" w:rsidP="008761BE">
      <w:pPr>
        <w:jc w:val="both"/>
      </w:pPr>
      <w:r>
        <w:rPr>
          <w:lang w:eastAsia="en-US"/>
        </w:rPr>
        <w:t>Learning from Evaluation of the World Bank Experience with Avian influenza 2006-2013</w:t>
      </w:r>
    </w:p>
    <w:p w:rsidR="00B52AB4" w:rsidRDefault="00B52AB4" w:rsidP="008761BE">
      <w:pPr>
        <w:jc w:val="both"/>
      </w:pPr>
    </w:p>
    <w:p w:rsidR="00060E9B" w:rsidRDefault="00060E9B" w:rsidP="008761BE">
      <w:pPr>
        <w:jc w:val="both"/>
      </w:pPr>
      <w:r>
        <w:t>World Health Organization, Evaluation of a Pandemic A (H1N1) 2009, April 2009-August 2010</w:t>
      </w:r>
    </w:p>
    <w:p w:rsidR="00060E9B" w:rsidRPr="00D8438C" w:rsidRDefault="00060E9B" w:rsidP="002A741F"/>
    <w:p w:rsidR="00163465" w:rsidRPr="00D8438C" w:rsidRDefault="00163465" w:rsidP="002A741F">
      <w:r w:rsidRPr="00D8438C">
        <w:br w:type="page"/>
      </w:r>
    </w:p>
    <w:p w:rsidR="004E1B88" w:rsidRDefault="00F57644" w:rsidP="00CB4FF5">
      <w:pPr>
        <w:pStyle w:val="Heading2"/>
        <w:jc w:val="center"/>
        <w:rPr>
          <w:sz w:val="26"/>
          <w:szCs w:val="26"/>
          <w:lang w:val="es-ES"/>
        </w:rPr>
      </w:pPr>
      <w:bookmarkStart w:id="229" w:name="_Toc384896526"/>
      <w:r w:rsidRPr="004713F4">
        <w:rPr>
          <w:sz w:val="26"/>
          <w:szCs w:val="26"/>
          <w:lang w:val="es-ES"/>
        </w:rPr>
        <w:lastRenderedPageBreak/>
        <w:t>Annex</w:t>
      </w:r>
      <w:r w:rsidR="005A1E4F" w:rsidRPr="004713F4">
        <w:rPr>
          <w:sz w:val="26"/>
          <w:szCs w:val="26"/>
          <w:lang w:val="es-ES"/>
        </w:rPr>
        <w:t xml:space="preserve"> 10. Map</w:t>
      </w:r>
      <w:bookmarkEnd w:id="229"/>
      <w:r w:rsidR="005A1E4F" w:rsidRPr="004713F4">
        <w:rPr>
          <w:sz w:val="26"/>
          <w:szCs w:val="26"/>
          <w:lang w:val="es-ES"/>
        </w:rPr>
        <w:t xml:space="preserve"> </w:t>
      </w:r>
    </w:p>
    <w:p w:rsidR="00CB4FF5" w:rsidRDefault="00CB4FF5" w:rsidP="00CB4FF5">
      <w:pPr>
        <w:pStyle w:val="Heading2"/>
        <w:rPr>
          <w:lang w:eastAsia="en-US"/>
        </w:rPr>
      </w:pPr>
      <w:r>
        <w:rPr>
          <w:noProof/>
          <w:lang w:eastAsia="en-US"/>
        </w:rPr>
        <w:drawing>
          <wp:inline distT="0" distB="0" distL="0" distR="0" wp14:anchorId="73B53F5F" wp14:editId="0B4D0F75">
            <wp:extent cx="5486400" cy="7502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Argentina ARG33362.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7502525"/>
                    </a:xfrm>
                    <a:prstGeom prst="rect">
                      <a:avLst/>
                    </a:prstGeom>
                  </pic:spPr>
                </pic:pic>
              </a:graphicData>
            </a:graphic>
          </wp:inline>
        </w:drawing>
      </w:r>
    </w:p>
    <w:sectPr w:rsidR="00CB4FF5" w:rsidSect="001B66A7">
      <w:headerReference w:type="even" r:id="rId21"/>
      <w:headerReference w:type="default" r:id="rId22"/>
      <w:footerReference w:type="default" r:id="rId23"/>
      <w:headerReference w:type="firs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27" w:rsidRDefault="00525127">
      <w:pPr>
        <w:spacing w:before="100" w:beforeAutospacing="1" w:after="100" w:afterAutospacing="1"/>
      </w:pPr>
      <w:r>
        <w:separator/>
      </w:r>
    </w:p>
  </w:endnote>
  <w:endnote w:type="continuationSeparator" w:id="0">
    <w:p w:rsidR="00525127" w:rsidRDefault="00525127">
      <w:pPr>
        <w:spacing w:before="100" w:beforeAutospacing="1" w:after="100" w:afterAutospac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 Pro">
    <w:altName w:val="Myriad Pro"/>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8" w:rsidRDefault="00D86A28">
    <w:pPr>
      <w:pStyle w:val="Footer"/>
      <w:jc w:val="center"/>
    </w:pPr>
  </w:p>
  <w:p w:rsidR="00D86A28" w:rsidRDefault="00D86A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1409"/>
      <w:docPartObj>
        <w:docPartGallery w:val="Page Numbers (Bottom of Page)"/>
        <w:docPartUnique/>
      </w:docPartObj>
    </w:sdtPr>
    <w:sdtEndPr>
      <w:rPr>
        <w:noProof/>
      </w:rPr>
    </w:sdtEndPr>
    <w:sdtContent>
      <w:p w:rsidR="00D86A28" w:rsidRDefault="00D86A28">
        <w:pPr>
          <w:pStyle w:val="Footer"/>
          <w:jc w:val="center"/>
        </w:pPr>
        <w:r>
          <w:fldChar w:fldCharType="begin"/>
        </w:r>
        <w:r>
          <w:instrText xml:space="preserve"> PAGE   \* MERGEFORMAT </w:instrText>
        </w:r>
        <w:r>
          <w:fldChar w:fldCharType="separate"/>
        </w:r>
        <w:r w:rsidR="00936223">
          <w:rPr>
            <w:noProof/>
          </w:rPr>
          <w:t>xi</w:t>
        </w:r>
        <w:r>
          <w:rPr>
            <w:noProof/>
          </w:rPr>
          <w:fldChar w:fldCharType="end"/>
        </w:r>
      </w:p>
    </w:sdtContent>
  </w:sdt>
  <w:p w:rsidR="00D86A28" w:rsidRDefault="00D86A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9309"/>
      <w:docPartObj>
        <w:docPartGallery w:val="Page Numbers (Bottom of Page)"/>
        <w:docPartUnique/>
      </w:docPartObj>
    </w:sdtPr>
    <w:sdtEndPr>
      <w:rPr>
        <w:noProof/>
      </w:rPr>
    </w:sdtEndPr>
    <w:sdtContent>
      <w:p w:rsidR="00D86A28" w:rsidRDefault="00D86A28">
        <w:pPr>
          <w:pStyle w:val="Footer"/>
          <w:jc w:val="center"/>
        </w:pPr>
        <w:r>
          <w:fldChar w:fldCharType="begin"/>
        </w:r>
        <w:r>
          <w:instrText xml:space="preserve"> PAGE   \* MERGEFORMAT </w:instrText>
        </w:r>
        <w:r>
          <w:fldChar w:fldCharType="separate"/>
        </w:r>
        <w:r w:rsidR="00936223">
          <w:rPr>
            <w:noProof/>
          </w:rPr>
          <w:t>50</w:t>
        </w:r>
        <w:r>
          <w:rPr>
            <w:noProof/>
          </w:rPr>
          <w:fldChar w:fldCharType="end"/>
        </w:r>
      </w:p>
    </w:sdtContent>
  </w:sdt>
  <w:p w:rsidR="00D86A28" w:rsidRPr="00532407" w:rsidRDefault="00D86A28" w:rsidP="0053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27" w:rsidRDefault="00525127">
      <w:pPr>
        <w:spacing w:before="100" w:beforeAutospacing="1" w:after="100" w:afterAutospacing="1"/>
      </w:pPr>
      <w:r>
        <w:separator/>
      </w:r>
    </w:p>
  </w:footnote>
  <w:footnote w:type="continuationSeparator" w:id="0">
    <w:p w:rsidR="00525127" w:rsidRDefault="00525127" w:rsidP="00E56225">
      <w:pPr>
        <w:spacing w:before="100" w:beforeAutospacing="1" w:after="100" w:afterAutospacing="1"/>
      </w:pPr>
      <w:r>
        <w:separator/>
      </w:r>
    </w:p>
    <w:p w:rsidR="00525127" w:rsidRDefault="00525127">
      <w:pPr>
        <w:spacing w:before="100" w:beforeAutospacing="1" w:after="100" w:afterAutospacing="1"/>
      </w:pPr>
    </w:p>
  </w:footnote>
  <w:footnote w:id="1">
    <w:p w:rsidR="00D86A28" w:rsidRPr="003E2359" w:rsidRDefault="00D86A28" w:rsidP="00B358C5">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WHO, Evaluation of a Pandemic A(H1N1) 2009, April 2009-August 2010, pg. 36.</w:t>
      </w:r>
    </w:p>
  </w:footnote>
  <w:footnote w:id="2">
    <w:p w:rsidR="00D86A28" w:rsidRPr="003E2359" w:rsidRDefault="00D86A28" w:rsidP="00B358C5">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WHO, Global Alert and Response (GAR) - Pandemic (H1N1) 2009 update. The impact of the pandemic on countries varied widely according to factors such as the season at the time of the outbreak, the extent of virus communicability, differences in health care practices and the capacity of the population for response. (http://www.who.int/wer/2009/wer8422/en/index/html)</w:t>
      </w:r>
    </w:p>
  </w:footnote>
  <w:footnote w:id="3">
    <w:p w:rsidR="00D86A28" w:rsidRPr="003E2359" w:rsidRDefault="00D86A28" w:rsidP="00B358C5">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A striking difference between the </w:t>
      </w:r>
      <w:r w:rsidRPr="003E2359">
        <w:rPr>
          <w:sz w:val="20"/>
          <w:szCs w:val="20"/>
          <w:lang w:eastAsia="en-US"/>
        </w:rPr>
        <w:t xml:space="preserve">A/H1N1 virus and seasonal influenza is that the former seemed to select people in a younger age cohort.  Pregnant women and individuals with underlying conditions were at higher risk for complications. </w:t>
      </w:r>
      <w:r w:rsidRPr="003E2359">
        <w:rPr>
          <w:sz w:val="20"/>
          <w:szCs w:val="20"/>
        </w:rPr>
        <w:t xml:space="preserve">The true extent of death attributable to A/H1N1 is likely higher since many people died without being tested.  </w:t>
      </w:r>
    </w:p>
  </w:footnote>
  <w:footnote w:id="4">
    <w:p w:rsidR="00D86A28" w:rsidRPr="003E2359" w:rsidRDefault="00D86A28" w:rsidP="00B358C5">
      <w:pPr>
        <w:pStyle w:val="FootnoteText"/>
        <w:spacing w:before="0" w:beforeAutospacing="0" w:after="0" w:afterAutospacing="0"/>
        <w:jc w:val="both"/>
        <w:rPr>
          <w:sz w:val="20"/>
          <w:szCs w:val="20"/>
          <w:lang w:val="es-ES"/>
        </w:rPr>
      </w:pPr>
      <w:r w:rsidRPr="003E2359">
        <w:rPr>
          <w:rStyle w:val="FootnoteReference"/>
          <w:sz w:val="20"/>
          <w:szCs w:val="20"/>
        </w:rPr>
        <w:footnoteRef/>
      </w:r>
      <w:r w:rsidRPr="003E2359">
        <w:rPr>
          <w:sz w:val="20"/>
          <w:szCs w:val="20"/>
          <w:lang w:val="es-ES"/>
        </w:rPr>
        <w:t xml:space="preserve"> MSN, Influenza Pandemica (H1N1) 2009, Informe Semana Epidemiologica No. 52, January 6, 2010.</w:t>
      </w:r>
    </w:p>
  </w:footnote>
  <w:footnote w:id="5">
    <w:p w:rsidR="00D86A28" w:rsidRPr="00816C1F" w:rsidRDefault="00D86A28" w:rsidP="00B358C5">
      <w:pPr>
        <w:pStyle w:val="FootnoteText"/>
        <w:spacing w:before="0" w:beforeAutospacing="0" w:after="0" w:afterAutospacing="0"/>
        <w:jc w:val="both"/>
        <w:rPr>
          <w:sz w:val="18"/>
          <w:szCs w:val="18"/>
        </w:rPr>
      </w:pPr>
      <w:r w:rsidRPr="003E2359">
        <w:rPr>
          <w:rStyle w:val="FootnoteReference"/>
          <w:sz w:val="20"/>
          <w:szCs w:val="20"/>
        </w:rPr>
        <w:footnoteRef/>
      </w:r>
      <w:r w:rsidRPr="003E2359">
        <w:rPr>
          <w:sz w:val="20"/>
          <w:szCs w:val="20"/>
        </w:rPr>
        <w:t xml:space="preserve"> </w:t>
      </w:r>
      <w:r w:rsidRPr="003E2359">
        <w:rPr>
          <w:sz w:val="20"/>
          <w:szCs w:val="20"/>
          <w:lang w:eastAsia="en-US"/>
        </w:rPr>
        <w:t>The MSN deployed mobile units and hired extra health care workers to compensate and offset the increased demand.</w:t>
      </w:r>
      <w:r w:rsidRPr="00557C36">
        <w:rPr>
          <w:sz w:val="18"/>
          <w:szCs w:val="18"/>
          <w:lang w:eastAsia="en-US"/>
        </w:rPr>
        <w:t xml:space="preserve">  </w:t>
      </w:r>
    </w:p>
  </w:footnote>
  <w:footnote w:id="6">
    <w:p w:rsidR="00D86A28" w:rsidRPr="003E2359" w:rsidRDefault="00D86A28" w:rsidP="00835CC1">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In 2009, in addition to the influenza pandemic, Argentina suffered one of the worst dengue outbreaks since the reappearance of the disease in the country.</w:t>
      </w:r>
    </w:p>
  </w:footnote>
  <w:footnote w:id="7">
    <w:p w:rsidR="00D86A28" w:rsidRPr="003E2359" w:rsidRDefault="00D86A28" w:rsidP="00835CC1">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Once a pandemic wave starts the possibility of a second or more waves (viral activity) is likely because the same virus remains circulating within the community. </w:t>
      </w:r>
    </w:p>
  </w:footnote>
  <w:footnote w:id="8">
    <w:p w:rsidR="00D86A28" w:rsidRPr="003E2359" w:rsidRDefault="00D86A28" w:rsidP="00B358C5">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The Project coordinated with Plan Nacer regarding immunization reports (EPI) data to identify the population to rece</w:t>
      </w:r>
      <w:r>
        <w:rPr>
          <w:sz w:val="20"/>
          <w:szCs w:val="20"/>
        </w:rPr>
        <w:t>i</w:t>
      </w:r>
      <w:r w:rsidRPr="003E2359">
        <w:rPr>
          <w:sz w:val="20"/>
          <w:szCs w:val="20"/>
        </w:rPr>
        <w:t xml:space="preserve">ve vaccination, treatment and education or preventive measures against A/H1N1. </w:t>
      </w:r>
    </w:p>
  </w:footnote>
  <w:footnote w:id="9">
    <w:p w:rsidR="00D86A28" w:rsidRPr="003E2359" w:rsidRDefault="00D86A28" w:rsidP="001B07AA">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For more information regarding the monitoring framework see pages 62 and 63 of the PAD</w:t>
      </w:r>
      <w:r>
        <w:rPr>
          <w:sz w:val="20"/>
          <w:szCs w:val="20"/>
        </w:rPr>
        <w:t xml:space="preserve"> </w:t>
      </w:r>
      <w:r w:rsidRPr="003E2359">
        <w:rPr>
          <w:sz w:val="20"/>
          <w:szCs w:val="20"/>
        </w:rPr>
        <w:t>and Section 2.3 of this ICR.</w:t>
      </w:r>
    </w:p>
  </w:footnote>
  <w:footnote w:id="10">
    <w:p w:rsidR="00D86A28" w:rsidRPr="00572AFD" w:rsidRDefault="00D86A28" w:rsidP="001B07AA">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See section 2.3 for a list of the indicators under the RBF </w:t>
      </w:r>
      <w:r w:rsidRPr="00572AFD">
        <w:rPr>
          <w:sz w:val="20"/>
          <w:szCs w:val="20"/>
        </w:rPr>
        <w:t xml:space="preserve">scheme. </w:t>
      </w:r>
    </w:p>
  </w:footnote>
  <w:footnote w:id="11">
    <w:p w:rsidR="00D86A28" w:rsidRPr="00572AFD" w:rsidRDefault="00D86A28" w:rsidP="001B07AA">
      <w:pPr>
        <w:pStyle w:val="FootnoteText"/>
        <w:spacing w:before="0" w:beforeAutospacing="0" w:after="0" w:afterAutospacing="0"/>
        <w:jc w:val="both"/>
        <w:rPr>
          <w:sz w:val="20"/>
          <w:szCs w:val="20"/>
        </w:rPr>
      </w:pPr>
      <w:r w:rsidRPr="00572AFD">
        <w:rPr>
          <w:rStyle w:val="FootnoteReference"/>
          <w:sz w:val="20"/>
          <w:szCs w:val="20"/>
        </w:rPr>
        <w:footnoteRef/>
      </w:r>
      <w:r w:rsidRPr="00572AFD">
        <w:rPr>
          <w:sz w:val="20"/>
          <w:szCs w:val="20"/>
        </w:rPr>
        <w:t xml:space="preserve"> Health situation rooms are physical spaces where information is collected and analyzed in order to facilitate the identification of priority health programs and contribute to effective decision-making. The criteria for HSR certification w</w:t>
      </w:r>
      <w:r>
        <w:rPr>
          <w:sz w:val="20"/>
          <w:szCs w:val="20"/>
        </w:rPr>
        <w:t>as</w:t>
      </w:r>
      <w:r w:rsidRPr="00572AFD">
        <w:rPr>
          <w:sz w:val="20"/>
          <w:szCs w:val="20"/>
        </w:rPr>
        <w:t xml:space="preserve"> based on the following: (i) institutional mechanisms for the integration and diffusion of information</w:t>
      </w:r>
      <w:r>
        <w:rPr>
          <w:sz w:val="20"/>
          <w:szCs w:val="20"/>
        </w:rPr>
        <w:t>;</w:t>
      </w:r>
      <w:r w:rsidRPr="00572AFD">
        <w:rPr>
          <w:sz w:val="20"/>
          <w:szCs w:val="20"/>
        </w:rPr>
        <w:t xml:space="preserve"> (ii) health quality improvements</w:t>
      </w:r>
      <w:r>
        <w:rPr>
          <w:sz w:val="20"/>
          <w:szCs w:val="20"/>
        </w:rPr>
        <w:t>;</w:t>
      </w:r>
      <w:r w:rsidRPr="00572AFD">
        <w:rPr>
          <w:sz w:val="20"/>
          <w:szCs w:val="20"/>
        </w:rPr>
        <w:t xml:space="preserve"> (iii) improvements in the technical quality of produced analysis</w:t>
      </w:r>
      <w:r>
        <w:rPr>
          <w:sz w:val="20"/>
          <w:szCs w:val="20"/>
        </w:rPr>
        <w:t>;</w:t>
      </w:r>
      <w:r w:rsidRPr="00572AFD">
        <w:rPr>
          <w:sz w:val="20"/>
          <w:szCs w:val="20"/>
        </w:rPr>
        <w:t xml:space="preserve"> and (iv) HSR functioning. </w:t>
      </w:r>
    </w:p>
  </w:footnote>
  <w:footnote w:id="12">
    <w:p w:rsidR="00D86A28" w:rsidRPr="003E2359" w:rsidRDefault="00D86A28" w:rsidP="00F279DF">
      <w:pPr>
        <w:pStyle w:val="FootnoteText"/>
        <w:spacing w:before="0" w:beforeAutospacing="0" w:after="0" w:afterAutospacing="0"/>
        <w:jc w:val="both"/>
        <w:rPr>
          <w:sz w:val="20"/>
          <w:szCs w:val="20"/>
        </w:rPr>
      </w:pPr>
      <w:r w:rsidRPr="00572AFD">
        <w:rPr>
          <w:rStyle w:val="FootnoteReference"/>
          <w:sz w:val="20"/>
          <w:szCs w:val="20"/>
        </w:rPr>
        <w:footnoteRef/>
      </w:r>
      <w:r w:rsidRPr="00572AFD">
        <w:rPr>
          <w:sz w:val="20"/>
          <w:szCs w:val="20"/>
        </w:rPr>
        <w:t xml:space="preserve"> The A/H1N1 epidemic had a </w:t>
      </w:r>
      <w:r w:rsidRPr="003E2359">
        <w:rPr>
          <w:sz w:val="20"/>
          <w:szCs w:val="20"/>
        </w:rPr>
        <w:t>different evolution than other influenza strains, therefore vaccines targeted the following high-risk groups</w:t>
      </w:r>
      <w:r>
        <w:rPr>
          <w:sz w:val="20"/>
          <w:szCs w:val="20"/>
        </w:rPr>
        <w:t xml:space="preserve"> (approximate numbers)</w:t>
      </w:r>
      <w:r w:rsidRPr="003E2359">
        <w:rPr>
          <w:sz w:val="20"/>
          <w:szCs w:val="20"/>
        </w:rPr>
        <w:t xml:space="preserve">: </w:t>
      </w:r>
      <w:r w:rsidRPr="003E2359">
        <w:rPr>
          <w:sz w:val="20"/>
          <w:szCs w:val="20"/>
          <w:lang w:eastAsia="en-US"/>
        </w:rPr>
        <w:t>(i) health professionals (1 million); (ii) community workers (1 million); (iii) pregnant women (700,000); (iv) the morbidly obese (400,000); (v) those older than six months of age with underlying diseases that affect the immune system (2 million); and (vi) children from six months to five years of age (3.5 million).</w:t>
      </w:r>
    </w:p>
  </w:footnote>
  <w:footnote w:id="13">
    <w:p w:rsidR="00D86A28" w:rsidRPr="003E2359" w:rsidRDefault="00D86A28" w:rsidP="008B2479">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To finance a second A/H1N1 vaccination (the 2011 National Free Vaccination Campaign against Influenza).</w:t>
      </w:r>
    </w:p>
  </w:footnote>
  <w:footnote w:id="14">
    <w:p w:rsidR="00D86A28" w:rsidRPr="003E2359" w:rsidRDefault="00D86A28" w:rsidP="008B2479">
      <w:pPr>
        <w:pStyle w:val="FootnoteText"/>
        <w:spacing w:before="0" w:beforeAutospacing="0" w:after="0" w:afterAutospacing="0"/>
        <w:jc w:val="both"/>
        <w:rPr>
          <w:sz w:val="20"/>
          <w:szCs w:val="20"/>
        </w:rPr>
      </w:pPr>
      <w:r w:rsidRPr="003E2359">
        <w:rPr>
          <w:rStyle w:val="FootnoteReference"/>
          <w:sz w:val="20"/>
          <w:szCs w:val="20"/>
        </w:rPr>
        <w:footnoteRef/>
      </w:r>
      <w:r w:rsidRPr="003E2359">
        <w:rPr>
          <w:sz w:val="20"/>
          <w:szCs w:val="20"/>
        </w:rPr>
        <w:t xml:space="preserve"> The reallocation of loan proceeds (i) increased Category 1 disbursements (non consultancy and consultancy services) from US$1.8 to US$2.4 million in order to finance additional years of training activities, consolidate strengthening of the epidemiological surveillance system and extend the Independent Technical Audit </w:t>
      </w:r>
      <w:r w:rsidRPr="003E2359">
        <w:rPr>
          <w:i/>
          <w:sz w:val="20"/>
          <w:szCs w:val="20"/>
        </w:rPr>
        <w:t>(Auditoria Técnica Independiente</w:t>
      </w:r>
      <w:r w:rsidRPr="003E2359">
        <w:rPr>
          <w:sz w:val="20"/>
          <w:szCs w:val="20"/>
        </w:rPr>
        <w:t xml:space="preserve"> -</w:t>
      </w:r>
      <w:r>
        <w:rPr>
          <w:sz w:val="20"/>
          <w:szCs w:val="20"/>
        </w:rPr>
        <w:t xml:space="preserve"> </w:t>
      </w:r>
      <w:r w:rsidRPr="003E2359">
        <w:rPr>
          <w:sz w:val="20"/>
          <w:szCs w:val="20"/>
        </w:rPr>
        <w:t>ITA); (ii) reduced Category 2 (goods) from US$82.8 to US$80.51 million to reflect activities already initiated in the 2011-2012 Procurement Plan; (iii) increased Category 3 (outputs) from US$4.9 to US$8.25 to provide an additional year of financing for the situation rooms (which would now receive a level II certification), and consolidate epidemiological surveillance system achievements; and (iv) reduced Category 4 (outputs) and Category 5 (operating costs).</w:t>
      </w:r>
    </w:p>
  </w:footnote>
  <w:footnote w:id="15">
    <w:p w:rsidR="00D86A28" w:rsidRPr="000D1426" w:rsidRDefault="00D86A28" w:rsidP="008B2479">
      <w:pPr>
        <w:pStyle w:val="FootnoteText"/>
        <w:jc w:val="both"/>
        <w:rPr>
          <w:sz w:val="20"/>
          <w:szCs w:val="20"/>
        </w:rPr>
      </w:pPr>
      <w:r w:rsidRPr="003E2359">
        <w:rPr>
          <w:rStyle w:val="FootnoteReference"/>
          <w:sz w:val="20"/>
          <w:szCs w:val="20"/>
        </w:rPr>
        <w:footnoteRef/>
      </w:r>
      <w:r w:rsidRPr="003E2359">
        <w:rPr>
          <w:sz w:val="20"/>
          <w:szCs w:val="20"/>
        </w:rPr>
        <w:t xml:space="preserve"> IEG Working Paper 2009/4. “Do Health Sector-Wide Approaches Achieve Results?” p xii</w:t>
      </w:r>
      <w:r>
        <w:rPr>
          <w:sz w:val="20"/>
          <w:szCs w:val="20"/>
        </w:rPr>
        <w:t>.</w:t>
      </w:r>
    </w:p>
  </w:footnote>
  <w:footnote w:id="16">
    <w:p w:rsidR="00D86A28" w:rsidRPr="00060E9B" w:rsidRDefault="00D86A28" w:rsidP="006C7195">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The Project teams worked closely with the Provinces to prepare the plans, including holding several workshops and providing materials in the local languages. All Provinces with indigenous populations except La Pampa prepared an IPP in 2008 in a participative approach involving social evaluations.</w:t>
      </w:r>
    </w:p>
  </w:footnote>
  <w:footnote w:id="17">
    <w:p w:rsidR="00D86A28" w:rsidRPr="00060E9B" w:rsidRDefault="00D86A28" w:rsidP="00E8527A">
      <w:pPr>
        <w:pStyle w:val="FootnoteText"/>
        <w:spacing w:before="0" w:beforeAutospacing="0" w:after="0" w:afterAutospacing="0"/>
        <w:rPr>
          <w:sz w:val="20"/>
          <w:szCs w:val="20"/>
        </w:rPr>
      </w:pPr>
      <w:r w:rsidRPr="00060E9B">
        <w:rPr>
          <w:rStyle w:val="FootnoteReference"/>
          <w:sz w:val="20"/>
          <w:szCs w:val="20"/>
        </w:rPr>
        <w:footnoteRef/>
      </w:r>
      <w:r w:rsidRPr="00060E9B">
        <w:rPr>
          <w:sz w:val="20"/>
          <w:szCs w:val="20"/>
        </w:rPr>
        <w:t xml:space="preserve"> </w:t>
      </w:r>
      <w:r w:rsidRPr="00060E9B">
        <w:rPr>
          <w:color w:val="000000"/>
          <w:sz w:val="20"/>
          <w:szCs w:val="20"/>
        </w:rPr>
        <w:t xml:space="preserve">Numerous procurement issues arose during the purchase of ambulances, which resulted in the rejection of the first bidding process and a two-year </w:t>
      </w:r>
      <w:r>
        <w:rPr>
          <w:color w:val="000000"/>
          <w:sz w:val="20"/>
          <w:szCs w:val="20"/>
        </w:rPr>
        <w:t xml:space="preserve">purchase </w:t>
      </w:r>
      <w:r w:rsidRPr="00060E9B">
        <w:rPr>
          <w:color w:val="000000"/>
          <w:sz w:val="20"/>
          <w:szCs w:val="20"/>
        </w:rPr>
        <w:t>delay, which was finally successfully achieved.</w:t>
      </w:r>
    </w:p>
  </w:footnote>
  <w:footnote w:id="18">
    <w:p w:rsidR="00D86A28" w:rsidRPr="00060E9B" w:rsidRDefault="00D86A28" w:rsidP="00F84DDF">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Good surveillance mechanisms allow governments to efficiently invest and distribute health care resources. Due to influenza virus variability, the capacity to evaluate data quickly provides the foundation for an effective response.  </w:t>
      </w:r>
    </w:p>
  </w:footnote>
  <w:footnote w:id="19">
    <w:p w:rsidR="00D86A28" w:rsidRPr="00060E9B" w:rsidRDefault="00D86A28" w:rsidP="00F84DDF">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Schuchat, A., B. Bell, and S. Redd, The Science Behind Preparing and Responding to Pandemic Influenza: the Lessons and Limits of Science, Oxford journal of Medicine: Clinical infectious Diseaseas, vol 52, issue Suplement 1, p.1 and 2.</w:t>
      </w:r>
    </w:p>
  </w:footnote>
  <w:footnote w:id="20">
    <w:p w:rsidR="00D86A28" w:rsidRPr="00060E9B" w:rsidRDefault="00D86A28" w:rsidP="00680AC2">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w:t>
      </w:r>
      <w:r w:rsidRPr="00060E9B">
        <w:rPr>
          <w:sz w:val="20"/>
          <w:szCs w:val="20"/>
          <w:lang w:eastAsia="en-US"/>
        </w:rPr>
        <w:t>The process includes registering, analyzing, and disseminating information on priority diseases, including the gathering of statistics from clinics all over the country; promoting research on prevalent, serious and preventable transmissible diseases; and analyzing, in an effective and timely manner, statistics on disease prevalence and other data, to monitor the country’s public health status.</w:t>
      </w:r>
    </w:p>
  </w:footnote>
  <w:footnote w:id="21">
    <w:p w:rsidR="00D86A28" w:rsidRPr="00060E9B" w:rsidRDefault="00D86A28" w:rsidP="00816858">
      <w:pPr>
        <w:pStyle w:val="FootnoteText"/>
        <w:spacing w:before="0" w:beforeAutospacing="0" w:after="0" w:afterAutospacing="0"/>
        <w:jc w:val="both"/>
        <w:rPr>
          <w:sz w:val="20"/>
          <w:szCs w:val="20"/>
          <w:vertAlign w:val="subscript"/>
        </w:rPr>
      </w:pPr>
      <w:r w:rsidRPr="00060E9B">
        <w:rPr>
          <w:rStyle w:val="FootnoteReference"/>
          <w:sz w:val="20"/>
          <w:szCs w:val="20"/>
          <w:vertAlign w:val="subscript"/>
        </w:rPr>
        <w:footnoteRef/>
      </w:r>
      <w:r w:rsidRPr="00060E9B">
        <w:rPr>
          <w:sz w:val="20"/>
          <w:szCs w:val="20"/>
          <w:vertAlign w:val="subscript"/>
        </w:rPr>
        <w:t xml:space="preserve"> </w:t>
      </w:r>
      <w:r w:rsidRPr="00060E9B">
        <w:rPr>
          <w:sz w:val="20"/>
          <w:szCs w:val="20"/>
        </w:rPr>
        <w:t>The city of Buenos Aires did not join the Program, while the province of Formosa did not submit their situation room for certification in 2012, as the new health authorities did not support their implementation.</w:t>
      </w:r>
      <w:r w:rsidRPr="00060E9B">
        <w:rPr>
          <w:sz w:val="20"/>
          <w:szCs w:val="20"/>
          <w:vertAlign w:val="subscript"/>
        </w:rPr>
        <w:t xml:space="preserve"> </w:t>
      </w:r>
    </w:p>
  </w:footnote>
  <w:footnote w:id="22">
    <w:p w:rsidR="00D86A28" w:rsidRPr="00060E9B" w:rsidRDefault="00D86A28" w:rsidP="00BC30D6">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The indicator was only applied in year three of Project implementation and involved more complex certification criteria, including the establishment of institutional mechanisms to integrate and diffuse information and the </w:t>
      </w:r>
      <w:r>
        <w:rPr>
          <w:sz w:val="20"/>
          <w:szCs w:val="20"/>
        </w:rPr>
        <w:t xml:space="preserve">quality </w:t>
      </w:r>
      <w:r w:rsidRPr="00060E9B">
        <w:rPr>
          <w:sz w:val="20"/>
          <w:szCs w:val="20"/>
        </w:rPr>
        <w:t xml:space="preserve">improvement of </w:t>
      </w:r>
      <w:r>
        <w:rPr>
          <w:sz w:val="20"/>
          <w:szCs w:val="20"/>
        </w:rPr>
        <w:t xml:space="preserve">provincial </w:t>
      </w:r>
      <w:r w:rsidRPr="00060E9B">
        <w:rPr>
          <w:sz w:val="20"/>
          <w:szCs w:val="20"/>
        </w:rPr>
        <w:t xml:space="preserve">health information. </w:t>
      </w:r>
    </w:p>
  </w:footnote>
  <w:footnote w:id="23">
    <w:p w:rsidR="00D86A28" w:rsidRPr="00060E9B" w:rsidRDefault="00D86A28">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One MOC per 72,000 inhabitants.</w:t>
      </w:r>
    </w:p>
  </w:footnote>
  <w:footnote w:id="24">
    <w:p w:rsidR="00D86A28" w:rsidRPr="00060E9B" w:rsidRDefault="00D86A28">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Acording to Project design, each province with an IPP was to implement </w:t>
      </w:r>
      <w:r>
        <w:rPr>
          <w:sz w:val="20"/>
          <w:szCs w:val="20"/>
        </w:rPr>
        <w:t>three</w:t>
      </w:r>
      <w:r w:rsidRPr="00060E9B">
        <w:rPr>
          <w:sz w:val="20"/>
          <w:szCs w:val="20"/>
        </w:rPr>
        <w:t xml:space="preserve"> MOCs, however three provinces failed to elaborate them. Rio Negro decided that the indigenous population could be served with the provincial MOCs, while La Pampa and Salta found it difficult to establish IPP MOCs due to the lack of a communication unit within the provincial ministry of health.   </w:t>
      </w:r>
    </w:p>
  </w:footnote>
  <w:footnote w:id="25">
    <w:p w:rsidR="00D86A28" w:rsidRPr="00572AFD" w:rsidRDefault="00D86A28">
      <w:pPr>
        <w:pStyle w:val="FootnoteText"/>
        <w:spacing w:before="0" w:beforeAutospacing="0" w:after="0" w:afterAutospacing="0"/>
        <w:jc w:val="both"/>
        <w:rPr>
          <w:sz w:val="20"/>
          <w:szCs w:val="20"/>
          <w:lang w:val="es-ES"/>
        </w:rPr>
      </w:pPr>
      <w:r w:rsidRPr="00060E9B">
        <w:rPr>
          <w:rStyle w:val="FootnoteReference"/>
          <w:sz w:val="20"/>
          <w:szCs w:val="20"/>
        </w:rPr>
        <w:footnoteRef/>
      </w:r>
      <w:r w:rsidRPr="00060E9B">
        <w:rPr>
          <w:sz w:val="20"/>
          <w:szCs w:val="20"/>
          <w:lang w:val="es-ES"/>
        </w:rPr>
        <w:t xml:space="preserve"> Informe de Gestión Semestral de Unidad Coordinadora del Proyecto y el Área de Monitoreo y Evaluación UFI-s (Mayo 2012), Proyecto de Emergencia para la prevención, vigilancia control de Enfermedades Tipo Influenza H1N1 BIRF 7843-AR, Segundo Semestre 2011, p. 8</w:t>
      </w:r>
      <w:r>
        <w:rPr>
          <w:sz w:val="20"/>
          <w:szCs w:val="20"/>
          <w:lang w:val="es-ES"/>
        </w:rPr>
        <w:t>.</w:t>
      </w:r>
      <w:r w:rsidRPr="00572AFD">
        <w:rPr>
          <w:sz w:val="20"/>
          <w:szCs w:val="20"/>
          <w:lang w:val="es-ES"/>
        </w:rPr>
        <w:t xml:space="preserve"> </w:t>
      </w:r>
    </w:p>
  </w:footnote>
  <w:footnote w:id="26">
    <w:p w:rsidR="00D86A28" w:rsidRPr="00572AFD" w:rsidRDefault="00D86A28" w:rsidP="006C7195">
      <w:pPr>
        <w:pStyle w:val="FootnoteText"/>
        <w:spacing w:before="0" w:beforeAutospacing="0" w:after="0" w:afterAutospacing="0"/>
        <w:jc w:val="both"/>
        <w:rPr>
          <w:sz w:val="20"/>
          <w:szCs w:val="20"/>
          <w:lang w:val="es-ES"/>
        </w:rPr>
      </w:pPr>
      <w:r w:rsidRPr="00572AFD">
        <w:rPr>
          <w:rStyle w:val="FootnoteReference"/>
          <w:sz w:val="20"/>
          <w:szCs w:val="20"/>
        </w:rPr>
        <w:footnoteRef/>
      </w:r>
      <w:r w:rsidRPr="00572AFD">
        <w:rPr>
          <w:sz w:val="20"/>
          <w:szCs w:val="20"/>
          <w:lang w:val="es-ES"/>
        </w:rPr>
        <w:t xml:space="preserve"> Graph source: Sistema de Vigilancia de la Salud (SNVS-C2)</w:t>
      </w:r>
      <w:r>
        <w:rPr>
          <w:sz w:val="20"/>
          <w:szCs w:val="20"/>
          <w:lang w:val="es-ES"/>
        </w:rPr>
        <w:t>.</w:t>
      </w:r>
    </w:p>
  </w:footnote>
  <w:footnote w:id="27">
    <w:p w:rsidR="00D86A28" w:rsidRPr="00572AFD" w:rsidRDefault="00D86A28" w:rsidP="006C7195">
      <w:pPr>
        <w:pStyle w:val="FootnoteText"/>
        <w:spacing w:before="0" w:beforeAutospacing="0" w:after="0" w:afterAutospacing="0"/>
        <w:jc w:val="both"/>
        <w:rPr>
          <w:sz w:val="20"/>
          <w:szCs w:val="20"/>
        </w:rPr>
      </w:pPr>
      <w:r w:rsidRPr="00572AFD">
        <w:rPr>
          <w:rStyle w:val="FootnoteReference"/>
          <w:sz w:val="20"/>
          <w:szCs w:val="20"/>
        </w:rPr>
        <w:footnoteRef/>
      </w:r>
      <w:r w:rsidRPr="00572AFD">
        <w:rPr>
          <w:sz w:val="20"/>
          <w:szCs w:val="20"/>
        </w:rPr>
        <w:t xml:space="preserve"> During the first restructuring, funds </w:t>
      </w:r>
      <w:r w:rsidRPr="00060E9B">
        <w:rPr>
          <w:sz w:val="20"/>
          <w:szCs w:val="20"/>
        </w:rPr>
        <w:t xml:space="preserve">allocated to </w:t>
      </w:r>
      <w:r>
        <w:rPr>
          <w:sz w:val="20"/>
          <w:szCs w:val="20"/>
        </w:rPr>
        <w:t>C</w:t>
      </w:r>
      <w:r w:rsidRPr="00060E9B">
        <w:rPr>
          <w:sz w:val="20"/>
          <w:szCs w:val="20"/>
        </w:rPr>
        <w:t xml:space="preserve">ategory </w:t>
      </w:r>
      <w:r>
        <w:rPr>
          <w:sz w:val="20"/>
          <w:szCs w:val="20"/>
        </w:rPr>
        <w:t xml:space="preserve">of disbursement </w:t>
      </w:r>
      <w:r w:rsidRPr="00060E9B">
        <w:rPr>
          <w:sz w:val="20"/>
          <w:szCs w:val="20"/>
        </w:rPr>
        <w:t>4 (outputs) were increased to finance the 2011 National Free Vaccination Campaign against Influenza (second year</w:t>
      </w:r>
      <w:r w:rsidRPr="00572AFD">
        <w:rPr>
          <w:sz w:val="20"/>
          <w:szCs w:val="20"/>
        </w:rPr>
        <w:t>) due to the successful reduction of virus communicability from the 2010 campaign.</w:t>
      </w:r>
    </w:p>
  </w:footnote>
  <w:footnote w:id="28">
    <w:p w:rsidR="00D86A28" w:rsidRPr="00F17AC2" w:rsidRDefault="00D86A28" w:rsidP="00B05ACD">
      <w:pPr>
        <w:pStyle w:val="FootnoteText"/>
        <w:spacing w:before="0" w:beforeAutospacing="0" w:after="0" w:afterAutospacing="0"/>
        <w:jc w:val="both"/>
        <w:rPr>
          <w:sz w:val="20"/>
          <w:szCs w:val="20"/>
        </w:rPr>
      </w:pPr>
      <w:r w:rsidRPr="00F17AC2">
        <w:rPr>
          <w:rStyle w:val="FootnoteReference"/>
          <w:sz w:val="20"/>
          <w:szCs w:val="20"/>
        </w:rPr>
        <w:footnoteRef/>
      </w:r>
      <w:r w:rsidRPr="00F17AC2">
        <w:rPr>
          <w:sz w:val="20"/>
          <w:szCs w:val="20"/>
        </w:rPr>
        <w:t xml:space="preserve"> The costs may also be inflated as the costs of a second wave could have been lower than those of the first wave.  </w:t>
      </w:r>
    </w:p>
  </w:footnote>
  <w:footnote w:id="29">
    <w:p w:rsidR="00D86A28" w:rsidRPr="00273E0B" w:rsidRDefault="00D86A28" w:rsidP="00221777">
      <w:pPr>
        <w:pStyle w:val="FootnoteText"/>
        <w:spacing w:before="0" w:beforeAutospacing="0" w:after="0" w:afterAutospacing="0"/>
        <w:jc w:val="both"/>
        <w:rPr>
          <w:sz w:val="20"/>
          <w:szCs w:val="20"/>
        </w:rPr>
      </w:pPr>
      <w:r w:rsidRPr="00273E0B">
        <w:rPr>
          <w:rStyle w:val="FootnoteReference"/>
          <w:sz w:val="20"/>
          <w:szCs w:val="20"/>
        </w:rPr>
        <w:footnoteRef/>
      </w:r>
      <w:r w:rsidRPr="00273E0B">
        <w:rPr>
          <w:sz w:val="20"/>
          <w:szCs w:val="20"/>
        </w:rPr>
        <w:t xml:space="preserve"> Some provinces, such as Santa Fe and Tucuman did maintain room functioning.  </w:t>
      </w:r>
    </w:p>
  </w:footnote>
  <w:footnote w:id="30">
    <w:p w:rsidR="00D86A28" w:rsidRPr="00A56001" w:rsidRDefault="00D86A28" w:rsidP="00060E9B">
      <w:pPr>
        <w:pStyle w:val="FootnoteText"/>
        <w:spacing w:before="0" w:beforeAutospacing="0" w:after="0" w:afterAutospacing="0"/>
        <w:jc w:val="both"/>
        <w:rPr>
          <w:sz w:val="20"/>
          <w:szCs w:val="20"/>
        </w:rPr>
      </w:pPr>
      <w:r w:rsidRPr="00A56001">
        <w:rPr>
          <w:rStyle w:val="FootnoteReference"/>
          <w:sz w:val="20"/>
          <w:szCs w:val="20"/>
        </w:rPr>
        <w:footnoteRef/>
      </w:r>
      <w:r w:rsidRPr="00A56001">
        <w:rPr>
          <w:sz w:val="20"/>
          <w:szCs w:val="20"/>
        </w:rPr>
        <w:t xml:space="preserve"> Controlling Avian Influenza: Learning from evaluation of the World Bank efforts 2006-2013</w:t>
      </w:r>
      <w:r>
        <w:rPr>
          <w:sz w:val="20"/>
          <w:szCs w:val="20"/>
        </w:rPr>
        <w:t>.</w:t>
      </w:r>
    </w:p>
  </w:footnote>
  <w:footnote w:id="31">
    <w:p w:rsidR="00D86A28" w:rsidRPr="00572AFD" w:rsidRDefault="00D86A28" w:rsidP="00572AFD">
      <w:pPr>
        <w:pStyle w:val="FootnoteText"/>
        <w:jc w:val="both"/>
        <w:rPr>
          <w:sz w:val="20"/>
          <w:szCs w:val="20"/>
        </w:rPr>
      </w:pPr>
      <w:r w:rsidRPr="00572AFD">
        <w:rPr>
          <w:rStyle w:val="FootnoteReference"/>
          <w:sz w:val="20"/>
          <w:szCs w:val="20"/>
        </w:rPr>
        <w:footnoteRef/>
      </w:r>
      <w:r w:rsidRPr="00572AFD">
        <w:rPr>
          <w:sz w:val="20"/>
          <w:szCs w:val="20"/>
        </w:rPr>
        <w:t xml:space="preserve"> Includes </w:t>
      </w:r>
      <w:r w:rsidRPr="00060E9B">
        <w:rPr>
          <w:sz w:val="20"/>
          <w:szCs w:val="20"/>
        </w:rPr>
        <w:t>MSN investments in 2010 and 2013 in vaccines, antivirals and tests. I</w:t>
      </w:r>
      <w:r>
        <w:rPr>
          <w:sz w:val="20"/>
          <w:szCs w:val="20"/>
        </w:rPr>
        <w:t>t</w:t>
      </w:r>
      <w:r w:rsidRPr="00060E9B">
        <w:rPr>
          <w:sz w:val="20"/>
          <w:szCs w:val="20"/>
        </w:rPr>
        <w:t xml:space="preserve"> does not include other associated costs</w:t>
      </w:r>
      <w:r w:rsidRPr="00572AFD">
        <w:rPr>
          <w:sz w:val="20"/>
          <w:szCs w:val="20"/>
        </w:rPr>
        <w:t>.</w:t>
      </w:r>
    </w:p>
  </w:footnote>
  <w:footnote w:id="32">
    <w:p w:rsidR="00D86A28" w:rsidRPr="00474797" w:rsidRDefault="00D86A28" w:rsidP="00474797">
      <w:pPr>
        <w:pStyle w:val="FootnoteText"/>
        <w:spacing w:before="0" w:beforeAutospacing="0" w:after="0" w:afterAutospacing="0"/>
        <w:jc w:val="both"/>
        <w:rPr>
          <w:sz w:val="20"/>
          <w:szCs w:val="20"/>
        </w:rPr>
      </w:pPr>
      <w:r w:rsidRPr="00474797">
        <w:rPr>
          <w:rStyle w:val="FootnoteReference"/>
          <w:sz w:val="20"/>
          <w:szCs w:val="20"/>
        </w:rPr>
        <w:footnoteRef/>
      </w:r>
      <w:r w:rsidRPr="00474797">
        <w:rPr>
          <w:sz w:val="20"/>
          <w:szCs w:val="20"/>
        </w:rPr>
        <w:t xml:space="preserve"> </w:t>
      </w:r>
      <w:r w:rsidRPr="00474797">
        <w:rPr>
          <w:sz w:val="20"/>
          <w:szCs w:val="20"/>
          <w:lang w:eastAsia="en-US"/>
        </w:rPr>
        <w:t>The process includes registering, analyzing, and disseminating information on priority diseases, including the gathering of statistics from clinics all over the country; promoting research on prevalent, serious and preventable transmissible diseases; and analyzing, in an effective and timely manner, statistics on disease prevalence and other data, to monitor the country’s public health status.</w:t>
      </w:r>
    </w:p>
  </w:footnote>
  <w:footnote w:id="33">
    <w:p w:rsidR="00D86A28" w:rsidRPr="00474797" w:rsidRDefault="00D86A28" w:rsidP="00474797">
      <w:pPr>
        <w:pStyle w:val="FootnoteText"/>
        <w:spacing w:before="0" w:beforeAutospacing="0" w:after="0" w:afterAutospacing="0"/>
        <w:jc w:val="both"/>
        <w:rPr>
          <w:sz w:val="20"/>
          <w:szCs w:val="20"/>
          <w:vertAlign w:val="subscript"/>
        </w:rPr>
      </w:pPr>
      <w:r w:rsidRPr="00474797">
        <w:rPr>
          <w:rStyle w:val="FootnoteReference"/>
          <w:sz w:val="20"/>
          <w:szCs w:val="20"/>
          <w:vertAlign w:val="subscript"/>
        </w:rPr>
        <w:footnoteRef/>
      </w:r>
      <w:r w:rsidRPr="00474797">
        <w:rPr>
          <w:sz w:val="20"/>
          <w:szCs w:val="20"/>
          <w:vertAlign w:val="subscript"/>
        </w:rPr>
        <w:t xml:space="preserve"> </w:t>
      </w:r>
      <w:r w:rsidRPr="00474797">
        <w:rPr>
          <w:sz w:val="20"/>
          <w:szCs w:val="20"/>
        </w:rPr>
        <w:t>The city of Buenos Aires did not join the Program, while the province of Formosa did not submit their situation room for certification in 2012, as the new health authorities did not support their implementation.</w:t>
      </w:r>
      <w:r w:rsidRPr="00474797">
        <w:rPr>
          <w:sz w:val="20"/>
          <w:szCs w:val="20"/>
          <w:vertAlign w:val="subscript"/>
        </w:rPr>
        <w:t xml:space="preserve"> </w:t>
      </w:r>
    </w:p>
  </w:footnote>
  <w:footnote w:id="34">
    <w:p w:rsidR="00D86A28" w:rsidRPr="00474797" w:rsidRDefault="00D86A28" w:rsidP="00474797">
      <w:pPr>
        <w:pStyle w:val="FootnoteText"/>
        <w:spacing w:before="0" w:beforeAutospacing="0" w:after="0" w:afterAutospacing="0"/>
        <w:jc w:val="both"/>
        <w:rPr>
          <w:sz w:val="20"/>
          <w:szCs w:val="20"/>
        </w:rPr>
      </w:pPr>
      <w:r w:rsidRPr="00474797">
        <w:rPr>
          <w:rStyle w:val="FootnoteReference"/>
          <w:sz w:val="20"/>
          <w:szCs w:val="20"/>
        </w:rPr>
        <w:footnoteRef/>
      </w:r>
      <w:r w:rsidRPr="00474797">
        <w:rPr>
          <w:sz w:val="20"/>
          <w:szCs w:val="20"/>
        </w:rPr>
        <w:t xml:space="preserve"> The indicator was only applied in year three of Project implementation and involved more complex certification criteria, including the establishment of institutional mechanisms to integrate and diffuse information and the improvement of health information quality in the provinces. </w:t>
      </w:r>
    </w:p>
  </w:footnote>
  <w:footnote w:id="35">
    <w:p w:rsidR="00D86A28" w:rsidRPr="00572AFD" w:rsidRDefault="00D86A28" w:rsidP="00CB57A8">
      <w:pPr>
        <w:pStyle w:val="FootnoteText"/>
        <w:spacing w:before="0" w:beforeAutospacing="0" w:after="0" w:afterAutospacing="0"/>
        <w:jc w:val="both"/>
        <w:rPr>
          <w:sz w:val="20"/>
          <w:szCs w:val="20"/>
        </w:rPr>
      </w:pPr>
      <w:r w:rsidRPr="00572AFD">
        <w:rPr>
          <w:rStyle w:val="FootnoteReference"/>
          <w:sz w:val="20"/>
          <w:szCs w:val="20"/>
        </w:rPr>
        <w:footnoteRef/>
      </w:r>
      <w:r w:rsidRPr="00572AFD">
        <w:rPr>
          <w:sz w:val="20"/>
          <w:szCs w:val="20"/>
        </w:rPr>
        <w:t xml:space="preserve"> One MOC per 72,000 inhabitants.</w:t>
      </w:r>
    </w:p>
  </w:footnote>
  <w:footnote w:id="36">
    <w:p w:rsidR="00D86A28" w:rsidRPr="00060E9B" w:rsidRDefault="00D86A28" w:rsidP="00474797">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Acording to Project design, each province with an IPP was to implement 3 MOCs, however three provinces failed to elaborate them. Rio Negro decided that the indigenous population could be served with the provincial MOCs, while La Pampa and Salta found it difficult to establish IPP MOCs due to the lack of a communication unit within the provincial ministry of health.   </w:t>
      </w:r>
    </w:p>
  </w:footnote>
  <w:footnote w:id="37">
    <w:p w:rsidR="00D86A28" w:rsidRPr="00572AFD" w:rsidRDefault="00D86A28" w:rsidP="00CB57A8">
      <w:pPr>
        <w:pStyle w:val="FootnoteText"/>
        <w:spacing w:before="0" w:beforeAutospacing="0" w:after="0" w:afterAutospacing="0"/>
        <w:jc w:val="both"/>
        <w:rPr>
          <w:sz w:val="20"/>
          <w:szCs w:val="20"/>
          <w:lang w:val="es-ES"/>
        </w:rPr>
      </w:pPr>
      <w:r w:rsidRPr="00572AFD">
        <w:rPr>
          <w:rStyle w:val="FootnoteReference"/>
          <w:sz w:val="20"/>
          <w:szCs w:val="20"/>
        </w:rPr>
        <w:footnoteRef/>
      </w:r>
      <w:r w:rsidRPr="00572AFD">
        <w:rPr>
          <w:sz w:val="20"/>
          <w:szCs w:val="20"/>
          <w:lang w:val="es-ES"/>
        </w:rPr>
        <w:t xml:space="preserve"> Informe de Gestión Semestral de Unidad Coordinadora del Proyecto y el Área de Monitoreo y Evaluación UFI-s (Mayo 2012), Proyecto de Emergencia para la prevención, vigilancia control de Enfermedades Tipo Influenza H1N1 BIRF 7843-AR, Segundo Semestre 2011, p. 8  </w:t>
      </w:r>
    </w:p>
  </w:footnote>
  <w:footnote w:id="38">
    <w:p w:rsidR="00D86A28" w:rsidRPr="00060E9B" w:rsidRDefault="00D86A28" w:rsidP="00CB57A8">
      <w:pPr>
        <w:pStyle w:val="FootnoteText"/>
        <w:spacing w:before="0" w:beforeAutospacing="0" w:after="0" w:afterAutospacing="0"/>
        <w:jc w:val="both"/>
        <w:rPr>
          <w:sz w:val="20"/>
          <w:szCs w:val="20"/>
          <w:lang w:val="es-ES"/>
        </w:rPr>
      </w:pPr>
      <w:r w:rsidRPr="00060E9B">
        <w:rPr>
          <w:rStyle w:val="FootnoteReference"/>
          <w:sz w:val="20"/>
          <w:szCs w:val="20"/>
        </w:rPr>
        <w:footnoteRef/>
      </w:r>
      <w:r w:rsidRPr="00060E9B">
        <w:rPr>
          <w:sz w:val="20"/>
          <w:szCs w:val="20"/>
          <w:lang w:val="es-ES"/>
        </w:rPr>
        <w:t xml:space="preserve"> Graph source: Sistema de Vigilancia de la Salud (SNVS-C2)</w:t>
      </w:r>
      <w:r w:rsidR="00DD01E2">
        <w:rPr>
          <w:sz w:val="20"/>
          <w:szCs w:val="20"/>
          <w:lang w:val="es-ES"/>
        </w:rPr>
        <w:t>.</w:t>
      </w:r>
    </w:p>
  </w:footnote>
  <w:footnote w:id="39">
    <w:p w:rsidR="00D86A28" w:rsidRPr="00812C1F" w:rsidRDefault="00D86A28" w:rsidP="00060E9B">
      <w:pPr>
        <w:pStyle w:val="FootnoteText"/>
        <w:spacing w:before="0" w:beforeAutospacing="0" w:after="0" w:afterAutospacing="0"/>
        <w:jc w:val="both"/>
        <w:rPr>
          <w:sz w:val="18"/>
          <w:szCs w:val="18"/>
        </w:rPr>
      </w:pPr>
      <w:r w:rsidRPr="00060E9B">
        <w:rPr>
          <w:rStyle w:val="FootnoteReference"/>
          <w:sz w:val="20"/>
          <w:szCs w:val="20"/>
        </w:rPr>
        <w:footnoteRef/>
      </w:r>
      <w:r w:rsidRPr="00060E9B">
        <w:rPr>
          <w:sz w:val="20"/>
          <w:szCs w:val="20"/>
        </w:rPr>
        <w:t xml:space="preserve"> This accounts for the highest coverage rate of the eligible population in the Latin America Region for the winter season. The vaccination campaigns in 2010 and 2011 offered free vaccination in all hospitals and vaccination centers to high risk individuals.</w:t>
      </w:r>
    </w:p>
  </w:footnote>
  <w:footnote w:id="40">
    <w:p w:rsidR="00D86A28" w:rsidRPr="00572AFD" w:rsidRDefault="00D86A28" w:rsidP="00572AFD">
      <w:pPr>
        <w:pStyle w:val="FootnoteText"/>
        <w:spacing w:before="0" w:beforeAutospacing="0" w:after="0" w:afterAutospacing="0"/>
        <w:jc w:val="both"/>
        <w:rPr>
          <w:sz w:val="20"/>
          <w:szCs w:val="20"/>
        </w:rPr>
      </w:pPr>
      <w:r w:rsidRPr="00060E9B">
        <w:rPr>
          <w:rStyle w:val="FootnoteReference"/>
          <w:sz w:val="20"/>
          <w:szCs w:val="20"/>
        </w:rPr>
        <w:footnoteRef/>
      </w:r>
      <w:r w:rsidRPr="00060E9B">
        <w:rPr>
          <w:sz w:val="20"/>
          <w:szCs w:val="20"/>
        </w:rPr>
        <w:t xml:space="preserve"> In Mexico, for example, estimates indicate an economic impact of USD$9.1 billion, approximately 1 percent of GDP.</w:t>
      </w:r>
    </w:p>
  </w:footnote>
  <w:footnote w:id="41">
    <w:p w:rsidR="00D86A28" w:rsidRPr="00E56225" w:rsidRDefault="00D86A28" w:rsidP="00E56225">
      <w:pPr>
        <w:pStyle w:val="FootnoteText"/>
        <w:spacing w:before="0" w:beforeAutospacing="0" w:after="0" w:afterAutospacing="0"/>
        <w:jc w:val="both"/>
        <w:rPr>
          <w:sz w:val="18"/>
          <w:szCs w:val="18"/>
        </w:rPr>
      </w:pPr>
      <w:r w:rsidRPr="00E56225">
        <w:rPr>
          <w:rStyle w:val="FootnoteReference"/>
          <w:rFonts w:eastAsia="Calibri"/>
          <w:sz w:val="18"/>
          <w:szCs w:val="18"/>
          <w:lang w:eastAsia="en-US"/>
        </w:rPr>
        <w:footnoteRef/>
      </w:r>
      <w:r w:rsidRPr="00E56225">
        <w:rPr>
          <w:sz w:val="18"/>
          <w:szCs w:val="18"/>
        </w:rPr>
        <w:t xml:space="preserve"> Source: </w:t>
      </w:r>
      <w:hyperlink r:id="rId1" w:history="1">
        <w:r w:rsidRPr="00E56225">
          <w:rPr>
            <w:sz w:val="18"/>
            <w:szCs w:val="18"/>
          </w:rPr>
          <w:t>http://municipios.msal.gov.ar/h1n1/parte_influenza/parte-91-26-02-10.pdf</w:t>
        </w:r>
      </w:hyperlink>
    </w:p>
  </w:footnote>
  <w:footnote w:id="42">
    <w:p w:rsidR="00D86A28" w:rsidRPr="00925DA3" w:rsidRDefault="00D86A28" w:rsidP="004E5C39">
      <w:pPr>
        <w:pStyle w:val="FootnoteText"/>
        <w:spacing w:before="0" w:beforeAutospacing="0" w:after="0" w:afterAutospacing="0"/>
        <w:jc w:val="both"/>
        <w:rPr>
          <w:sz w:val="18"/>
          <w:szCs w:val="18"/>
        </w:rPr>
      </w:pPr>
      <w:r w:rsidRPr="00925DA3">
        <w:rPr>
          <w:rStyle w:val="FootnoteReference"/>
          <w:sz w:val="18"/>
          <w:szCs w:val="18"/>
        </w:rPr>
        <w:footnoteRef/>
      </w:r>
      <w:r w:rsidRPr="00925DA3">
        <w:rPr>
          <w:sz w:val="18"/>
          <w:szCs w:val="18"/>
        </w:rPr>
        <w:t xml:space="preserve"> Mothers of infants under 6 months of age, children from 6 to 24 months of age, pregnant women, post-partum women, health personnel, persons over 65 years of age, persons with chronic illnesses (respiratory, cardiac, renal, diabetic, weakened immunity and morbidly obese).  </w:t>
      </w:r>
    </w:p>
  </w:footnote>
  <w:footnote w:id="43">
    <w:p w:rsidR="00D86A28" w:rsidRPr="00925DA3" w:rsidRDefault="00D86A28" w:rsidP="00106899">
      <w:pPr>
        <w:pStyle w:val="FootnoteText"/>
        <w:spacing w:before="0" w:beforeAutospacing="0" w:after="0" w:afterAutospacing="0"/>
        <w:jc w:val="both"/>
        <w:rPr>
          <w:sz w:val="18"/>
          <w:szCs w:val="18"/>
        </w:rPr>
      </w:pPr>
      <w:r w:rsidRPr="00925DA3">
        <w:rPr>
          <w:rStyle w:val="FootnoteReference"/>
          <w:sz w:val="18"/>
          <w:szCs w:val="18"/>
        </w:rPr>
        <w:footnoteRef/>
      </w:r>
      <w:r w:rsidRPr="00925DA3">
        <w:rPr>
          <w:color w:val="000000"/>
          <w:sz w:val="18"/>
          <w:szCs w:val="18"/>
        </w:rPr>
        <w:t xml:space="preserve"> One room for each of 20 provinces (Catamarca, Chaco, Chubut, Corrientes, Entre Ríos, Formosa, Jujuy, La Pampa, La Rioja, Mendoza, Misiones, Neuquén, Río Negro, Salta, San Juan, San Luis, Santa Cruz, Santiago del Estero, Tierra del Fuego and Tucumán); two rooms for Córdoba (Córdoba Capital and Río Cuarto) and Santa Fe (Santa Fe Capital and Rosario); one room for the city of Buenos Aires; 13 rooms for the Buenos Aires province (12 for the Health Regions and one central provincial room).</w:t>
      </w:r>
    </w:p>
  </w:footnote>
  <w:footnote w:id="44">
    <w:p w:rsidR="00D86A28" w:rsidRPr="00925DA3" w:rsidRDefault="00D86A28" w:rsidP="004E5C39">
      <w:pPr>
        <w:pStyle w:val="FootnoteText"/>
        <w:spacing w:before="0" w:beforeAutospacing="0" w:after="0" w:afterAutospacing="0"/>
        <w:jc w:val="both"/>
        <w:rPr>
          <w:color w:val="000000"/>
          <w:sz w:val="18"/>
          <w:szCs w:val="18"/>
        </w:rPr>
      </w:pPr>
      <w:r w:rsidRPr="00925DA3">
        <w:rPr>
          <w:color w:val="000000"/>
          <w:sz w:val="18"/>
          <w:szCs w:val="18"/>
        </w:rPr>
        <w:footnoteRef/>
      </w:r>
      <w:r w:rsidRPr="00925DA3">
        <w:rPr>
          <w:color w:val="000000"/>
          <w:sz w:val="18"/>
          <w:szCs w:val="18"/>
        </w:rPr>
        <w:t xml:space="preserve"> The city of Buenos Aires did not participate in the project, and the Formosa room did not certify its operations during 2012.</w:t>
      </w:r>
    </w:p>
  </w:footnote>
  <w:footnote w:id="45">
    <w:p w:rsidR="00D86A28" w:rsidRPr="00925DA3" w:rsidRDefault="00D86A28" w:rsidP="00106899">
      <w:pPr>
        <w:pStyle w:val="FootnoteText"/>
        <w:spacing w:before="0" w:beforeAutospacing="0" w:after="0" w:afterAutospacing="0"/>
        <w:jc w:val="both"/>
        <w:rPr>
          <w:sz w:val="18"/>
          <w:szCs w:val="18"/>
        </w:rPr>
      </w:pPr>
      <w:r w:rsidRPr="00925DA3">
        <w:rPr>
          <w:rStyle w:val="FootnoteReference"/>
          <w:sz w:val="18"/>
          <w:szCs w:val="18"/>
        </w:rPr>
        <w:footnoteRef/>
      </w:r>
      <w:r w:rsidRPr="00925DA3">
        <w:rPr>
          <w:sz w:val="18"/>
          <w:szCs w:val="18"/>
        </w:rPr>
        <w:t xml:space="preserve"> </w:t>
      </w:r>
      <w:r w:rsidRPr="00925DA3">
        <w:rPr>
          <w:color w:val="000000"/>
          <w:sz w:val="18"/>
          <w:szCs w:val="18"/>
        </w:rPr>
        <w:t>Buenos Aires, 10 Rooms (Central, RS 1, RS II, RS IV, RS V, RS VI, RS VII, RS IX, RS XI, RS XII); Chaco, 1 Room; Chubut, 1 Room; Córdoba, 2 Rooms (Capital and Río Cuarto); Entre Ríos, 1 Room; La Pampa, 1 Room; La Rioja, 1 Room; Misiones, 1 Room; Neuquén, 1 Room; Río Negro, 1 Room; Salta, 1 Room; San Juan, 1 Room; San</w:t>
      </w:r>
      <w:r>
        <w:rPr>
          <w:color w:val="000000"/>
          <w:sz w:val="18"/>
          <w:szCs w:val="18"/>
        </w:rPr>
        <w:t xml:space="preserve"> </w:t>
      </w:r>
      <w:r w:rsidRPr="00925DA3">
        <w:rPr>
          <w:color w:val="000000"/>
          <w:sz w:val="18"/>
          <w:szCs w:val="18"/>
        </w:rPr>
        <w:t>Luis, 1 Room; Santa Cruz, 1 Room; Santa Fe, 2 Rooms (Capital and Rosario), Santiago del Estero, 1 Room; and Tucumán, 1 Room.</w:t>
      </w:r>
    </w:p>
  </w:footnote>
  <w:footnote w:id="46">
    <w:p w:rsidR="00D86A28" w:rsidRPr="00C81885" w:rsidRDefault="00D86A28" w:rsidP="00106899">
      <w:pPr>
        <w:contextualSpacing/>
        <w:jc w:val="both"/>
      </w:pPr>
      <w:r w:rsidRPr="00C81885">
        <w:rPr>
          <w:rStyle w:val="FootnoteReference"/>
          <w:sz w:val="18"/>
          <w:szCs w:val="18"/>
        </w:rPr>
        <w:footnoteRef/>
      </w:r>
      <w:r w:rsidRPr="00C81885">
        <w:rPr>
          <w:sz w:val="18"/>
          <w:szCs w:val="18"/>
        </w:rPr>
        <w:t xml:space="preserve"> The required profile was the following: a university-educated professional with abilities in developing cross-cutting epidemiological studies. Profiles with the required skills: health sciences (physicians, nutritionists, psychologists, biochemists, kinesiologists, obstetricians, odontologists, pharmacists, and university graduates in nursing or other health sciences), social sciences and humanities, statistics, social communication, social service, administration, health administration, as well as biological, natural and veterinary sciences; preferably with training in health and experience in epidemiological surveillance</w:t>
      </w:r>
      <w:r w:rsidRPr="00C81885">
        <w:rPr>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8" w:rsidRDefault="00D86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8" w:rsidRDefault="00D86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8" w:rsidRDefault="00D86A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8" w:rsidRDefault="00D86A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8" w:rsidRDefault="00D86A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8" w:rsidRDefault="00D86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21481_"/>
      </v:shape>
    </w:pict>
  </w:numPicBullet>
  <w:abstractNum w:abstractNumId="0">
    <w:nsid w:val="006420C9"/>
    <w:multiLevelType w:val="hybridMultilevel"/>
    <w:tmpl w:val="838AA68E"/>
    <w:lvl w:ilvl="0" w:tplc="0560707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F6F2D"/>
    <w:multiLevelType w:val="multilevel"/>
    <w:tmpl w:val="BC7EAD9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540"/>
        </w:tabs>
        <w:ind w:left="180" w:firstLine="0"/>
      </w:pPr>
      <w:rPr>
        <w:rFonts w:hint="default"/>
        <w:b/>
        <w:i w:val="0"/>
      </w:rPr>
    </w:lvl>
    <w:lvl w:ilvl="2">
      <w:start w:val="1"/>
      <w:numFmt w:val="decimal"/>
      <w:lvlText w:val="%3."/>
      <w:lvlJc w:val="left"/>
      <w:pPr>
        <w:tabs>
          <w:tab w:val="num" w:pos="5580"/>
        </w:tabs>
        <w:ind w:left="55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DA42CE"/>
    <w:multiLevelType w:val="hybridMultilevel"/>
    <w:tmpl w:val="419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22C6A"/>
    <w:multiLevelType w:val="hybridMultilevel"/>
    <w:tmpl w:val="1EC60A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246D6A"/>
    <w:multiLevelType w:val="hybridMultilevel"/>
    <w:tmpl w:val="F8FC7E3E"/>
    <w:lvl w:ilvl="0" w:tplc="C366D6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868062F"/>
    <w:multiLevelType w:val="hybridMultilevel"/>
    <w:tmpl w:val="119CF3B2"/>
    <w:lvl w:ilvl="0" w:tplc="9FE233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673A9"/>
    <w:multiLevelType w:val="hybridMultilevel"/>
    <w:tmpl w:val="EF2C28E0"/>
    <w:lvl w:ilvl="0" w:tplc="62ACF642">
      <w:start w:val="1"/>
      <w:numFmt w:val="lowerRoman"/>
      <w:lvlText w:val="(%1)"/>
      <w:lvlJc w:val="left"/>
      <w:pPr>
        <w:ind w:left="1636" w:hanging="72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7">
    <w:nsid w:val="3C745BC1"/>
    <w:multiLevelType w:val="hybridMultilevel"/>
    <w:tmpl w:val="A3E4EA5E"/>
    <w:lvl w:ilvl="0" w:tplc="B86A3F04">
      <w:start w:val="1"/>
      <w:numFmt w:val="lowerLetter"/>
      <w:lvlText w:val="(%1)"/>
      <w:lvlJc w:val="left"/>
      <w:pPr>
        <w:ind w:left="720" w:hanging="360"/>
      </w:pPr>
      <w:rPr>
        <w:rFonts w:hint="default"/>
        <w:sz w:val="16"/>
        <w:szCs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60736E5"/>
    <w:multiLevelType w:val="hybridMultilevel"/>
    <w:tmpl w:val="020CDC0A"/>
    <w:lvl w:ilvl="0" w:tplc="E536CB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A52CC"/>
    <w:multiLevelType w:val="hybridMultilevel"/>
    <w:tmpl w:val="0FBCFCBC"/>
    <w:lvl w:ilvl="0" w:tplc="04090001">
      <w:start w:val="1"/>
      <w:numFmt w:val="bullet"/>
      <w:lvlText w:val=""/>
      <w:lvlJc w:val="left"/>
      <w:pPr>
        <w:ind w:left="720" w:hanging="360"/>
      </w:pPr>
      <w:rPr>
        <w:rFonts w:ascii="Symbol" w:hAnsi="Symbol" w:hint="default"/>
        <w:color w:val="auto"/>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4706DA7"/>
    <w:multiLevelType w:val="hybridMultilevel"/>
    <w:tmpl w:val="036EEECE"/>
    <w:lvl w:ilvl="0" w:tplc="0409000F">
      <w:start w:val="1"/>
      <w:numFmt w:val="decimal"/>
      <w:lvlText w:val="%1."/>
      <w:lvlJc w:val="left"/>
      <w:pPr>
        <w:ind w:left="135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1067C"/>
    <w:multiLevelType w:val="hybridMultilevel"/>
    <w:tmpl w:val="EC3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85EC1"/>
    <w:multiLevelType w:val="hybridMultilevel"/>
    <w:tmpl w:val="BCA6D1CA"/>
    <w:lvl w:ilvl="0" w:tplc="9ACAD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7429C"/>
    <w:multiLevelType w:val="hybridMultilevel"/>
    <w:tmpl w:val="26A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B21D4"/>
    <w:multiLevelType w:val="hybridMultilevel"/>
    <w:tmpl w:val="E50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1"/>
  </w:num>
  <w:num w:numId="5">
    <w:abstractNumId w:val="5"/>
  </w:num>
  <w:num w:numId="6">
    <w:abstractNumId w:val="4"/>
  </w:num>
  <w:num w:numId="7">
    <w:abstractNumId w:val="0"/>
  </w:num>
  <w:num w:numId="8">
    <w:abstractNumId w:val="1"/>
  </w:num>
  <w:num w:numId="9">
    <w:abstractNumId w:val="7"/>
  </w:num>
  <w:num w:numId="10">
    <w:abstractNumId w:val="9"/>
  </w:num>
  <w:num w:numId="11">
    <w:abstractNumId w:val="3"/>
  </w:num>
  <w:num w:numId="12">
    <w:abstractNumId w:val="8"/>
  </w:num>
  <w:num w:numId="13">
    <w:abstractNumId w:val="2"/>
  </w:num>
  <w:num w:numId="14">
    <w:abstractNumId w:val="13"/>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7E"/>
    <w:rsid w:val="00001072"/>
    <w:rsid w:val="0000323E"/>
    <w:rsid w:val="000053B7"/>
    <w:rsid w:val="0000714E"/>
    <w:rsid w:val="00007E92"/>
    <w:rsid w:val="00010127"/>
    <w:rsid w:val="0001018A"/>
    <w:rsid w:val="00010644"/>
    <w:rsid w:val="0001160D"/>
    <w:rsid w:val="00011660"/>
    <w:rsid w:val="00011697"/>
    <w:rsid w:val="00012CBB"/>
    <w:rsid w:val="000134B5"/>
    <w:rsid w:val="00016433"/>
    <w:rsid w:val="00016870"/>
    <w:rsid w:val="00020C4D"/>
    <w:rsid w:val="00020C94"/>
    <w:rsid w:val="00022248"/>
    <w:rsid w:val="0002585B"/>
    <w:rsid w:val="000274EA"/>
    <w:rsid w:val="000308FC"/>
    <w:rsid w:val="00031618"/>
    <w:rsid w:val="00031785"/>
    <w:rsid w:val="0003267A"/>
    <w:rsid w:val="00032DA4"/>
    <w:rsid w:val="00033073"/>
    <w:rsid w:val="0003467F"/>
    <w:rsid w:val="00036471"/>
    <w:rsid w:val="00036D0B"/>
    <w:rsid w:val="0003740F"/>
    <w:rsid w:val="0004085F"/>
    <w:rsid w:val="00040A2C"/>
    <w:rsid w:val="000411CD"/>
    <w:rsid w:val="00041CA6"/>
    <w:rsid w:val="000420FE"/>
    <w:rsid w:val="00043131"/>
    <w:rsid w:val="000447C1"/>
    <w:rsid w:val="00044AAA"/>
    <w:rsid w:val="00045A13"/>
    <w:rsid w:val="00045E05"/>
    <w:rsid w:val="00046128"/>
    <w:rsid w:val="0004627C"/>
    <w:rsid w:val="000462DE"/>
    <w:rsid w:val="000475FD"/>
    <w:rsid w:val="00047B40"/>
    <w:rsid w:val="00047F14"/>
    <w:rsid w:val="000525F8"/>
    <w:rsid w:val="00053151"/>
    <w:rsid w:val="00054E11"/>
    <w:rsid w:val="00055DF6"/>
    <w:rsid w:val="000565C9"/>
    <w:rsid w:val="00056FE4"/>
    <w:rsid w:val="000573FD"/>
    <w:rsid w:val="0005755C"/>
    <w:rsid w:val="00060896"/>
    <w:rsid w:val="00060E9B"/>
    <w:rsid w:val="00062856"/>
    <w:rsid w:val="00062D3B"/>
    <w:rsid w:val="00063612"/>
    <w:rsid w:val="00063E91"/>
    <w:rsid w:val="0006463A"/>
    <w:rsid w:val="00065F09"/>
    <w:rsid w:val="00067231"/>
    <w:rsid w:val="00070DAF"/>
    <w:rsid w:val="00072414"/>
    <w:rsid w:val="000724D6"/>
    <w:rsid w:val="00072628"/>
    <w:rsid w:val="00072FA9"/>
    <w:rsid w:val="00073789"/>
    <w:rsid w:val="000738B1"/>
    <w:rsid w:val="00075652"/>
    <w:rsid w:val="00075E3E"/>
    <w:rsid w:val="000763F8"/>
    <w:rsid w:val="00076645"/>
    <w:rsid w:val="000769DB"/>
    <w:rsid w:val="00077A6F"/>
    <w:rsid w:val="00080188"/>
    <w:rsid w:val="00080D6A"/>
    <w:rsid w:val="000813D9"/>
    <w:rsid w:val="000827EC"/>
    <w:rsid w:val="000833C1"/>
    <w:rsid w:val="000834E8"/>
    <w:rsid w:val="000837B6"/>
    <w:rsid w:val="00083838"/>
    <w:rsid w:val="00083AC2"/>
    <w:rsid w:val="00084F74"/>
    <w:rsid w:val="000853D8"/>
    <w:rsid w:val="00085774"/>
    <w:rsid w:val="0008637E"/>
    <w:rsid w:val="000871B4"/>
    <w:rsid w:val="00090228"/>
    <w:rsid w:val="00090DDE"/>
    <w:rsid w:val="000914CB"/>
    <w:rsid w:val="000920AE"/>
    <w:rsid w:val="000924A7"/>
    <w:rsid w:val="00092546"/>
    <w:rsid w:val="00093704"/>
    <w:rsid w:val="00094B73"/>
    <w:rsid w:val="000963B6"/>
    <w:rsid w:val="000971DA"/>
    <w:rsid w:val="0009791E"/>
    <w:rsid w:val="000A1734"/>
    <w:rsid w:val="000A1EC1"/>
    <w:rsid w:val="000A29A6"/>
    <w:rsid w:val="000A2D89"/>
    <w:rsid w:val="000A3502"/>
    <w:rsid w:val="000A71CE"/>
    <w:rsid w:val="000A7979"/>
    <w:rsid w:val="000B132C"/>
    <w:rsid w:val="000B1519"/>
    <w:rsid w:val="000B206B"/>
    <w:rsid w:val="000B3525"/>
    <w:rsid w:val="000B4009"/>
    <w:rsid w:val="000B4C10"/>
    <w:rsid w:val="000C0014"/>
    <w:rsid w:val="000C1247"/>
    <w:rsid w:val="000C37DE"/>
    <w:rsid w:val="000C77BD"/>
    <w:rsid w:val="000C791D"/>
    <w:rsid w:val="000D08C9"/>
    <w:rsid w:val="000D0FFF"/>
    <w:rsid w:val="000D1426"/>
    <w:rsid w:val="000D33EC"/>
    <w:rsid w:val="000D3ABB"/>
    <w:rsid w:val="000D5D7A"/>
    <w:rsid w:val="000D6050"/>
    <w:rsid w:val="000E0291"/>
    <w:rsid w:val="000E0CEA"/>
    <w:rsid w:val="000E0E81"/>
    <w:rsid w:val="000E1EDB"/>
    <w:rsid w:val="000E364E"/>
    <w:rsid w:val="000E3D6E"/>
    <w:rsid w:val="000E515E"/>
    <w:rsid w:val="000E51FA"/>
    <w:rsid w:val="000E5ABF"/>
    <w:rsid w:val="000E5D29"/>
    <w:rsid w:val="000E5DB7"/>
    <w:rsid w:val="000E6F41"/>
    <w:rsid w:val="000E728C"/>
    <w:rsid w:val="000E7CA4"/>
    <w:rsid w:val="000F0FF5"/>
    <w:rsid w:val="000F5BA5"/>
    <w:rsid w:val="000F7715"/>
    <w:rsid w:val="00100880"/>
    <w:rsid w:val="0010132F"/>
    <w:rsid w:val="00101C6A"/>
    <w:rsid w:val="00101C8A"/>
    <w:rsid w:val="00101F09"/>
    <w:rsid w:val="00103EF8"/>
    <w:rsid w:val="0010462F"/>
    <w:rsid w:val="00104A11"/>
    <w:rsid w:val="00106899"/>
    <w:rsid w:val="0011054E"/>
    <w:rsid w:val="00110FBC"/>
    <w:rsid w:val="00111BD6"/>
    <w:rsid w:val="00111D25"/>
    <w:rsid w:val="001130D5"/>
    <w:rsid w:val="001138C2"/>
    <w:rsid w:val="00113929"/>
    <w:rsid w:val="001145E7"/>
    <w:rsid w:val="00114A9F"/>
    <w:rsid w:val="00114C4C"/>
    <w:rsid w:val="00115CBC"/>
    <w:rsid w:val="001171B5"/>
    <w:rsid w:val="00120D1F"/>
    <w:rsid w:val="00121424"/>
    <w:rsid w:val="00121507"/>
    <w:rsid w:val="0012232C"/>
    <w:rsid w:val="00122C69"/>
    <w:rsid w:val="00122D12"/>
    <w:rsid w:val="00122D1F"/>
    <w:rsid w:val="00123601"/>
    <w:rsid w:val="00123CFA"/>
    <w:rsid w:val="001241CD"/>
    <w:rsid w:val="00124CC1"/>
    <w:rsid w:val="00125306"/>
    <w:rsid w:val="00125855"/>
    <w:rsid w:val="00126D22"/>
    <w:rsid w:val="00127027"/>
    <w:rsid w:val="00130CAE"/>
    <w:rsid w:val="00130F41"/>
    <w:rsid w:val="00131D35"/>
    <w:rsid w:val="001329AD"/>
    <w:rsid w:val="001331BD"/>
    <w:rsid w:val="00134877"/>
    <w:rsid w:val="001359D8"/>
    <w:rsid w:val="00135EB5"/>
    <w:rsid w:val="00136662"/>
    <w:rsid w:val="00136C8E"/>
    <w:rsid w:val="00136F01"/>
    <w:rsid w:val="0014083C"/>
    <w:rsid w:val="00140B28"/>
    <w:rsid w:val="001414AC"/>
    <w:rsid w:val="00141C0C"/>
    <w:rsid w:val="00141C9D"/>
    <w:rsid w:val="00143B89"/>
    <w:rsid w:val="00144759"/>
    <w:rsid w:val="0014524D"/>
    <w:rsid w:val="00145BC4"/>
    <w:rsid w:val="00145F8A"/>
    <w:rsid w:val="00146401"/>
    <w:rsid w:val="00146D63"/>
    <w:rsid w:val="00147018"/>
    <w:rsid w:val="00147827"/>
    <w:rsid w:val="00147A39"/>
    <w:rsid w:val="00150A4C"/>
    <w:rsid w:val="00150C66"/>
    <w:rsid w:val="00151BE8"/>
    <w:rsid w:val="00151C4D"/>
    <w:rsid w:val="00151EAF"/>
    <w:rsid w:val="00151F15"/>
    <w:rsid w:val="00152308"/>
    <w:rsid w:val="00153FC5"/>
    <w:rsid w:val="0015439A"/>
    <w:rsid w:val="00154771"/>
    <w:rsid w:val="001560D0"/>
    <w:rsid w:val="00156F90"/>
    <w:rsid w:val="001575F6"/>
    <w:rsid w:val="00163465"/>
    <w:rsid w:val="00163BD1"/>
    <w:rsid w:val="00164809"/>
    <w:rsid w:val="001654BF"/>
    <w:rsid w:val="0016589F"/>
    <w:rsid w:val="00166029"/>
    <w:rsid w:val="00167EBD"/>
    <w:rsid w:val="00170205"/>
    <w:rsid w:val="00170AC7"/>
    <w:rsid w:val="001712FB"/>
    <w:rsid w:val="001721CC"/>
    <w:rsid w:val="00172245"/>
    <w:rsid w:val="0017255C"/>
    <w:rsid w:val="00173845"/>
    <w:rsid w:val="001745B4"/>
    <w:rsid w:val="0017676B"/>
    <w:rsid w:val="00177902"/>
    <w:rsid w:val="00177C57"/>
    <w:rsid w:val="0018155E"/>
    <w:rsid w:val="0018199B"/>
    <w:rsid w:val="001820C1"/>
    <w:rsid w:val="00183322"/>
    <w:rsid w:val="0018387D"/>
    <w:rsid w:val="00183C96"/>
    <w:rsid w:val="00183F01"/>
    <w:rsid w:val="00184B34"/>
    <w:rsid w:val="001852C1"/>
    <w:rsid w:val="00185943"/>
    <w:rsid w:val="00185AA8"/>
    <w:rsid w:val="00186DBF"/>
    <w:rsid w:val="00187724"/>
    <w:rsid w:val="00187FEC"/>
    <w:rsid w:val="00191A6C"/>
    <w:rsid w:val="001926C5"/>
    <w:rsid w:val="00192856"/>
    <w:rsid w:val="0019386D"/>
    <w:rsid w:val="00193A82"/>
    <w:rsid w:val="00194186"/>
    <w:rsid w:val="001954C7"/>
    <w:rsid w:val="00195D73"/>
    <w:rsid w:val="00195DF7"/>
    <w:rsid w:val="00196046"/>
    <w:rsid w:val="00196760"/>
    <w:rsid w:val="001971F7"/>
    <w:rsid w:val="00197715"/>
    <w:rsid w:val="001A185D"/>
    <w:rsid w:val="001A2FF3"/>
    <w:rsid w:val="001A30FC"/>
    <w:rsid w:val="001A4361"/>
    <w:rsid w:val="001A4C89"/>
    <w:rsid w:val="001A5998"/>
    <w:rsid w:val="001A637C"/>
    <w:rsid w:val="001A6950"/>
    <w:rsid w:val="001B07AA"/>
    <w:rsid w:val="001B0DB1"/>
    <w:rsid w:val="001B2233"/>
    <w:rsid w:val="001B24ED"/>
    <w:rsid w:val="001B3E34"/>
    <w:rsid w:val="001B4116"/>
    <w:rsid w:val="001B487D"/>
    <w:rsid w:val="001B56D2"/>
    <w:rsid w:val="001B66A7"/>
    <w:rsid w:val="001B68F4"/>
    <w:rsid w:val="001B7DC5"/>
    <w:rsid w:val="001C00E2"/>
    <w:rsid w:val="001C13DD"/>
    <w:rsid w:val="001C216E"/>
    <w:rsid w:val="001C2594"/>
    <w:rsid w:val="001C2B19"/>
    <w:rsid w:val="001C2DC9"/>
    <w:rsid w:val="001C3347"/>
    <w:rsid w:val="001C39AC"/>
    <w:rsid w:val="001C3F49"/>
    <w:rsid w:val="001C5FCA"/>
    <w:rsid w:val="001C7FD4"/>
    <w:rsid w:val="001D04F0"/>
    <w:rsid w:val="001D29F2"/>
    <w:rsid w:val="001D327A"/>
    <w:rsid w:val="001D7084"/>
    <w:rsid w:val="001D76EA"/>
    <w:rsid w:val="001E0327"/>
    <w:rsid w:val="001E0E8C"/>
    <w:rsid w:val="001E1C49"/>
    <w:rsid w:val="001E245F"/>
    <w:rsid w:val="001E287E"/>
    <w:rsid w:val="001E392A"/>
    <w:rsid w:val="001E5B15"/>
    <w:rsid w:val="001E65EF"/>
    <w:rsid w:val="001E7DD9"/>
    <w:rsid w:val="001E7F54"/>
    <w:rsid w:val="001F06AE"/>
    <w:rsid w:val="001F0734"/>
    <w:rsid w:val="001F09B6"/>
    <w:rsid w:val="001F1726"/>
    <w:rsid w:val="001F384E"/>
    <w:rsid w:val="001F43AA"/>
    <w:rsid w:val="001F487F"/>
    <w:rsid w:val="001F4CFF"/>
    <w:rsid w:val="001F4F13"/>
    <w:rsid w:val="001F5565"/>
    <w:rsid w:val="001F7862"/>
    <w:rsid w:val="00200C7E"/>
    <w:rsid w:val="002011E8"/>
    <w:rsid w:val="0020134B"/>
    <w:rsid w:val="00203A47"/>
    <w:rsid w:val="002043DA"/>
    <w:rsid w:val="00204542"/>
    <w:rsid w:val="0020531A"/>
    <w:rsid w:val="00205A21"/>
    <w:rsid w:val="00205A30"/>
    <w:rsid w:val="00206493"/>
    <w:rsid w:val="002067C8"/>
    <w:rsid w:val="002115D1"/>
    <w:rsid w:val="002118C7"/>
    <w:rsid w:val="00211C45"/>
    <w:rsid w:val="0021316B"/>
    <w:rsid w:val="00213C92"/>
    <w:rsid w:val="00214F35"/>
    <w:rsid w:val="0021535F"/>
    <w:rsid w:val="0021630D"/>
    <w:rsid w:val="00216407"/>
    <w:rsid w:val="00216B37"/>
    <w:rsid w:val="00216C86"/>
    <w:rsid w:val="00217825"/>
    <w:rsid w:val="00217AE2"/>
    <w:rsid w:val="002200B8"/>
    <w:rsid w:val="002203A9"/>
    <w:rsid w:val="00220503"/>
    <w:rsid w:val="00221777"/>
    <w:rsid w:val="00221BD0"/>
    <w:rsid w:val="00222559"/>
    <w:rsid w:val="002241CF"/>
    <w:rsid w:val="002242B1"/>
    <w:rsid w:val="0022454C"/>
    <w:rsid w:val="00224731"/>
    <w:rsid w:val="00224F23"/>
    <w:rsid w:val="00230016"/>
    <w:rsid w:val="00231002"/>
    <w:rsid w:val="002313BF"/>
    <w:rsid w:val="00232B3C"/>
    <w:rsid w:val="0023426C"/>
    <w:rsid w:val="0023595D"/>
    <w:rsid w:val="00236AF2"/>
    <w:rsid w:val="00241918"/>
    <w:rsid w:val="00242150"/>
    <w:rsid w:val="002427E6"/>
    <w:rsid w:val="00244442"/>
    <w:rsid w:val="002449B7"/>
    <w:rsid w:val="00244CCB"/>
    <w:rsid w:val="002459F2"/>
    <w:rsid w:val="00246456"/>
    <w:rsid w:val="00246716"/>
    <w:rsid w:val="00247532"/>
    <w:rsid w:val="0024764C"/>
    <w:rsid w:val="00247D82"/>
    <w:rsid w:val="00250B45"/>
    <w:rsid w:val="00251049"/>
    <w:rsid w:val="00252E39"/>
    <w:rsid w:val="00253103"/>
    <w:rsid w:val="00253199"/>
    <w:rsid w:val="00253BA9"/>
    <w:rsid w:val="00254477"/>
    <w:rsid w:val="00254A29"/>
    <w:rsid w:val="00254B22"/>
    <w:rsid w:val="00255702"/>
    <w:rsid w:val="00255A48"/>
    <w:rsid w:val="00255FC2"/>
    <w:rsid w:val="00257426"/>
    <w:rsid w:val="00257CDC"/>
    <w:rsid w:val="00260A3D"/>
    <w:rsid w:val="00261848"/>
    <w:rsid w:val="0026191F"/>
    <w:rsid w:val="00261C4E"/>
    <w:rsid w:val="002628B6"/>
    <w:rsid w:val="00262CFF"/>
    <w:rsid w:val="00263033"/>
    <w:rsid w:val="00263634"/>
    <w:rsid w:val="00271FDD"/>
    <w:rsid w:val="00272231"/>
    <w:rsid w:val="00273B99"/>
    <w:rsid w:val="00273E0B"/>
    <w:rsid w:val="002741FE"/>
    <w:rsid w:val="00275119"/>
    <w:rsid w:val="00275144"/>
    <w:rsid w:val="002755CD"/>
    <w:rsid w:val="00276394"/>
    <w:rsid w:val="0027654F"/>
    <w:rsid w:val="002776F1"/>
    <w:rsid w:val="00277A2D"/>
    <w:rsid w:val="00281F8B"/>
    <w:rsid w:val="00282640"/>
    <w:rsid w:val="00282A54"/>
    <w:rsid w:val="00285129"/>
    <w:rsid w:val="0028529B"/>
    <w:rsid w:val="00285ADC"/>
    <w:rsid w:val="00286B0A"/>
    <w:rsid w:val="0029143D"/>
    <w:rsid w:val="00292D5A"/>
    <w:rsid w:val="00294041"/>
    <w:rsid w:val="00294744"/>
    <w:rsid w:val="00294AEC"/>
    <w:rsid w:val="00297431"/>
    <w:rsid w:val="00297458"/>
    <w:rsid w:val="002A10EA"/>
    <w:rsid w:val="002A16B0"/>
    <w:rsid w:val="002A1BC6"/>
    <w:rsid w:val="002A2C39"/>
    <w:rsid w:val="002A3515"/>
    <w:rsid w:val="002A6EA5"/>
    <w:rsid w:val="002A741F"/>
    <w:rsid w:val="002A7635"/>
    <w:rsid w:val="002B21BB"/>
    <w:rsid w:val="002B2238"/>
    <w:rsid w:val="002B22E0"/>
    <w:rsid w:val="002B27E8"/>
    <w:rsid w:val="002B2C6D"/>
    <w:rsid w:val="002B2E82"/>
    <w:rsid w:val="002B2F41"/>
    <w:rsid w:val="002B31B8"/>
    <w:rsid w:val="002B3514"/>
    <w:rsid w:val="002B48BA"/>
    <w:rsid w:val="002B5418"/>
    <w:rsid w:val="002B6675"/>
    <w:rsid w:val="002B69F3"/>
    <w:rsid w:val="002B7285"/>
    <w:rsid w:val="002B7A32"/>
    <w:rsid w:val="002C22A9"/>
    <w:rsid w:val="002C29B8"/>
    <w:rsid w:val="002C2EA3"/>
    <w:rsid w:val="002C37E7"/>
    <w:rsid w:val="002C3CDD"/>
    <w:rsid w:val="002C6406"/>
    <w:rsid w:val="002C7DA5"/>
    <w:rsid w:val="002D24AF"/>
    <w:rsid w:val="002D277C"/>
    <w:rsid w:val="002D3ACE"/>
    <w:rsid w:val="002D3C6F"/>
    <w:rsid w:val="002D3DA7"/>
    <w:rsid w:val="002D4782"/>
    <w:rsid w:val="002D5A95"/>
    <w:rsid w:val="002D6EE9"/>
    <w:rsid w:val="002D746C"/>
    <w:rsid w:val="002E00C4"/>
    <w:rsid w:val="002E0C1C"/>
    <w:rsid w:val="002E0E4E"/>
    <w:rsid w:val="002E18C0"/>
    <w:rsid w:val="002E18E2"/>
    <w:rsid w:val="002E1AD9"/>
    <w:rsid w:val="002E2797"/>
    <w:rsid w:val="002E2D72"/>
    <w:rsid w:val="002E3043"/>
    <w:rsid w:val="002E34B0"/>
    <w:rsid w:val="002E5DE9"/>
    <w:rsid w:val="002F0A45"/>
    <w:rsid w:val="002F1B26"/>
    <w:rsid w:val="002F2E58"/>
    <w:rsid w:val="002F38C7"/>
    <w:rsid w:val="002F3A56"/>
    <w:rsid w:val="002F41EA"/>
    <w:rsid w:val="002F5F13"/>
    <w:rsid w:val="002F7498"/>
    <w:rsid w:val="002F7A6B"/>
    <w:rsid w:val="002F7B64"/>
    <w:rsid w:val="00300516"/>
    <w:rsid w:val="00301980"/>
    <w:rsid w:val="0030249C"/>
    <w:rsid w:val="003027B2"/>
    <w:rsid w:val="00303675"/>
    <w:rsid w:val="003041DD"/>
    <w:rsid w:val="003045C9"/>
    <w:rsid w:val="00304C84"/>
    <w:rsid w:val="00304EF2"/>
    <w:rsid w:val="00305FBA"/>
    <w:rsid w:val="003074DF"/>
    <w:rsid w:val="00310208"/>
    <w:rsid w:val="0031174D"/>
    <w:rsid w:val="00312784"/>
    <w:rsid w:val="00312D06"/>
    <w:rsid w:val="00312E6B"/>
    <w:rsid w:val="00312EEF"/>
    <w:rsid w:val="00314487"/>
    <w:rsid w:val="0031530C"/>
    <w:rsid w:val="00316018"/>
    <w:rsid w:val="00316562"/>
    <w:rsid w:val="00317508"/>
    <w:rsid w:val="00317C32"/>
    <w:rsid w:val="00322276"/>
    <w:rsid w:val="003227E8"/>
    <w:rsid w:val="00323874"/>
    <w:rsid w:val="00323E9A"/>
    <w:rsid w:val="00323F0C"/>
    <w:rsid w:val="003247B8"/>
    <w:rsid w:val="003248A6"/>
    <w:rsid w:val="00324FE2"/>
    <w:rsid w:val="003262E3"/>
    <w:rsid w:val="0032744E"/>
    <w:rsid w:val="0033017E"/>
    <w:rsid w:val="00330F28"/>
    <w:rsid w:val="00330F50"/>
    <w:rsid w:val="00331CE7"/>
    <w:rsid w:val="0033206A"/>
    <w:rsid w:val="003329FA"/>
    <w:rsid w:val="00332AB8"/>
    <w:rsid w:val="00332C11"/>
    <w:rsid w:val="00335584"/>
    <w:rsid w:val="00335FAA"/>
    <w:rsid w:val="0033640E"/>
    <w:rsid w:val="00336EC9"/>
    <w:rsid w:val="00340091"/>
    <w:rsid w:val="00341BF8"/>
    <w:rsid w:val="00342A62"/>
    <w:rsid w:val="00342EDF"/>
    <w:rsid w:val="003447BE"/>
    <w:rsid w:val="00344933"/>
    <w:rsid w:val="00345F65"/>
    <w:rsid w:val="003460B8"/>
    <w:rsid w:val="00346EAF"/>
    <w:rsid w:val="00347EFC"/>
    <w:rsid w:val="003513F1"/>
    <w:rsid w:val="00352118"/>
    <w:rsid w:val="00352231"/>
    <w:rsid w:val="00352507"/>
    <w:rsid w:val="00352619"/>
    <w:rsid w:val="003537B3"/>
    <w:rsid w:val="00354614"/>
    <w:rsid w:val="00355D45"/>
    <w:rsid w:val="00355ECD"/>
    <w:rsid w:val="00356CFA"/>
    <w:rsid w:val="00356FA0"/>
    <w:rsid w:val="0035702A"/>
    <w:rsid w:val="0035709D"/>
    <w:rsid w:val="003579F5"/>
    <w:rsid w:val="0036090E"/>
    <w:rsid w:val="00360ABE"/>
    <w:rsid w:val="00360CD7"/>
    <w:rsid w:val="003618EB"/>
    <w:rsid w:val="00361A10"/>
    <w:rsid w:val="00361C6E"/>
    <w:rsid w:val="00362F72"/>
    <w:rsid w:val="00365C9C"/>
    <w:rsid w:val="00370BAE"/>
    <w:rsid w:val="00370ED7"/>
    <w:rsid w:val="00370EE7"/>
    <w:rsid w:val="00371109"/>
    <w:rsid w:val="003719F7"/>
    <w:rsid w:val="00371E8B"/>
    <w:rsid w:val="00371F21"/>
    <w:rsid w:val="003727FF"/>
    <w:rsid w:val="00373373"/>
    <w:rsid w:val="00374C7C"/>
    <w:rsid w:val="00376069"/>
    <w:rsid w:val="0037618D"/>
    <w:rsid w:val="00376DEE"/>
    <w:rsid w:val="00377FCC"/>
    <w:rsid w:val="00380578"/>
    <w:rsid w:val="00380771"/>
    <w:rsid w:val="003809D3"/>
    <w:rsid w:val="003825CA"/>
    <w:rsid w:val="00384E66"/>
    <w:rsid w:val="00385130"/>
    <w:rsid w:val="00385B8B"/>
    <w:rsid w:val="00385E3A"/>
    <w:rsid w:val="00386407"/>
    <w:rsid w:val="00386874"/>
    <w:rsid w:val="00386910"/>
    <w:rsid w:val="00386BF5"/>
    <w:rsid w:val="00387924"/>
    <w:rsid w:val="003902DC"/>
    <w:rsid w:val="0039066D"/>
    <w:rsid w:val="00390D2E"/>
    <w:rsid w:val="00391583"/>
    <w:rsid w:val="00391BC9"/>
    <w:rsid w:val="00392B4D"/>
    <w:rsid w:val="00395135"/>
    <w:rsid w:val="00396A90"/>
    <w:rsid w:val="00397595"/>
    <w:rsid w:val="003A09EB"/>
    <w:rsid w:val="003A42BE"/>
    <w:rsid w:val="003A4893"/>
    <w:rsid w:val="003A6106"/>
    <w:rsid w:val="003A7005"/>
    <w:rsid w:val="003A7544"/>
    <w:rsid w:val="003A7D03"/>
    <w:rsid w:val="003A7E96"/>
    <w:rsid w:val="003B05AB"/>
    <w:rsid w:val="003B06B4"/>
    <w:rsid w:val="003B0E4B"/>
    <w:rsid w:val="003B2949"/>
    <w:rsid w:val="003B3AC3"/>
    <w:rsid w:val="003B44E0"/>
    <w:rsid w:val="003B4820"/>
    <w:rsid w:val="003B5011"/>
    <w:rsid w:val="003B52BE"/>
    <w:rsid w:val="003B53AD"/>
    <w:rsid w:val="003B53B2"/>
    <w:rsid w:val="003B53C7"/>
    <w:rsid w:val="003B53DB"/>
    <w:rsid w:val="003B5A79"/>
    <w:rsid w:val="003B6090"/>
    <w:rsid w:val="003B6354"/>
    <w:rsid w:val="003B6448"/>
    <w:rsid w:val="003B6945"/>
    <w:rsid w:val="003B70EB"/>
    <w:rsid w:val="003B76BD"/>
    <w:rsid w:val="003B78DC"/>
    <w:rsid w:val="003C075A"/>
    <w:rsid w:val="003C20A3"/>
    <w:rsid w:val="003C30D8"/>
    <w:rsid w:val="003C388B"/>
    <w:rsid w:val="003C3C02"/>
    <w:rsid w:val="003C5DDC"/>
    <w:rsid w:val="003C6786"/>
    <w:rsid w:val="003C7232"/>
    <w:rsid w:val="003C7DB1"/>
    <w:rsid w:val="003D11EF"/>
    <w:rsid w:val="003D164D"/>
    <w:rsid w:val="003D29D3"/>
    <w:rsid w:val="003D2B4C"/>
    <w:rsid w:val="003D3572"/>
    <w:rsid w:val="003D469C"/>
    <w:rsid w:val="003D46B6"/>
    <w:rsid w:val="003D59A8"/>
    <w:rsid w:val="003D6A45"/>
    <w:rsid w:val="003D6E56"/>
    <w:rsid w:val="003D7A95"/>
    <w:rsid w:val="003E076B"/>
    <w:rsid w:val="003E1456"/>
    <w:rsid w:val="003E2359"/>
    <w:rsid w:val="003E3D79"/>
    <w:rsid w:val="003E3E80"/>
    <w:rsid w:val="003E3F98"/>
    <w:rsid w:val="003E4F04"/>
    <w:rsid w:val="003E5E7B"/>
    <w:rsid w:val="003E708A"/>
    <w:rsid w:val="003E7281"/>
    <w:rsid w:val="003E7FDB"/>
    <w:rsid w:val="003F225D"/>
    <w:rsid w:val="003F2570"/>
    <w:rsid w:val="003F2ED5"/>
    <w:rsid w:val="003F3B56"/>
    <w:rsid w:val="003F432D"/>
    <w:rsid w:val="003F558B"/>
    <w:rsid w:val="003F6C71"/>
    <w:rsid w:val="004000F5"/>
    <w:rsid w:val="00402020"/>
    <w:rsid w:val="00402FA2"/>
    <w:rsid w:val="004033E1"/>
    <w:rsid w:val="00403C5A"/>
    <w:rsid w:val="004043BA"/>
    <w:rsid w:val="004044E7"/>
    <w:rsid w:val="00404671"/>
    <w:rsid w:val="00404B6C"/>
    <w:rsid w:val="00404E4D"/>
    <w:rsid w:val="00406EE8"/>
    <w:rsid w:val="00407227"/>
    <w:rsid w:val="004079A9"/>
    <w:rsid w:val="00407C73"/>
    <w:rsid w:val="004111D6"/>
    <w:rsid w:val="004114D9"/>
    <w:rsid w:val="00411EEF"/>
    <w:rsid w:val="004128D8"/>
    <w:rsid w:val="0041297B"/>
    <w:rsid w:val="00412CA4"/>
    <w:rsid w:val="0041341B"/>
    <w:rsid w:val="00413D05"/>
    <w:rsid w:val="004154A3"/>
    <w:rsid w:val="00415723"/>
    <w:rsid w:val="00415B91"/>
    <w:rsid w:val="0041606A"/>
    <w:rsid w:val="004161C5"/>
    <w:rsid w:val="00417166"/>
    <w:rsid w:val="00417E28"/>
    <w:rsid w:val="00420161"/>
    <w:rsid w:val="00420EA6"/>
    <w:rsid w:val="00423395"/>
    <w:rsid w:val="004233AF"/>
    <w:rsid w:val="00424BD6"/>
    <w:rsid w:val="0042536D"/>
    <w:rsid w:val="0042643A"/>
    <w:rsid w:val="00426971"/>
    <w:rsid w:val="00430376"/>
    <w:rsid w:val="004315BC"/>
    <w:rsid w:val="00431793"/>
    <w:rsid w:val="004319F0"/>
    <w:rsid w:val="004321F0"/>
    <w:rsid w:val="00432B03"/>
    <w:rsid w:val="00432CCD"/>
    <w:rsid w:val="004332CF"/>
    <w:rsid w:val="00433FE9"/>
    <w:rsid w:val="0043425C"/>
    <w:rsid w:val="0043454A"/>
    <w:rsid w:val="00434FF1"/>
    <w:rsid w:val="00435245"/>
    <w:rsid w:val="004358F9"/>
    <w:rsid w:val="004373A9"/>
    <w:rsid w:val="00441974"/>
    <w:rsid w:val="004428AC"/>
    <w:rsid w:val="00442FF5"/>
    <w:rsid w:val="0044343E"/>
    <w:rsid w:val="0044376B"/>
    <w:rsid w:val="004437E0"/>
    <w:rsid w:val="00444517"/>
    <w:rsid w:val="00445849"/>
    <w:rsid w:val="0044587C"/>
    <w:rsid w:val="00445FBA"/>
    <w:rsid w:val="004467FD"/>
    <w:rsid w:val="004471B5"/>
    <w:rsid w:val="00447DF4"/>
    <w:rsid w:val="00447F63"/>
    <w:rsid w:val="0045089D"/>
    <w:rsid w:val="0045145E"/>
    <w:rsid w:val="00452463"/>
    <w:rsid w:val="0045272D"/>
    <w:rsid w:val="00452E03"/>
    <w:rsid w:val="004536A2"/>
    <w:rsid w:val="00453AB8"/>
    <w:rsid w:val="004558CD"/>
    <w:rsid w:val="00455C32"/>
    <w:rsid w:val="00456687"/>
    <w:rsid w:val="00456997"/>
    <w:rsid w:val="00456AD0"/>
    <w:rsid w:val="00456B33"/>
    <w:rsid w:val="004579F7"/>
    <w:rsid w:val="00457CFC"/>
    <w:rsid w:val="00460A33"/>
    <w:rsid w:val="00460F90"/>
    <w:rsid w:val="00461DBC"/>
    <w:rsid w:val="004627B6"/>
    <w:rsid w:val="00463618"/>
    <w:rsid w:val="00464FCA"/>
    <w:rsid w:val="00466D9B"/>
    <w:rsid w:val="00467E21"/>
    <w:rsid w:val="00470F05"/>
    <w:rsid w:val="004713F4"/>
    <w:rsid w:val="00474797"/>
    <w:rsid w:val="00475403"/>
    <w:rsid w:val="00475AEC"/>
    <w:rsid w:val="00475AFA"/>
    <w:rsid w:val="004761E3"/>
    <w:rsid w:val="00476E08"/>
    <w:rsid w:val="0047705B"/>
    <w:rsid w:val="004770D8"/>
    <w:rsid w:val="00477501"/>
    <w:rsid w:val="00477688"/>
    <w:rsid w:val="00477F72"/>
    <w:rsid w:val="004809DC"/>
    <w:rsid w:val="00480F2D"/>
    <w:rsid w:val="00482D0C"/>
    <w:rsid w:val="00483338"/>
    <w:rsid w:val="00484E31"/>
    <w:rsid w:val="0048638D"/>
    <w:rsid w:val="004875C9"/>
    <w:rsid w:val="0049004B"/>
    <w:rsid w:val="004904B5"/>
    <w:rsid w:val="00490B1F"/>
    <w:rsid w:val="00490F16"/>
    <w:rsid w:val="00491250"/>
    <w:rsid w:val="004913B0"/>
    <w:rsid w:val="004921FC"/>
    <w:rsid w:val="00493861"/>
    <w:rsid w:val="00494A80"/>
    <w:rsid w:val="0049537D"/>
    <w:rsid w:val="00495BC5"/>
    <w:rsid w:val="00496DAF"/>
    <w:rsid w:val="004976D4"/>
    <w:rsid w:val="004A03F9"/>
    <w:rsid w:val="004A0C5C"/>
    <w:rsid w:val="004A1419"/>
    <w:rsid w:val="004A1484"/>
    <w:rsid w:val="004A181E"/>
    <w:rsid w:val="004A23AB"/>
    <w:rsid w:val="004A37CA"/>
    <w:rsid w:val="004A37FA"/>
    <w:rsid w:val="004A4BD0"/>
    <w:rsid w:val="004A50AD"/>
    <w:rsid w:val="004A571A"/>
    <w:rsid w:val="004A63A0"/>
    <w:rsid w:val="004A676E"/>
    <w:rsid w:val="004B03B1"/>
    <w:rsid w:val="004B03D6"/>
    <w:rsid w:val="004B18C3"/>
    <w:rsid w:val="004B1F71"/>
    <w:rsid w:val="004B634B"/>
    <w:rsid w:val="004C0795"/>
    <w:rsid w:val="004C07F8"/>
    <w:rsid w:val="004C0CE4"/>
    <w:rsid w:val="004C339D"/>
    <w:rsid w:val="004C3FCD"/>
    <w:rsid w:val="004C421C"/>
    <w:rsid w:val="004C46E6"/>
    <w:rsid w:val="004C4C2E"/>
    <w:rsid w:val="004C5ACB"/>
    <w:rsid w:val="004D0E3F"/>
    <w:rsid w:val="004D2311"/>
    <w:rsid w:val="004D3806"/>
    <w:rsid w:val="004D3ADD"/>
    <w:rsid w:val="004D461A"/>
    <w:rsid w:val="004D4B9F"/>
    <w:rsid w:val="004D5243"/>
    <w:rsid w:val="004D58A3"/>
    <w:rsid w:val="004D67F4"/>
    <w:rsid w:val="004D6AED"/>
    <w:rsid w:val="004D6D20"/>
    <w:rsid w:val="004D7057"/>
    <w:rsid w:val="004D7F0A"/>
    <w:rsid w:val="004E0448"/>
    <w:rsid w:val="004E1654"/>
    <w:rsid w:val="004E1B88"/>
    <w:rsid w:val="004E1BD9"/>
    <w:rsid w:val="004E1D0E"/>
    <w:rsid w:val="004E1F02"/>
    <w:rsid w:val="004E3681"/>
    <w:rsid w:val="004E3ACD"/>
    <w:rsid w:val="004E451E"/>
    <w:rsid w:val="004E4BF2"/>
    <w:rsid w:val="004E4C8A"/>
    <w:rsid w:val="004E4CE8"/>
    <w:rsid w:val="004E51FF"/>
    <w:rsid w:val="004E5C39"/>
    <w:rsid w:val="004E6809"/>
    <w:rsid w:val="004E6923"/>
    <w:rsid w:val="004E6E2A"/>
    <w:rsid w:val="004F088C"/>
    <w:rsid w:val="004F2560"/>
    <w:rsid w:val="004F295C"/>
    <w:rsid w:val="004F2A5A"/>
    <w:rsid w:val="004F46BB"/>
    <w:rsid w:val="004F4C4A"/>
    <w:rsid w:val="004F4FFF"/>
    <w:rsid w:val="004F519C"/>
    <w:rsid w:val="004F5CD0"/>
    <w:rsid w:val="004F62AE"/>
    <w:rsid w:val="004F7D18"/>
    <w:rsid w:val="004F7FFD"/>
    <w:rsid w:val="00501541"/>
    <w:rsid w:val="00501546"/>
    <w:rsid w:val="00501697"/>
    <w:rsid w:val="00501E9A"/>
    <w:rsid w:val="005022A4"/>
    <w:rsid w:val="0050245A"/>
    <w:rsid w:val="005026A4"/>
    <w:rsid w:val="0050293E"/>
    <w:rsid w:val="00503CA1"/>
    <w:rsid w:val="00505596"/>
    <w:rsid w:val="00505F42"/>
    <w:rsid w:val="00507C72"/>
    <w:rsid w:val="00511D34"/>
    <w:rsid w:val="00512EFB"/>
    <w:rsid w:val="00513ABE"/>
    <w:rsid w:val="00513F7B"/>
    <w:rsid w:val="005163E0"/>
    <w:rsid w:val="00516A79"/>
    <w:rsid w:val="00517715"/>
    <w:rsid w:val="00517EF5"/>
    <w:rsid w:val="005200D2"/>
    <w:rsid w:val="00520B42"/>
    <w:rsid w:val="00521187"/>
    <w:rsid w:val="0052273D"/>
    <w:rsid w:val="00524A85"/>
    <w:rsid w:val="00524B3E"/>
    <w:rsid w:val="0052504E"/>
    <w:rsid w:val="00525127"/>
    <w:rsid w:val="0052539A"/>
    <w:rsid w:val="005267CC"/>
    <w:rsid w:val="00526E1F"/>
    <w:rsid w:val="005274B5"/>
    <w:rsid w:val="005278E9"/>
    <w:rsid w:val="00527E1D"/>
    <w:rsid w:val="00530CA6"/>
    <w:rsid w:val="0053122E"/>
    <w:rsid w:val="005313F1"/>
    <w:rsid w:val="00531A0D"/>
    <w:rsid w:val="00531E53"/>
    <w:rsid w:val="00532407"/>
    <w:rsid w:val="0053273A"/>
    <w:rsid w:val="00534CDD"/>
    <w:rsid w:val="005350A7"/>
    <w:rsid w:val="005369AB"/>
    <w:rsid w:val="00537A02"/>
    <w:rsid w:val="00537EF8"/>
    <w:rsid w:val="005407FC"/>
    <w:rsid w:val="0054091F"/>
    <w:rsid w:val="00540B57"/>
    <w:rsid w:val="00541654"/>
    <w:rsid w:val="00542394"/>
    <w:rsid w:val="005429F0"/>
    <w:rsid w:val="005430F2"/>
    <w:rsid w:val="0054361D"/>
    <w:rsid w:val="00544357"/>
    <w:rsid w:val="0054454A"/>
    <w:rsid w:val="00544E11"/>
    <w:rsid w:val="00545CA5"/>
    <w:rsid w:val="0054782E"/>
    <w:rsid w:val="00550235"/>
    <w:rsid w:val="00550314"/>
    <w:rsid w:val="00550FA2"/>
    <w:rsid w:val="00551DD6"/>
    <w:rsid w:val="00552D2A"/>
    <w:rsid w:val="00552F5B"/>
    <w:rsid w:val="00553CE1"/>
    <w:rsid w:val="0055520D"/>
    <w:rsid w:val="005559D0"/>
    <w:rsid w:val="00555B36"/>
    <w:rsid w:val="00555E87"/>
    <w:rsid w:val="00557C36"/>
    <w:rsid w:val="00560124"/>
    <w:rsid w:val="0056138B"/>
    <w:rsid w:val="0056168A"/>
    <w:rsid w:val="0056190D"/>
    <w:rsid w:val="00561989"/>
    <w:rsid w:val="00561B61"/>
    <w:rsid w:val="005626ED"/>
    <w:rsid w:val="00562A77"/>
    <w:rsid w:val="00562ACB"/>
    <w:rsid w:val="005632F4"/>
    <w:rsid w:val="0056357E"/>
    <w:rsid w:val="0056411D"/>
    <w:rsid w:val="00565B73"/>
    <w:rsid w:val="00566B2F"/>
    <w:rsid w:val="0056700C"/>
    <w:rsid w:val="0056774E"/>
    <w:rsid w:val="005700AC"/>
    <w:rsid w:val="00570BDB"/>
    <w:rsid w:val="00570D26"/>
    <w:rsid w:val="00571D4B"/>
    <w:rsid w:val="00571DE4"/>
    <w:rsid w:val="00572AFD"/>
    <w:rsid w:val="00574FAC"/>
    <w:rsid w:val="005753F6"/>
    <w:rsid w:val="00575844"/>
    <w:rsid w:val="005760A9"/>
    <w:rsid w:val="00576760"/>
    <w:rsid w:val="00576FEF"/>
    <w:rsid w:val="005775BB"/>
    <w:rsid w:val="00577797"/>
    <w:rsid w:val="0058000A"/>
    <w:rsid w:val="00580313"/>
    <w:rsid w:val="00580683"/>
    <w:rsid w:val="00580E1A"/>
    <w:rsid w:val="005822FF"/>
    <w:rsid w:val="00583699"/>
    <w:rsid w:val="0058495E"/>
    <w:rsid w:val="005854C7"/>
    <w:rsid w:val="00585B6C"/>
    <w:rsid w:val="00585C3E"/>
    <w:rsid w:val="00586DAA"/>
    <w:rsid w:val="005904CA"/>
    <w:rsid w:val="00591D63"/>
    <w:rsid w:val="00591E3C"/>
    <w:rsid w:val="005920C4"/>
    <w:rsid w:val="00592E51"/>
    <w:rsid w:val="005932FA"/>
    <w:rsid w:val="0059443E"/>
    <w:rsid w:val="00594AF6"/>
    <w:rsid w:val="005950CA"/>
    <w:rsid w:val="0059610C"/>
    <w:rsid w:val="00596886"/>
    <w:rsid w:val="00597D7F"/>
    <w:rsid w:val="005A0975"/>
    <w:rsid w:val="005A1E4F"/>
    <w:rsid w:val="005A2584"/>
    <w:rsid w:val="005A2B7A"/>
    <w:rsid w:val="005A388D"/>
    <w:rsid w:val="005A43C0"/>
    <w:rsid w:val="005A51FD"/>
    <w:rsid w:val="005A66FD"/>
    <w:rsid w:val="005A6F91"/>
    <w:rsid w:val="005A71EA"/>
    <w:rsid w:val="005A75A1"/>
    <w:rsid w:val="005B0174"/>
    <w:rsid w:val="005B04D9"/>
    <w:rsid w:val="005B0FBC"/>
    <w:rsid w:val="005B27C8"/>
    <w:rsid w:val="005B28C8"/>
    <w:rsid w:val="005B2B45"/>
    <w:rsid w:val="005B30FE"/>
    <w:rsid w:val="005B34B6"/>
    <w:rsid w:val="005B3B05"/>
    <w:rsid w:val="005B3F90"/>
    <w:rsid w:val="005B4F04"/>
    <w:rsid w:val="005B70D1"/>
    <w:rsid w:val="005B73BB"/>
    <w:rsid w:val="005B757F"/>
    <w:rsid w:val="005B7C9D"/>
    <w:rsid w:val="005C0511"/>
    <w:rsid w:val="005C13B0"/>
    <w:rsid w:val="005C20C5"/>
    <w:rsid w:val="005C36DC"/>
    <w:rsid w:val="005C386D"/>
    <w:rsid w:val="005C3E41"/>
    <w:rsid w:val="005C6CA9"/>
    <w:rsid w:val="005C6F3C"/>
    <w:rsid w:val="005C745A"/>
    <w:rsid w:val="005D0412"/>
    <w:rsid w:val="005D1466"/>
    <w:rsid w:val="005D159F"/>
    <w:rsid w:val="005D1795"/>
    <w:rsid w:val="005D2658"/>
    <w:rsid w:val="005D28CF"/>
    <w:rsid w:val="005D2D21"/>
    <w:rsid w:val="005D2F7D"/>
    <w:rsid w:val="005D3086"/>
    <w:rsid w:val="005D4ED1"/>
    <w:rsid w:val="005D5355"/>
    <w:rsid w:val="005D6740"/>
    <w:rsid w:val="005D6D36"/>
    <w:rsid w:val="005E019D"/>
    <w:rsid w:val="005E0705"/>
    <w:rsid w:val="005E1915"/>
    <w:rsid w:val="005E2957"/>
    <w:rsid w:val="005E3DCB"/>
    <w:rsid w:val="005E4635"/>
    <w:rsid w:val="005E4B54"/>
    <w:rsid w:val="005E508F"/>
    <w:rsid w:val="005E579A"/>
    <w:rsid w:val="005E67F0"/>
    <w:rsid w:val="005E7A83"/>
    <w:rsid w:val="005F1CA3"/>
    <w:rsid w:val="005F2225"/>
    <w:rsid w:val="005F3062"/>
    <w:rsid w:val="005F346A"/>
    <w:rsid w:val="005F3E75"/>
    <w:rsid w:val="005F4FAC"/>
    <w:rsid w:val="005F5442"/>
    <w:rsid w:val="005F6820"/>
    <w:rsid w:val="005F6840"/>
    <w:rsid w:val="005F6A38"/>
    <w:rsid w:val="005F78B2"/>
    <w:rsid w:val="006009D8"/>
    <w:rsid w:val="00600E69"/>
    <w:rsid w:val="00602D2C"/>
    <w:rsid w:val="00602DA3"/>
    <w:rsid w:val="00602F48"/>
    <w:rsid w:val="00602F6E"/>
    <w:rsid w:val="00603CE5"/>
    <w:rsid w:val="006049D7"/>
    <w:rsid w:val="00605E97"/>
    <w:rsid w:val="006125AD"/>
    <w:rsid w:val="0061268E"/>
    <w:rsid w:val="00613CEA"/>
    <w:rsid w:val="006142B6"/>
    <w:rsid w:val="006142E9"/>
    <w:rsid w:val="00615529"/>
    <w:rsid w:val="00616838"/>
    <w:rsid w:val="00616E07"/>
    <w:rsid w:val="00617308"/>
    <w:rsid w:val="0062082D"/>
    <w:rsid w:val="0062093C"/>
    <w:rsid w:val="006212E5"/>
    <w:rsid w:val="006216F1"/>
    <w:rsid w:val="00621D7F"/>
    <w:rsid w:val="00622943"/>
    <w:rsid w:val="00622E62"/>
    <w:rsid w:val="006240A2"/>
    <w:rsid w:val="00624617"/>
    <w:rsid w:val="00625E4B"/>
    <w:rsid w:val="00625F8C"/>
    <w:rsid w:val="0062792B"/>
    <w:rsid w:val="00627D81"/>
    <w:rsid w:val="006301E7"/>
    <w:rsid w:val="00630525"/>
    <w:rsid w:val="00630B4D"/>
    <w:rsid w:val="00630E2A"/>
    <w:rsid w:val="006318D8"/>
    <w:rsid w:val="00631EEA"/>
    <w:rsid w:val="0063237D"/>
    <w:rsid w:val="0063364B"/>
    <w:rsid w:val="006358D7"/>
    <w:rsid w:val="00635B3F"/>
    <w:rsid w:val="00637922"/>
    <w:rsid w:val="0064011B"/>
    <w:rsid w:val="006401F1"/>
    <w:rsid w:val="0064155C"/>
    <w:rsid w:val="0064354A"/>
    <w:rsid w:val="00643D65"/>
    <w:rsid w:val="00644404"/>
    <w:rsid w:val="00644B57"/>
    <w:rsid w:val="00645628"/>
    <w:rsid w:val="006465C3"/>
    <w:rsid w:val="006466DE"/>
    <w:rsid w:val="00647576"/>
    <w:rsid w:val="00647917"/>
    <w:rsid w:val="006520E8"/>
    <w:rsid w:val="0065254D"/>
    <w:rsid w:val="0065294F"/>
    <w:rsid w:val="00653C0D"/>
    <w:rsid w:val="00654FA1"/>
    <w:rsid w:val="00656DC8"/>
    <w:rsid w:val="006572F6"/>
    <w:rsid w:val="0066138F"/>
    <w:rsid w:val="006613EE"/>
    <w:rsid w:val="00661A83"/>
    <w:rsid w:val="00663440"/>
    <w:rsid w:val="0066442C"/>
    <w:rsid w:val="006656E9"/>
    <w:rsid w:val="006658B7"/>
    <w:rsid w:val="006674D9"/>
    <w:rsid w:val="00667AA2"/>
    <w:rsid w:val="00667C55"/>
    <w:rsid w:val="00670FD6"/>
    <w:rsid w:val="00671629"/>
    <w:rsid w:val="0067163C"/>
    <w:rsid w:val="006722AE"/>
    <w:rsid w:val="006736B2"/>
    <w:rsid w:val="006808B2"/>
    <w:rsid w:val="00680AC2"/>
    <w:rsid w:val="00680ED6"/>
    <w:rsid w:val="006811F3"/>
    <w:rsid w:val="0068162A"/>
    <w:rsid w:val="00683B02"/>
    <w:rsid w:val="00684FBE"/>
    <w:rsid w:val="006864E0"/>
    <w:rsid w:val="00686D91"/>
    <w:rsid w:val="00687E51"/>
    <w:rsid w:val="006901BC"/>
    <w:rsid w:val="00691118"/>
    <w:rsid w:val="006916A3"/>
    <w:rsid w:val="00691997"/>
    <w:rsid w:val="00691DB8"/>
    <w:rsid w:val="006924FD"/>
    <w:rsid w:val="00693649"/>
    <w:rsid w:val="00693A07"/>
    <w:rsid w:val="00694C62"/>
    <w:rsid w:val="006951FB"/>
    <w:rsid w:val="00696033"/>
    <w:rsid w:val="0069666D"/>
    <w:rsid w:val="00696792"/>
    <w:rsid w:val="00696892"/>
    <w:rsid w:val="00696F11"/>
    <w:rsid w:val="00697E6B"/>
    <w:rsid w:val="006A0F0B"/>
    <w:rsid w:val="006A173C"/>
    <w:rsid w:val="006A2F16"/>
    <w:rsid w:val="006A43AA"/>
    <w:rsid w:val="006A4A6B"/>
    <w:rsid w:val="006A5084"/>
    <w:rsid w:val="006A5AE2"/>
    <w:rsid w:val="006A6E08"/>
    <w:rsid w:val="006A7076"/>
    <w:rsid w:val="006A7CA9"/>
    <w:rsid w:val="006B02A1"/>
    <w:rsid w:val="006B0A15"/>
    <w:rsid w:val="006B1EF1"/>
    <w:rsid w:val="006B21E4"/>
    <w:rsid w:val="006B2317"/>
    <w:rsid w:val="006B250D"/>
    <w:rsid w:val="006B3B2C"/>
    <w:rsid w:val="006B56BC"/>
    <w:rsid w:val="006B5A6F"/>
    <w:rsid w:val="006B642A"/>
    <w:rsid w:val="006B6C5F"/>
    <w:rsid w:val="006B6D20"/>
    <w:rsid w:val="006B724A"/>
    <w:rsid w:val="006B78C7"/>
    <w:rsid w:val="006B7B1E"/>
    <w:rsid w:val="006C0B85"/>
    <w:rsid w:val="006C2EF3"/>
    <w:rsid w:val="006C351A"/>
    <w:rsid w:val="006C4962"/>
    <w:rsid w:val="006C4ABC"/>
    <w:rsid w:val="006C4CE0"/>
    <w:rsid w:val="006C7195"/>
    <w:rsid w:val="006C7C55"/>
    <w:rsid w:val="006D118E"/>
    <w:rsid w:val="006D16CB"/>
    <w:rsid w:val="006D1E96"/>
    <w:rsid w:val="006D2917"/>
    <w:rsid w:val="006D39B1"/>
    <w:rsid w:val="006D39B7"/>
    <w:rsid w:val="006D4B3E"/>
    <w:rsid w:val="006D5AB8"/>
    <w:rsid w:val="006D60BA"/>
    <w:rsid w:val="006D6ED3"/>
    <w:rsid w:val="006D7082"/>
    <w:rsid w:val="006E0E3E"/>
    <w:rsid w:val="006E1925"/>
    <w:rsid w:val="006E1C90"/>
    <w:rsid w:val="006E34C4"/>
    <w:rsid w:val="006E5567"/>
    <w:rsid w:val="006E5635"/>
    <w:rsid w:val="006E6627"/>
    <w:rsid w:val="006E79C0"/>
    <w:rsid w:val="006F13C0"/>
    <w:rsid w:val="006F3755"/>
    <w:rsid w:val="006F4454"/>
    <w:rsid w:val="006F4D72"/>
    <w:rsid w:val="006F4E4A"/>
    <w:rsid w:val="006F50B9"/>
    <w:rsid w:val="006F5101"/>
    <w:rsid w:val="006F51EC"/>
    <w:rsid w:val="006F5370"/>
    <w:rsid w:val="006F659C"/>
    <w:rsid w:val="006F762A"/>
    <w:rsid w:val="007007CC"/>
    <w:rsid w:val="0070130E"/>
    <w:rsid w:val="0070140C"/>
    <w:rsid w:val="00701E8A"/>
    <w:rsid w:val="0070392D"/>
    <w:rsid w:val="00703C6B"/>
    <w:rsid w:val="00703CEE"/>
    <w:rsid w:val="0070410F"/>
    <w:rsid w:val="00704B84"/>
    <w:rsid w:val="0070609B"/>
    <w:rsid w:val="00706659"/>
    <w:rsid w:val="00706CAB"/>
    <w:rsid w:val="007070CF"/>
    <w:rsid w:val="00707215"/>
    <w:rsid w:val="00712BEE"/>
    <w:rsid w:val="00712E88"/>
    <w:rsid w:val="00712EFA"/>
    <w:rsid w:val="007133F4"/>
    <w:rsid w:val="007138C8"/>
    <w:rsid w:val="00713BB5"/>
    <w:rsid w:val="00716FC2"/>
    <w:rsid w:val="00720C26"/>
    <w:rsid w:val="00721058"/>
    <w:rsid w:val="007211A0"/>
    <w:rsid w:val="0072158A"/>
    <w:rsid w:val="00721963"/>
    <w:rsid w:val="007224CE"/>
    <w:rsid w:val="00722FD2"/>
    <w:rsid w:val="0072311D"/>
    <w:rsid w:val="00723D13"/>
    <w:rsid w:val="00724710"/>
    <w:rsid w:val="0072542F"/>
    <w:rsid w:val="007258A8"/>
    <w:rsid w:val="0072795A"/>
    <w:rsid w:val="0073061C"/>
    <w:rsid w:val="007311F5"/>
    <w:rsid w:val="00732230"/>
    <w:rsid w:val="0073292A"/>
    <w:rsid w:val="00733251"/>
    <w:rsid w:val="00733D69"/>
    <w:rsid w:val="00734A4A"/>
    <w:rsid w:val="00734B3C"/>
    <w:rsid w:val="00735515"/>
    <w:rsid w:val="007369B1"/>
    <w:rsid w:val="00736D6F"/>
    <w:rsid w:val="007370A4"/>
    <w:rsid w:val="00742061"/>
    <w:rsid w:val="0074228B"/>
    <w:rsid w:val="007431C4"/>
    <w:rsid w:val="00743606"/>
    <w:rsid w:val="0074408A"/>
    <w:rsid w:val="00744327"/>
    <w:rsid w:val="00744CDD"/>
    <w:rsid w:val="00746E61"/>
    <w:rsid w:val="00747330"/>
    <w:rsid w:val="007504A0"/>
    <w:rsid w:val="00750C84"/>
    <w:rsid w:val="00750FD0"/>
    <w:rsid w:val="00751D62"/>
    <w:rsid w:val="0075201D"/>
    <w:rsid w:val="007534BF"/>
    <w:rsid w:val="007536EF"/>
    <w:rsid w:val="00753DDA"/>
    <w:rsid w:val="00753DFC"/>
    <w:rsid w:val="0075411E"/>
    <w:rsid w:val="007565D5"/>
    <w:rsid w:val="00757122"/>
    <w:rsid w:val="007576C8"/>
    <w:rsid w:val="00757B03"/>
    <w:rsid w:val="00762CDD"/>
    <w:rsid w:val="00762D66"/>
    <w:rsid w:val="00763E90"/>
    <w:rsid w:val="0077016E"/>
    <w:rsid w:val="00770E9B"/>
    <w:rsid w:val="00771A32"/>
    <w:rsid w:val="00771EB4"/>
    <w:rsid w:val="0077263C"/>
    <w:rsid w:val="00772651"/>
    <w:rsid w:val="00774397"/>
    <w:rsid w:val="00774BBD"/>
    <w:rsid w:val="00775151"/>
    <w:rsid w:val="00775991"/>
    <w:rsid w:val="007763FB"/>
    <w:rsid w:val="00777683"/>
    <w:rsid w:val="00777FD6"/>
    <w:rsid w:val="0078007E"/>
    <w:rsid w:val="00780126"/>
    <w:rsid w:val="00781013"/>
    <w:rsid w:val="00781462"/>
    <w:rsid w:val="00781B41"/>
    <w:rsid w:val="00781E93"/>
    <w:rsid w:val="00782D14"/>
    <w:rsid w:val="0078326B"/>
    <w:rsid w:val="00784ADD"/>
    <w:rsid w:val="00785781"/>
    <w:rsid w:val="00786038"/>
    <w:rsid w:val="0078673C"/>
    <w:rsid w:val="00787CA8"/>
    <w:rsid w:val="00790CAE"/>
    <w:rsid w:val="00790E08"/>
    <w:rsid w:val="00791803"/>
    <w:rsid w:val="00791AC1"/>
    <w:rsid w:val="0079234A"/>
    <w:rsid w:val="00792E78"/>
    <w:rsid w:val="007949B0"/>
    <w:rsid w:val="00796DA7"/>
    <w:rsid w:val="007975CE"/>
    <w:rsid w:val="0079781B"/>
    <w:rsid w:val="007A077F"/>
    <w:rsid w:val="007A0FE5"/>
    <w:rsid w:val="007A396F"/>
    <w:rsid w:val="007A4D49"/>
    <w:rsid w:val="007A638A"/>
    <w:rsid w:val="007B1961"/>
    <w:rsid w:val="007B1CD9"/>
    <w:rsid w:val="007B21C8"/>
    <w:rsid w:val="007B37D1"/>
    <w:rsid w:val="007B5107"/>
    <w:rsid w:val="007B55BD"/>
    <w:rsid w:val="007B57F3"/>
    <w:rsid w:val="007B582A"/>
    <w:rsid w:val="007B5CF7"/>
    <w:rsid w:val="007B6F53"/>
    <w:rsid w:val="007B7A8A"/>
    <w:rsid w:val="007B7AA4"/>
    <w:rsid w:val="007C0E13"/>
    <w:rsid w:val="007C0E6D"/>
    <w:rsid w:val="007C1DB7"/>
    <w:rsid w:val="007C2C2D"/>
    <w:rsid w:val="007C408D"/>
    <w:rsid w:val="007C4471"/>
    <w:rsid w:val="007C480B"/>
    <w:rsid w:val="007C4942"/>
    <w:rsid w:val="007C6039"/>
    <w:rsid w:val="007C7204"/>
    <w:rsid w:val="007C7F35"/>
    <w:rsid w:val="007D013D"/>
    <w:rsid w:val="007D1151"/>
    <w:rsid w:val="007D2368"/>
    <w:rsid w:val="007D27C6"/>
    <w:rsid w:val="007D3EF0"/>
    <w:rsid w:val="007D5E3C"/>
    <w:rsid w:val="007D7999"/>
    <w:rsid w:val="007D7FF2"/>
    <w:rsid w:val="007E23E1"/>
    <w:rsid w:val="007E30C1"/>
    <w:rsid w:val="007E682B"/>
    <w:rsid w:val="007F02ED"/>
    <w:rsid w:val="007F0503"/>
    <w:rsid w:val="007F122B"/>
    <w:rsid w:val="007F1600"/>
    <w:rsid w:val="007F20FC"/>
    <w:rsid w:val="007F2D7A"/>
    <w:rsid w:val="007F36E2"/>
    <w:rsid w:val="007F3DC4"/>
    <w:rsid w:val="007F4B23"/>
    <w:rsid w:val="007F53B7"/>
    <w:rsid w:val="007F5AF4"/>
    <w:rsid w:val="007F5D5D"/>
    <w:rsid w:val="007F7342"/>
    <w:rsid w:val="007F7C95"/>
    <w:rsid w:val="007F7E13"/>
    <w:rsid w:val="00800622"/>
    <w:rsid w:val="00800F99"/>
    <w:rsid w:val="00801294"/>
    <w:rsid w:val="0080138A"/>
    <w:rsid w:val="008013E6"/>
    <w:rsid w:val="008014B1"/>
    <w:rsid w:val="008033D2"/>
    <w:rsid w:val="00805450"/>
    <w:rsid w:val="00805656"/>
    <w:rsid w:val="00805810"/>
    <w:rsid w:val="008060E1"/>
    <w:rsid w:val="008067FB"/>
    <w:rsid w:val="0081087A"/>
    <w:rsid w:val="00810C85"/>
    <w:rsid w:val="008113B4"/>
    <w:rsid w:val="008115B2"/>
    <w:rsid w:val="00812774"/>
    <w:rsid w:val="00812C1F"/>
    <w:rsid w:val="00813001"/>
    <w:rsid w:val="008139BA"/>
    <w:rsid w:val="0081463F"/>
    <w:rsid w:val="0081549F"/>
    <w:rsid w:val="00816858"/>
    <w:rsid w:val="00816C1F"/>
    <w:rsid w:val="0081785C"/>
    <w:rsid w:val="00817D5C"/>
    <w:rsid w:val="00817E19"/>
    <w:rsid w:val="008204EF"/>
    <w:rsid w:val="00820965"/>
    <w:rsid w:val="00821552"/>
    <w:rsid w:val="00822145"/>
    <w:rsid w:val="008228B4"/>
    <w:rsid w:val="00822F67"/>
    <w:rsid w:val="00823C34"/>
    <w:rsid w:val="00824116"/>
    <w:rsid w:val="008266B5"/>
    <w:rsid w:val="00826907"/>
    <w:rsid w:val="00826DA2"/>
    <w:rsid w:val="00830A58"/>
    <w:rsid w:val="00830E4E"/>
    <w:rsid w:val="00831460"/>
    <w:rsid w:val="0083217A"/>
    <w:rsid w:val="00832E36"/>
    <w:rsid w:val="00835CC1"/>
    <w:rsid w:val="00836FA8"/>
    <w:rsid w:val="008374D5"/>
    <w:rsid w:val="00837E18"/>
    <w:rsid w:val="0084049F"/>
    <w:rsid w:val="00841752"/>
    <w:rsid w:val="00843A20"/>
    <w:rsid w:val="00843A21"/>
    <w:rsid w:val="00844938"/>
    <w:rsid w:val="0084631E"/>
    <w:rsid w:val="0084650A"/>
    <w:rsid w:val="00846F6E"/>
    <w:rsid w:val="00847A85"/>
    <w:rsid w:val="00847B14"/>
    <w:rsid w:val="00847F49"/>
    <w:rsid w:val="00850076"/>
    <w:rsid w:val="00853811"/>
    <w:rsid w:val="00853AAF"/>
    <w:rsid w:val="00854766"/>
    <w:rsid w:val="008557A4"/>
    <w:rsid w:val="00856417"/>
    <w:rsid w:val="00856529"/>
    <w:rsid w:val="008604BE"/>
    <w:rsid w:val="00861F9C"/>
    <w:rsid w:val="00863AA0"/>
    <w:rsid w:val="00864D17"/>
    <w:rsid w:val="00870196"/>
    <w:rsid w:val="00870F45"/>
    <w:rsid w:val="008724DD"/>
    <w:rsid w:val="008749B9"/>
    <w:rsid w:val="00875AFA"/>
    <w:rsid w:val="00875E80"/>
    <w:rsid w:val="00875EF5"/>
    <w:rsid w:val="008761BE"/>
    <w:rsid w:val="0087654A"/>
    <w:rsid w:val="0087659B"/>
    <w:rsid w:val="00877691"/>
    <w:rsid w:val="00877A71"/>
    <w:rsid w:val="00877EDA"/>
    <w:rsid w:val="00881A69"/>
    <w:rsid w:val="00881E5A"/>
    <w:rsid w:val="0088282F"/>
    <w:rsid w:val="00882F2F"/>
    <w:rsid w:val="00883B95"/>
    <w:rsid w:val="008848C5"/>
    <w:rsid w:val="00884C0E"/>
    <w:rsid w:val="00885E5F"/>
    <w:rsid w:val="0088770B"/>
    <w:rsid w:val="00892046"/>
    <w:rsid w:val="008923CC"/>
    <w:rsid w:val="008931BB"/>
    <w:rsid w:val="008932AE"/>
    <w:rsid w:val="0089791B"/>
    <w:rsid w:val="00897D72"/>
    <w:rsid w:val="00897FFE"/>
    <w:rsid w:val="008A17FC"/>
    <w:rsid w:val="008A2568"/>
    <w:rsid w:val="008A334A"/>
    <w:rsid w:val="008A3F84"/>
    <w:rsid w:val="008A5BE7"/>
    <w:rsid w:val="008A733E"/>
    <w:rsid w:val="008B02B0"/>
    <w:rsid w:val="008B2479"/>
    <w:rsid w:val="008B2950"/>
    <w:rsid w:val="008B2E0F"/>
    <w:rsid w:val="008B2E43"/>
    <w:rsid w:val="008B3A07"/>
    <w:rsid w:val="008B3C2D"/>
    <w:rsid w:val="008B4B34"/>
    <w:rsid w:val="008B5186"/>
    <w:rsid w:val="008B5A30"/>
    <w:rsid w:val="008B5F1A"/>
    <w:rsid w:val="008B5F41"/>
    <w:rsid w:val="008B6A69"/>
    <w:rsid w:val="008B7523"/>
    <w:rsid w:val="008B7759"/>
    <w:rsid w:val="008B7815"/>
    <w:rsid w:val="008C04C4"/>
    <w:rsid w:val="008C0B8C"/>
    <w:rsid w:val="008C0C6B"/>
    <w:rsid w:val="008C1079"/>
    <w:rsid w:val="008C1791"/>
    <w:rsid w:val="008C17BA"/>
    <w:rsid w:val="008C1B3D"/>
    <w:rsid w:val="008C2E18"/>
    <w:rsid w:val="008C3594"/>
    <w:rsid w:val="008C3F62"/>
    <w:rsid w:val="008C40AF"/>
    <w:rsid w:val="008C4673"/>
    <w:rsid w:val="008C46D7"/>
    <w:rsid w:val="008C483C"/>
    <w:rsid w:val="008C4A64"/>
    <w:rsid w:val="008C57BF"/>
    <w:rsid w:val="008C6A73"/>
    <w:rsid w:val="008D0DA2"/>
    <w:rsid w:val="008D13B2"/>
    <w:rsid w:val="008D1D1E"/>
    <w:rsid w:val="008D2D5A"/>
    <w:rsid w:val="008D2D61"/>
    <w:rsid w:val="008D3060"/>
    <w:rsid w:val="008D31D2"/>
    <w:rsid w:val="008D344F"/>
    <w:rsid w:val="008D4B11"/>
    <w:rsid w:val="008D534E"/>
    <w:rsid w:val="008D5789"/>
    <w:rsid w:val="008D5DB6"/>
    <w:rsid w:val="008D620B"/>
    <w:rsid w:val="008D6D83"/>
    <w:rsid w:val="008D75CA"/>
    <w:rsid w:val="008D7733"/>
    <w:rsid w:val="008D7E6E"/>
    <w:rsid w:val="008E0A54"/>
    <w:rsid w:val="008E2631"/>
    <w:rsid w:val="008E277F"/>
    <w:rsid w:val="008E2DBB"/>
    <w:rsid w:val="008E3C51"/>
    <w:rsid w:val="008E5211"/>
    <w:rsid w:val="008F0552"/>
    <w:rsid w:val="008F0683"/>
    <w:rsid w:val="008F173F"/>
    <w:rsid w:val="008F1F6E"/>
    <w:rsid w:val="008F2C65"/>
    <w:rsid w:val="008F3FC8"/>
    <w:rsid w:val="008F41BE"/>
    <w:rsid w:val="008F42E5"/>
    <w:rsid w:val="008F4600"/>
    <w:rsid w:val="008F491A"/>
    <w:rsid w:val="008F4931"/>
    <w:rsid w:val="008F66DE"/>
    <w:rsid w:val="008F7A6C"/>
    <w:rsid w:val="00900512"/>
    <w:rsid w:val="00900C57"/>
    <w:rsid w:val="00901C4C"/>
    <w:rsid w:val="0090259F"/>
    <w:rsid w:val="00902EEA"/>
    <w:rsid w:val="00906BB1"/>
    <w:rsid w:val="00907893"/>
    <w:rsid w:val="009118D9"/>
    <w:rsid w:val="009128FF"/>
    <w:rsid w:val="009141D4"/>
    <w:rsid w:val="00915692"/>
    <w:rsid w:val="009159E0"/>
    <w:rsid w:val="00916E0A"/>
    <w:rsid w:val="00917589"/>
    <w:rsid w:val="009175DC"/>
    <w:rsid w:val="009177EF"/>
    <w:rsid w:val="009205FE"/>
    <w:rsid w:val="0092331A"/>
    <w:rsid w:val="009234E5"/>
    <w:rsid w:val="00924098"/>
    <w:rsid w:val="0092449A"/>
    <w:rsid w:val="00925DA3"/>
    <w:rsid w:val="00926559"/>
    <w:rsid w:val="00926B6C"/>
    <w:rsid w:val="009273AE"/>
    <w:rsid w:val="00927E6D"/>
    <w:rsid w:val="00931803"/>
    <w:rsid w:val="00932F5B"/>
    <w:rsid w:val="00933102"/>
    <w:rsid w:val="00935662"/>
    <w:rsid w:val="009359E1"/>
    <w:rsid w:val="00935AAF"/>
    <w:rsid w:val="00936223"/>
    <w:rsid w:val="00936A37"/>
    <w:rsid w:val="00936AAC"/>
    <w:rsid w:val="009371AA"/>
    <w:rsid w:val="009374F3"/>
    <w:rsid w:val="009375C5"/>
    <w:rsid w:val="00937AC9"/>
    <w:rsid w:val="0094260D"/>
    <w:rsid w:val="00944BB1"/>
    <w:rsid w:val="009450F2"/>
    <w:rsid w:val="00945E62"/>
    <w:rsid w:val="009462B2"/>
    <w:rsid w:val="009466C6"/>
    <w:rsid w:val="0094795C"/>
    <w:rsid w:val="00947DB4"/>
    <w:rsid w:val="00947DD5"/>
    <w:rsid w:val="009515DA"/>
    <w:rsid w:val="00951A31"/>
    <w:rsid w:val="009528BF"/>
    <w:rsid w:val="00954DAB"/>
    <w:rsid w:val="0095505F"/>
    <w:rsid w:val="0095784F"/>
    <w:rsid w:val="009608D3"/>
    <w:rsid w:val="00961066"/>
    <w:rsid w:val="0096225F"/>
    <w:rsid w:val="009625CA"/>
    <w:rsid w:val="00962B68"/>
    <w:rsid w:val="00963198"/>
    <w:rsid w:val="00964716"/>
    <w:rsid w:val="00965CF1"/>
    <w:rsid w:val="009700C6"/>
    <w:rsid w:val="0097067F"/>
    <w:rsid w:val="009723AE"/>
    <w:rsid w:val="0097252B"/>
    <w:rsid w:val="00972C9B"/>
    <w:rsid w:val="00973A53"/>
    <w:rsid w:val="00973E7D"/>
    <w:rsid w:val="00973FCF"/>
    <w:rsid w:val="00974879"/>
    <w:rsid w:val="00975139"/>
    <w:rsid w:val="009756A9"/>
    <w:rsid w:val="00975788"/>
    <w:rsid w:val="00975C5E"/>
    <w:rsid w:val="009770FC"/>
    <w:rsid w:val="00981893"/>
    <w:rsid w:val="00982EC7"/>
    <w:rsid w:val="00983BDC"/>
    <w:rsid w:val="0098530B"/>
    <w:rsid w:val="00986BBD"/>
    <w:rsid w:val="00987812"/>
    <w:rsid w:val="009879F0"/>
    <w:rsid w:val="0099001C"/>
    <w:rsid w:val="009918F5"/>
    <w:rsid w:val="00992FA2"/>
    <w:rsid w:val="00993175"/>
    <w:rsid w:val="0099375A"/>
    <w:rsid w:val="00994754"/>
    <w:rsid w:val="0099568B"/>
    <w:rsid w:val="009956E7"/>
    <w:rsid w:val="009965DF"/>
    <w:rsid w:val="00996BE8"/>
    <w:rsid w:val="0099797B"/>
    <w:rsid w:val="009A04F2"/>
    <w:rsid w:val="009A142C"/>
    <w:rsid w:val="009A2340"/>
    <w:rsid w:val="009A2D02"/>
    <w:rsid w:val="009A31C1"/>
    <w:rsid w:val="009A3531"/>
    <w:rsid w:val="009A4188"/>
    <w:rsid w:val="009A4AEA"/>
    <w:rsid w:val="009A52F1"/>
    <w:rsid w:val="009A55B7"/>
    <w:rsid w:val="009A7593"/>
    <w:rsid w:val="009A7D56"/>
    <w:rsid w:val="009B0D54"/>
    <w:rsid w:val="009B10C4"/>
    <w:rsid w:val="009B1454"/>
    <w:rsid w:val="009B16B5"/>
    <w:rsid w:val="009B18FE"/>
    <w:rsid w:val="009B1A26"/>
    <w:rsid w:val="009B252D"/>
    <w:rsid w:val="009B2BBD"/>
    <w:rsid w:val="009B2DB2"/>
    <w:rsid w:val="009B4559"/>
    <w:rsid w:val="009B7C03"/>
    <w:rsid w:val="009C2351"/>
    <w:rsid w:val="009C288E"/>
    <w:rsid w:val="009C2BDA"/>
    <w:rsid w:val="009C3581"/>
    <w:rsid w:val="009C36C4"/>
    <w:rsid w:val="009C3864"/>
    <w:rsid w:val="009C3D47"/>
    <w:rsid w:val="009C6096"/>
    <w:rsid w:val="009C70BD"/>
    <w:rsid w:val="009D02B2"/>
    <w:rsid w:val="009D0E7B"/>
    <w:rsid w:val="009D112E"/>
    <w:rsid w:val="009D1880"/>
    <w:rsid w:val="009D3258"/>
    <w:rsid w:val="009D37C1"/>
    <w:rsid w:val="009D3A40"/>
    <w:rsid w:val="009D4411"/>
    <w:rsid w:val="009D4D51"/>
    <w:rsid w:val="009D4F5E"/>
    <w:rsid w:val="009D53BB"/>
    <w:rsid w:val="009D5FA4"/>
    <w:rsid w:val="009D621E"/>
    <w:rsid w:val="009D6D49"/>
    <w:rsid w:val="009D7DFC"/>
    <w:rsid w:val="009E0153"/>
    <w:rsid w:val="009E0239"/>
    <w:rsid w:val="009E04DD"/>
    <w:rsid w:val="009E0D59"/>
    <w:rsid w:val="009E24CE"/>
    <w:rsid w:val="009E2CAD"/>
    <w:rsid w:val="009E2EB1"/>
    <w:rsid w:val="009E2F57"/>
    <w:rsid w:val="009E447E"/>
    <w:rsid w:val="009E7B9F"/>
    <w:rsid w:val="009F0A8C"/>
    <w:rsid w:val="009F0AC0"/>
    <w:rsid w:val="009F24C5"/>
    <w:rsid w:val="009F2F14"/>
    <w:rsid w:val="009F4CE3"/>
    <w:rsid w:val="009F501F"/>
    <w:rsid w:val="009F58C9"/>
    <w:rsid w:val="009F6742"/>
    <w:rsid w:val="009F68B9"/>
    <w:rsid w:val="009F68D2"/>
    <w:rsid w:val="009F6F6C"/>
    <w:rsid w:val="009F728C"/>
    <w:rsid w:val="009F7408"/>
    <w:rsid w:val="00A00530"/>
    <w:rsid w:val="00A00A90"/>
    <w:rsid w:val="00A01420"/>
    <w:rsid w:val="00A01665"/>
    <w:rsid w:val="00A01835"/>
    <w:rsid w:val="00A01878"/>
    <w:rsid w:val="00A022AF"/>
    <w:rsid w:val="00A02389"/>
    <w:rsid w:val="00A02628"/>
    <w:rsid w:val="00A02C43"/>
    <w:rsid w:val="00A03A6A"/>
    <w:rsid w:val="00A03D8A"/>
    <w:rsid w:val="00A05164"/>
    <w:rsid w:val="00A06267"/>
    <w:rsid w:val="00A06B65"/>
    <w:rsid w:val="00A07166"/>
    <w:rsid w:val="00A10DFE"/>
    <w:rsid w:val="00A11866"/>
    <w:rsid w:val="00A1196E"/>
    <w:rsid w:val="00A1207E"/>
    <w:rsid w:val="00A12652"/>
    <w:rsid w:val="00A138C9"/>
    <w:rsid w:val="00A13A7B"/>
    <w:rsid w:val="00A14B7E"/>
    <w:rsid w:val="00A17834"/>
    <w:rsid w:val="00A20BA2"/>
    <w:rsid w:val="00A20C99"/>
    <w:rsid w:val="00A20D2A"/>
    <w:rsid w:val="00A20E79"/>
    <w:rsid w:val="00A219F3"/>
    <w:rsid w:val="00A23785"/>
    <w:rsid w:val="00A23A15"/>
    <w:rsid w:val="00A25256"/>
    <w:rsid w:val="00A25712"/>
    <w:rsid w:val="00A26056"/>
    <w:rsid w:val="00A26AF8"/>
    <w:rsid w:val="00A32C92"/>
    <w:rsid w:val="00A32EEC"/>
    <w:rsid w:val="00A33968"/>
    <w:rsid w:val="00A3462E"/>
    <w:rsid w:val="00A34793"/>
    <w:rsid w:val="00A34898"/>
    <w:rsid w:val="00A34BBB"/>
    <w:rsid w:val="00A352EB"/>
    <w:rsid w:val="00A35FB8"/>
    <w:rsid w:val="00A3771B"/>
    <w:rsid w:val="00A37A0D"/>
    <w:rsid w:val="00A37D33"/>
    <w:rsid w:val="00A414BA"/>
    <w:rsid w:val="00A41683"/>
    <w:rsid w:val="00A416DF"/>
    <w:rsid w:val="00A418EF"/>
    <w:rsid w:val="00A41D51"/>
    <w:rsid w:val="00A421BE"/>
    <w:rsid w:val="00A439DD"/>
    <w:rsid w:val="00A4440E"/>
    <w:rsid w:val="00A44E8C"/>
    <w:rsid w:val="00A45465"/>
    <w:rsid w:val="00A4573D"/>
    <w:rsid w:val="00A471CD"/>
    <w:rsid w:val="00A4733C"/>
    <w:rsid w:val="00A47BA9"/>
    <w:rsid w:val="00A501A9"/>
    <w:rsid w:val="00A50A55"/>
    <w:rsid w:val="00A51534"/>
    <w:rsid w:val="00A51646"/>
    <w:rsid w:val="00A532B8"/>
    <w:rsid w:val="00A535F4"/>
    <w:rsid w:val="00A53E5C"/>
    <w:rsid w:val="00A56B0C"/>
    <w:rsid w:val="00A574A2"/>
    <w:rsid w:val="00A57D89"/>
    <w:rsid w:val="00A614D1"/>
    <w:rsid w:val="00A61A95"/>
    <w:rsid w:val="00A63717"/>
    <w:rsid w:val="00A63FC1"/>
    <w:rsid w:val="00A64828"/>
    <w:rsid w:val="00A649D0"/>
    <w:rsid w:val="00A64E7F"/>
    <w:rsid w:val="00A65945"/>
    <w:rsid w:val="00A664D5"/>
    <w:rsid w:val="00A668E2"/>
    <w:rsid w:val="00A6756F"/>
    <w:rsid w:val="00A67FE2"/>
    <w:rsid w:val="00A7007D"/>
    <w:rsid w:val="00A71F89"/>
    <w:rsid w:val="00A72668"/>
    <w:rsid w:val="00A72D6A"/>
    <w:rsid w:val="00A7354E"/>
    <w:rsid w:val="00A73574"/>
    <w:rsid w:val="00A738B8"/>
    <w:rsid w:val="00A73DD3"/>
    <w:rsid w:val="00A744DB"/>
    <w:rsid w:val="00A74F94"/>
    <w:rsid w:val="00A754D8"/>
    <w:rsid w:val="00A75AFF"/>
    <w:rsid w:val="00A75DEC"/>
    <w:rsid w:val="00A761D2"/>
    <w:rsid w:val="00A767FF"/>
    <w:rsid w:val="00A76C3A"/>
    <w:rsid w:val="00A7724F"/>
    <w:rsid w:val="00A8084C"/>
    <w:rsid w:val="00A82875"/>
    <w:rsid w:val="00A82908"/>
    <w:rsid w:val="00A82A67"/>
    <w:rsid w:val="00A82AEE"/>
    <w:rsid w:val="00A83735"/>
    <w:rsid w:val="00A849AD"/>
    <w:rsid w:val="00A84A78"/>
    <w:rsid w:val="00A84CE9"/>
    <w:rsid w:val="00A85878"/>
    <w:rsid w:val="00A85D29"/>
    <w:rsid w:val="00A8777B"/>
    <w:rsid w:val="00A878C6"/>
    <w:rsid w:val="00A87FB6"/>
    <w:rsid w:val="00A905F7"/>
    <w:rsid w:val="00A908FB"/>
    <w:rsid w:val="00A90923"/>
    <w:rsid w:val="00A922EC"/>
    <w:rsid w:val="00A922F3"/>
    <w:rsid w:val="00A92B81"/>
    <w:rsid w:val="00A93458"/>
    <w:rsid w:val="00A945BA"/>
    <w:rsid w:val="00A95F5C"/>
    <w:rsid w:val="00A97523"/>
    <w:rsid w:val="00A97F65"/>
    <w:rsid w:val="00AA0307"/>
    <w:rsid w:val="00AA1BF7"/>
    <w:rsid w:val="00AA1DEA"/>
    <w:rsid w:val="00AA306A"/>
    <w:rsid w:val="00AA38AB"/>
    <w:rsid w:val="00AA39F2"/>
    <w:rsid w:val="00AA3B93"/>
    <w:rsid w:val="00AA45E5"/>
    <w:rsid w:val="00AA4B64"/>
    <w:rsid w:val="00AA5143"/>
    <w:rsid w:val="00AA5C33"/>
    <w:rsid w:val="00AA6427"/>
    <w:rsid w:val="00AA65F3"/>
    <w:rsid w:val="00AA794C"/>
    <w:rsid w:val="00AA7C3C"/>
    <w:rsid w:val="00AB02DF"/>
    <w:rsid w:val="00AB05D8"/>
    <w:rsid w:val="00AB1248"/>
    <w:rsid w:val="00AB1779"/>
    <w:rsid w:val="00AB231D"/>
    <w:rsid w:val="00AB267B"/>
    <w:rsid w:val="00AB2CB2"/>
    <w:rsid w:val="00AB2D5E"/>
    <w:rsid w:val="00AB358F"/>
    <w:rsid w:val="00AB4A10"/>
    <w:rsid w:val="00AB4C4F"/>
    <w:rsid w:val="00AB560B"/>
    <w:rsid w:val="00AB6F55"/>
    <w:rsid w:val="00AC14AA"/>
    <w:rsid w:val="00AC2F98"/>
    <w:rsid w:val="00AC3C41"/>
    <w:rsid w:val="00AC3EEA"/>
    <w:rsid w:val="00AC4B58"/>
    <w:rsid w:val="00AC4F96"/>
    <w:rsid w:val="00AC7449"/>
    <w:rsid w:val="00AD0494"/>
    <w:rsid w:val="00AD09A1"/>
    <w:rsid w:val="00AD0BB7"/>
    <w:rsid w:val="00AD1150"/>
    <w:rsid w:val="00AD21CA"/>
    <w:rsid w:val="00AD2638"/>
    <w:rsid w:val="00AD2CB6"/>
    <w:rsid w:val="00AD2D4F"/>
    <w:rsid w:val="00AD40A5"/>
    <w:rsid w:val="00AD567D"/>
    <w:rsid w:val="00AD5721"/>
    <w:rsid w:val="00AD5CF4"/>
    <w:rsid w:val="00AD5D55"/>
    <w:rsid w:val="00AD5D84"/>
    <w:rsid w:val="00AD6E15"/>
    <w:rsid w:val="00AD72F0"/>
    <w:rsid w:val="00AE01A7"/>
    <w:rsid w:val="00AE0709"/>
    <w:rsid w:val="00AE18BC"/>
    <w:rsid w:val="00AE1D0C"/>
    <w:rsid w:val="00AE214D"/>
    <w:rsid w:val="00AE21C0"/>
    <w:rsid w:val="00AE2629"/>
    <w:rsid w:val="00AE3FB1"/>
    <w:rsid w:val="00AE436E"/>
    <w:rsid w:val="00AE43A5"/>
    <w:rsid w:val="00AE50A9"/>
    <w:rsid w:val="00AE5234"/>
    <w:rsid w:val="00AE62DB"/>
    <w:rsid w:val="00AE679C"/>
    <w:rsid w:val="00AE6D01"/>
    <w:rsid w:val="00AE7BB2"/>
    <w:rsid w:val="00AF01D2"/>
    <w:rsid w:val="00AF0CB7"/>
    <w:rsid w:val="00AF0EED"/>
    <w:rsid w:val="00AF120C"/>
    <w:rsid w:val="00AF16BD"/>
    <w:rsid w:val="00AF1B2C"/>
    <w:rsid w:val="00AF205C"/>
    <w:rsid w:val="00AF2F76"/>
    <w:rsid w:val="00AF359D"/>
    <w:rsid w:val="00AF36AF"/>
    <w:rsid w:val="00AF3F12"/>
    <w:rsid w:val="00AF4E08"/>
    <w:rsid w:val="00AF6E0E"/>
    <w:rsid w:val="00AF7227"/>
    <w:rsid w:val="00AF7DEE"/>
    <w:rsid w:val="00B008D0"/>
    <w:rsid w:val="00B02557"/>
    <w:rsid w:val="00B026F6"/>
    <w:rsid w:val="00B05ACD"/>
    <w:rsid w:val="00B067D6"/>
    <w:rsid w:val="00B06A4D"/>
    <w:rsid w:val="00B06AFD"/>
    <w:rsid w:val="00B06E98"/>
    <w:rsid w:val="00B077EF"/>
    <w:rsid w:val="00B10D2F"/>
    <w:rsid w:val="00B1396A"/>
    <w:rsid w:val="00B1466B"/>
    <w:rsid w:val="00B1508F"/>
    <w:rsid w:val="00B15F45"/>
    <w:rsid w:val="00B1653B"/>
    <w:rsid w:val="00B167D9"/>
    <w:rsid w:val="00B1777F"/>
    <w:rsid w:val="00B20293"/>
    <w:rsid w:val="00B20A14"/>
    <w:rsid w:val="00B23383"/>
    <w:rsid w:val="00B24B92"/>
    <w:rsid w:val="00B25433"/>
    <w:rsid w:val="00B2581D"/>
    <w:rsid w:val="00B269A2"/>
    <w:rsid w:val="00B26B5F"/>
    <w:rsid w:val="00B26E4D"/>
    <w:rsid w:val="00B26EEB"/>
    <w:rsid w:val="00B26F65"/>
    <w:rsid w:val="00B27009"/>
    <w:rsid w:val="00B27B7D"/>
    <w:rsid w:val="00B27D25"/>
    <w:rsid w:val="00B300D0"/>
    <w:rsid w:val="00B31529"/>
    <w:rsid w:val="00B317ED"/>
    <w:rsid w:val="00B322BD"/>
    <w:rsid w:val="00B32696"/>
    <w:rsid w:val="00B3440D"/>
    <w:rsid w:val="00B358C5"/>
    <w:rsid w:val="00B35F03"/>
    <w:rsid w:val="00B361DE"/>
    <w:rsid w:val="00B365DA"/>
    <w:rsid w:val="00B406DE"/>
    <w:rsid w:val="00B417A3"/>
    <w:rsid w:val="00B418F7"/>
    <w:rsid w:val="00B41ACD"/>
    <w:rsid w:val="00B43204"/>
    <w:rsid w:val="00B435CF"/>
    <w:rsid w:val="00B438B9"/>
    <w:rsid w:val="00B445B4"/>
    <w:rsid w:val="00B45B60"/>
    <w:rsid w:val="00B46A0E"/>
    <w:rsid w:val="00B46E64"/>
    <w:rsid w:val="00B4746B"/>
    <w:rsid w:val="00B47B02"/>
    <w:rsid w:val="00B50539"/>
    <w:rsid w:val="00B52AB4"/>
    <w:rsid w:val="00B52FA0"/>
    <w:rsid w:val="00B5320C"/>
    <w:rsid w:val="00B53919"/>
    <w:rsid w:val="00B54285"/>
    <w:rsid w:val="00B54735"/>
    <w:rsid w:val="00B54969"/>
    <w:rsid w:val="00B5525D"/>
    <w:rsid w:val="00B553D8"/>
    <w:rsid w:val="00B55DE1"/>
    <w:rsid w:val="00B55F9F"/>
    <w:rsid w:val="00B5734A"/>
    <w:rsid w:val="00B615E8"/>
    <w:rsid w:val="00B61D66"/>
    <w:rsid w:val="00B61DA3"/>
    <w:rsid w:val="00B62AAD"/>
    <w:rsid w:val="00B635BE"/>
    <w:rsid w:val="00B645AB"/>
    <w:rsid w:val="00B64A39"/>
    <w:rsid w:val="00B64AE5"/>
    <w:rsid w:val="00B658AE"/>
    <w:rsid w:val="00B65CEB"/>
    <w:rsid w:val="00B65E28"/>
    <w:rsid w:val="00B666BF"/>
    <w:rsid w:val="00B677C9"/>
    <w:rsid w:val="00B67D44"/>
    <w:rsid w:val="00B70206"/>
    <w:rsid w:val="00B71067"/>
    <w:rsid w:val="00B739DE"/>
    <w:rsid w:val="00B73B43"/>
    <w:rsid w:val="00B73DB7"/>
    <w:rsid w:val="00B743F7"/>
    <w:rsid w:val="00B75723"/>
    <w:rsid w:val="00B75741"/>
    <w:rsid w:val="00B75832"/>
    <w:rsid w:val="00B77131"/>
    <w:rsid w:val="00B807E4"/>
    <w:rsid w:val="00B81285"/>
    <w:rsid w:val="00B81A50"/>
    <w:rsid w:val="00B81EEC"/>
    <w:rsid w:val="00B82886"/>
    <w:rsid w:val="00B82FA9"/>
    <w:rsid w:val="00B84571"/>
    <w:rsid w:val="00B849AE"/>
    <w:rsid w:val="00B84BF1"/>
    <w:rsid w:val="00B854C0"/>
    <w:rsid w:val="00B856DD"/>
    <w:rsid w:val="00B865F7"/>
    <w:rsid w:val="00B86F29"/>
    <w:rsid w:val="00B87D02"/>
    <w:rsid w:val="00B900E3"/>
    <w:rsid w:val="00B90609"/>
    <w:rsid w:val="00B90D90"/>
    <w:rsid w:val="00B9243E"/>
    <w:rsid w:val="00B92450"/>
    <w:rsid w:val="00B93009"/>
    <w:rsid w:val="00B9464E"/>
    <w:rsid w:val="00B95846"/>
    <w:rsid w:val="00B971A3"/>
    <w:rsid w:val="00BA0405"/>
    <w:rsid w:val="00BA04CB"/>
    <w:rsid w:val="00BA0BAA"/>
    <w:rsid w:val="00BA1956"/>
    <w:rsid w:val="00BA3FD5"/>
    <w:rsid w:val="00BA4494"/>
    <w:rsid w:val="00BA45AA"/>
    <w:rsid w:val="00BB07BD"/>
    <w:rsid w:val="00BB1EB2"/>
    <w:rsid w:val="00BB2F89"/>
    <w:rsid w:val="00BB35FB"/>
    <w:rsid w:val="00BB51A1"/>
    <w:rsid w:val="00BB55C3"/>
    <w:rsid w:val="00BB5CED"/>
    <w:rsid w:val="00BB6311"/>
    <w:rsid w:val="00BC0CDC"/>
    <w:rsid w:val="00BC114B"/>
    <w:rsid w:val="00BC14B5"/>
    <w:rsid w:val="00BC1CC3"/>
    <w:rsid w:val="00BC30D6"/>
    <w:rsid w:val="00BC4DD2"/>
    <w:rsid w:val="00BC5272"/>
    <w:rsid w:val="00BC52F5"/>
    <w:rsid w:val="00BC55CD"/>
    <w:rsid w:val="00BC5CDC"/>
    <w:rsid w:val="00BC6859"/>
    <w:rsid w:val="00BC6B7A"/>
    <w:rsid w:val="00BC7322"/>
    <w:rsid w:val="00BC7D6F"/>
    <w:rsid w:val="00BD0027"/>
    <w:rsid w:val="00BD0B80"/>
    <w:rsid w:val="00BD227B"/>
    <w:rsid w:val="00BD2871"/>
    <w:rsid w:val="00BD3269"/>
    <w:rsid w:val="00BD541B"/>
    <w:rsid w:val="00BD66DE"/>
    <w:rsid w:val="00BD7254"/>
    <w:rsid w:val="00BD765B"/>
    <w:rsid w:val="00BE2E03"/>
    <w:rsid w:val="00BE3D6F"/>
    <w:rsid w:val="00BE549D"/>
    <w:rsid w:val="00BE6753"/>
    <w:rsid w:val="00BE6BD9"/>
    <w:rsid w:val="00BE6D94"/>
    <w:rsid w:val="00BE783D"/>
    <w:rsid w:val="00BE7A1E"/>
    <w:rsid w:val="00BF0FF0"/>
    <w:rsid w:val="00BF273F"/>
    <w:rsid w:val="00BF29BE"/>
    <w:rsid w:val="00BF2BB6"/>
    <w:rsid w:val="00BF2F72"/>
    <w:rsid w:val="00BF3064"/>
    <w:rsid w:val="00BF45C3"/>
    <w:rsid w:val="00BF5386"/>
    <w:rsid w:val="00BF55E3"/>
    <w:rsid w:val="00BF57AD"/>
    <w:rsid w:val="00BF658C"/>
    <w:rsid w:val="00BF72B4"/>
    <w:rsid w:val="00BF7F9D"/>
    <w:rsid w:val="00C0052C"/>
    <w:rsid w:val="00C00ECA"/>
    <w:rsid w:val="00C01B22"/>
    <w:rsid w:val="00C02270"/>
    <w:rsid w:val="00C03272"/>
    <w:rsid w:val="00C03C3E"/>
    <w:rsid w:val="00C05CCD"/>
    <w:rsid w:val="00C05DE2"/>
    <w:rsid w:val="00C06BFA"/>
    <w:rsid w:val="00C07602"/>
    <w:rsid w:val="00C07983"/>
    <w:rsid w:val="00C07D30"/>
    <w:rsid w:val="00C1198E"/>
    <w:rsid w:val="00C11C31"/>
    <w:rsid w:val="00C1237D"/>
    <w:rsid w:val="00C129C7"/>
    <w:rsid w:val="00C12C94"/>
    <w:rsid w:val="00C13590"/>
    <w:rsid w:val="00C13803"/>
    <w:rsid w:val="00C142A8"/>
    <w:rsid w:val="00C14D32"/>
    <w:rsid w:val="00C15A06"/>
    <w:rsid w:val="00C15ACA"/>
    <w:rsid w:val="00C162AA"/>
    <w:rsid w:val="00C16EC2"/>
    <w:rsid w:val="00C200C7"/>
    <w:rsid w:val="00C2063B"/>
    <w:rsid w:val="00C21D4A"/>
    <w:rsid w:val="00C22C79"/>
    <w:rsid w:val="00C2388E"/>
    <w:rsid w:val="00C23A63"/>
    <w:rsid w:val="00C3086A"/>
    <w:rsid w:val="00C31787"/>
    <w:rsid w:val="00C32504"/>
    <w:rsid w:val="00C3270C"/>
    <w:rsid w:val="00C328CA"/>
    <w:rsid w:val="00C33B35"/>
    <w:rsid w:val="00C35526"/>
    <w:rsid w:val="00C35FB4"/>
    <w:rsid w:val="00C37A57"/>
    <w:rsid w:val="00C4076B"/>
    <w:rsid w:val="00C412AE"/>
    <w:rsid w:val="00C41D05"/>
    <w:rsid w:val="00C42EEF"/>
    <w:rsid w:val="00C434C0"/>
    <w:rsid w:val="00C45070"/>
    <w:rsid w:val="00C47AA7"/>
    <w:rsid w:val="00C5035E"/>
    <w:rsid w:val="00C50FDC"/>
    <w:rsid w:val="00C51C7B"/>
    <w:rsid w:val="00C51EAB"/>
    <w:rsid w:val="00C5298A"/>
    <w:rsid w:val="00C52D9E"/>
    <w:rsid w:val="00C536C9"/>
    <w:rsid w:val="00C54C80"/>
    <w:rsid w:val="00C54CDA"/>
    <w:rsid w:val="00C551A1"/>
    <w:rsid w:val="00C553C0"/>
    <w:rsid w:val="00C557A2"/>
    <w:rsid w:val="00C55ED9"/>
    <w:rsid w:val="00C5645E"/>
    <w:rsid w:val="00C57432"/>
    <w:rsid w:val="00C5743E"/>
    <w:rsid w:val="00C57B70"/>
    <w:rsid w:val="00C60569"/>
    <w:rsid w:val="00C6114A"/>
    <w:rsid w:val="00C61508"/>
    <w:rsid w:val="00C62284"/>
    <w:rsid w:val="00C62912"/>
    <w:rsid w:val="00C6358E"/>
    <w:rsid w:val="00C6468E"/>
    <w:rsid w:val="00C676D6"/>
    <w:rsid w:val="00C67D43"/>
    <w:rsid w:val="00C71B9E"/>
    <w:rsid w:val="00C71C91"/>
    <w:rsid w:val="00C7222B"/>
    <w:rsid w:val="00C723DF"/>
    <w:rsid w:val="00C76233"/>
    <w:rsid w:val="00C7662E"/>
    <w:rsid w:val="00C77F0E"/>
    <w:rsid w:val="00C81294"/>
    <w:rsid w:val="00C81B6D"/>
    <w:rsid w:val="00C81C0B"/>
    <w:rsid w:val="00C81E72"/>
    <w:rsid w:val="00C82AC4"/>
    <w:rsid w:val="00C833C1"/>
    <w:rsid w:val="00C836A6"/>
    <w:rsid w:val="00C848E4"/>
    <w:rsid w:val="00C8590A"/>
    <w:rsid w:val="00C8643F"/>
    <w:rsid w:val="00C86B49"/>
    <w:rsid w:val="00C86CDA"/>
    <w:rsid w:val="00C86DED"/>
    <w:rsid w:val="00C87F4E"/>
    <w:rsid w:val="00C9032F"/>
    <w:rsid w:val="00C915A9"/>
    <w:rsid w:val="00C923D8"/>
    <w:rsid w:val="00C9292C"/>
    <w:rsid w:val="00C92B97"/>
    <w:rsid w:val="00C93845"/>
    <w:rsid w:val="00C94092"/>
    <w:rsid w:val="00C94954"/>
    <w:rsid w:val="00C962F5"/>
    <w:rsid w:val="00C96C44"/>
    <w:rsid w:val="00C96D56"/>
    <w:rsid w:val="00C9738B"/>
    <w:rsid w:val="00C978E7"/>
    <w:rsid w:val="00C97A28"/>
    <w:rsid w:val="00CA0291"/>
    <w:rsid w:val="00CA0750"/>
    <w:rsid w:val="00CA31AD"/>
    <w:rsid w:val="00CA3366"/>
    <w:rsid w:val="00CA3AE2"/>
    <w:rsid w:val="00CA3D4B"/>
    <w:rsid w:val="00CA3DEE"/>
    <w:rsid w:val="00CA4B50"/>
    <w:rsid w:val="00CA5431"/>
    <w:rsid w:val="00CA6199"/>
    <w:rsid w:val="00CA6E49"/>
    <w:rsid w:val="00CA7C01"/>
    <w:rsid w:val="00CB1BA9"/>
    <w:rsid w:val="00CB1E5B"/>
    <w:rsid w:val="00CB29B6"/>
    <w:rsid w:val="00CB349D"/>
    <w:rsid w:val="00CB4FF5"/>
    <w:rsid w:val="00CB5566"/>
    <w:rsid w:val="00CB57A8"/>
    <w:rsid w:val="00CB64A5"/>
    <w:rsid w:val="00CC0B45"/>
    <w:rsid w:val="00CC0C57"/>
    <w:rsid w:val="00CC11AF"/>
    <w:rsid w:val="00CC1427"/>
    <w:rsid w:val="00CC2020"/>
    <w:rsid w:val="00CC4429"/>
    <w:rsid w:val="00CC628D"/>
    <w:rsid w:val="00CC69DD"/>
    <w:rsid w:val="00CC759B"/>
    <w:rsid w:val="00CC7CDA"/>
    <w:rsid w:val="00CC7DB1"/>
    <w:rsid w:val="00CD2E15"/>
    <w:rsid w:val="00CD3651"/>
    <w:rsid w:val="00CD4538"/>
    <w:rsid w:val="00CD4A85"/>
    <w:rsid w:val="00CD4B6C"/>
    <w:rsid w:val="00CD67E3"/>
    <w:rsid w:val="00CD70E1"/>
    <w:rsid w:val="00CD7180"/>
    <w:rsid w:val="00CD7A3A"/>
    <w:rsid w:val="00CD7CBF"/>
    <w:rsid w:val="00CE0333"/>
    <w:rsid w:val="00CE2CF7"/>
    <w:rsid w:val="00CE2E58"/>
    <w:rsid w:val="00CE316D"/>
    <w:rsid w:val="00CE4C3A"/>
    <w:rsid w:val="00CE4FA5"/>
    <w:rsid w:val="00CE7FDD"/>
    <w:rsid w:val="00CF1492"/>
    <w:rsid w:val="00CF180F"/>
    <w:rsid w:val="00CF19E5"/>
    <w:rsid w:val="00CF335C"/>
    <w:rsid w:val="00CF34C2"/>
    <w:rsid w:val="00CF4A2A"/>
    <w:rsid w:val="00CF5797"/>
    <w:rsid w:val="00CF66BF"/>
    <w:rsid w:val="00CF72FD"/>
    <w:rsid w:val="00CF767A"/>
    <w:rsid w:val="00CF77CC"/>
    <w:rsid w:val="00CF788E"/>
    <w:rsid w:val="00D009D4"/>
    <w:rsid w:val="00D0122C"/>
    <w:rsid w:val="00D015C9"/>
    <w:rsid w:val="00D01C49"/>
    <w:rsid w:val="00D02FF3"/>
    <w:rsid w:val="00D034AE"/>
    <w:rsid w:val="00D03617"/>
    <w:rsid w:val="00D03B90"/>
    <w:rsid w:val="00D058D6"/>
    <w:rsid w:val="00D07752"/>
    <w:rsid w:val="00D07D4F"/>
    <w:rsid w:val="00D101FF"/>
    <w:rsid w:val="00D10DA8"/>
    <w:rsid w:val="00D12DC3"/>
    <w:rsid w:val="00D139DB"/>
    <w:rsid w:val="00D13EF5"/>
    <w:rsid w:val="00D144A3"/>
    <w:rsid w:val="00D1492D"/>
    <w:rsid w:val="00D14F43"/>
    <w:rsid w:val="00D15391"/>
    <w:rsid w:val="00D212CB"/>
    <w:rsid w:val="00D22470"/>
    <w:rsid w:val="00D22AD4"/>
    <w:rsid w:val="00D22C15"/>
    <w:rsid w:val="00D23531"/>
    <w:rsid w:val="00D2418D"/>
    <w:rsid w:val="00D24AA7"/>
    <w:rsid w:val="00D26995"/>
    <w:rsid w:val="00D27AEC"/>
    <w:rsid w:val="00D30628"/>
    <w:rsid w:val="00D312E4"/>
    <w:rsid w:val="00D32336"/>
    <w:rsid w:val="00D32C9E"/>
    <w:rsid w:val="00D3345E"/>
    <w:rsid w:val="00D33877"/>
    <w:rsid w:val="00D3388C"/>
    <w:rsid w:val="00D33912"/>
    <w:rsid w:val="00D3447F"/>
    <w:rsid w:val="00D345D9"/>
    <w:rsid w:val="00D35D5C"/>
    <w:rsid w:val="00D36576"/>
    <w:rsid w:val="00D37617"/>
    <w:rsid w:val="00D37982"/>
    <w:rsid w:val="00D41188"/>
    <w:rsid w:val="00D43C78"/>
    <w:rsid w:val="00D43E4C"/>
    <w:rsid w:val="00D43EA1"/>
    <w:rsid w:val="00D45509"/>
    <w:rsid w:val="00D461E6"/>
    <w:rsid w:val="00D4640E"/>
    <w:rsid w:val="00D47268"/>
    <w:rsid w:val="00D509B6"/>
    <w:rsid w:val="00D51F5B"/>
    <w:rsid w:val="00D531AE"/>
    <w:rsid w:val="00D53364"/>
    <w:rsid w:val="00D5337E"/>
    <w:rsid w:val="00D53909"/>
    <w:rsid w:val="00D55B90"/>
    <w:rsid w:val="00D57ECD"/>
    <w:rsid w:val="00D61163"/>
    <w:rsid w:val="00D61B9F"/>
    <w:rsid w:val="00D62A26"/>
    <w:rsid w:val="00D62AA1"/>
    <w:rsid w:val="00D63A31"/>
    <w:rsid w:val="00D64691"/>
    <w:rsid w:val="00D64A26"/>
    <w:rsid w:val="00D64A30"/>
    <w:rsid w:val="00D652A6"/>
    <w:rsid w:val="00D6603E"/>
    <w:rsid w:val="00D66DF5"/>
    <w:rsid w:val="00D70046"/>
    <w:rsid w:val="00D7031F"/>
    <w:rsid w:val="00D7178B"/>
    <w:rsid w:val="00D7190F"/>
    <w:rsid w:val="00D7196E"/>
    <w:rsid w:val="00D7414E"/>
    <w:rsid w:val="00D7476F"/>
    <w:rsid w:val="00D74CC9"/>
    <w:rsid w:val="00D74ECF"/>
    <w:rsid w:val="00D7564E"/>
    <w:rsid w:val="00D761E0"/>
    <w:rsid w:val="00D761FA"/>
    <w:rsid w:val="00D76E7F"/>
    <w:rsid w:val="00D82FB8"/>
    <w:rsid w:val="00D842CD"/>
    <w:rsid w:val="00D8438C"/>
    <w:rsid w:val="00D86A28"/>
    <w:rsid w:val="00D86F0A"/>
    <w:rsid w:val="00D8796E"/>
    <w:rsid w:val="00D9093D"/>
    <w:rsid w:val="00D91AE3"/>
    <w:rsid w:val="00D92B5C"/>
    <w:rsid w:val="00D940D2"/>
    <w:rsid w:val="00D94BAC"/>
    <w:rsid w:val="00D966A3"/>
    <w:rsid w:val="00D967D5"/>
    <w:rsid w:val="00D96883"/>
    <w:rsid w:val="00D9692B"/>
    <w:rsid w:val="00DA03CC"/>
    <w:rsid w:val="00DA13B1"/>
    <w:rsid w:val="00DA1EF6"/>
    <w:rsid w:val="00DA2B11"/>
    <w:rsid w:val="00DA2F6B"/>
    <w:rsid w:val="00DA3365"/>
    <w:rsid w:val="00DA3D22"/>
    <w:rsid w:val="00DA5445"/>
    <w:rsid w:val="00DA6C3B"/>
    <w:rsid w:val="00DA70B5"/>
    <w:rsid w:val="00DB088C"/>
    <w:rsid w:val="00DB1CE7"/>
    <w:rsid w:val="00DB289B"/>
    <w:rsid w:val="00DB2AAF"/>
    <w:rsid w:val="00DB35D5"/>
    <w:rsid w:val="00DB3801"/>
    <w:rsid w:val="00DB4430"/>
    <w:rsid w:val="00DB5059"/>
    <w:rsid w:val="00DB559A"/>
    <w:rsid w:val="00DB6286"/>
    <w:rsid w:val="00DB6ECE"/>
    <w:rsid w:val="00DB79A9"/>
    <w:rsid w:val="00DC0B8E"/>
    <w:rsid w:val="00DC1093"/>
    <w:rsid w:val="00DC1879"/>
    <w:rsid w:val="00DC1C61"/>
    <w:rsid w:val="00DC1DD9"/>
    <w:rsid w:val="00DC2421"/>
    <w:rsid w:val="00DC27DE"/>
    <w:rsid w:val="00DC3424"/>
    <w:rsid w:val="00DC450A"/>
    <w:rsid w:val="00DC4804"/>
    <w:rsid w:val="00DC5845"/>
    <w:rsid w:val="00DC60B3"/>
    <w:rsid w:val="00DD01E2"/>
    <w:rsid w:val="00DD0298"/>
    <w:rsid w:val="00DD0357"/>
    <w:rsid w:val="00DD0A94"/>
    <w:rsid w:val="00DD57A5"/>
    <w:rsid w:val="00DD5DEE"/>
    <w:rsid w:val="00DD6896"/>
    <w:rsid w:val="00DE04CE"/>
    <w:rsid w:val="00DE2450"/>
    <w:rsid w:val="00DE27A2"/>
    <w:rsid w:val="00DE3393"/>
    <w:rsid w:val="00DE3BAB"/>
    <w:rsid w:val="00DE4132"/>
    <w:rsid w:val="00DE6D68"/>
    <w:rsid w:val="00DF0274"/>
    <w:rsid w:val="00DF23E2"/>
    <w:rsid w:val="00DF35CB"/>
    <w:rsid w:val="00DF481A"/>
    <w:rsid w:val="00DF4AC4"/>
    <w:rsid w:val="00DF4E85"/>
    <w:rsid w:val="00DF619C"/>
    <w:rsid w:val="00DF64B7"/>
    <w:rsid w:val="00DF6DEB"/>
    <w:rsid w:val="00DF6E36"/>
    <w:rsid w:val="00DF774F"/>
    <w:rsid w:val="00E00E32"/>
    <w:rsid w:val="00E01B51"/>
    <w:rsid w:val="00E02580"/>
    <w:rsid w:val="00E03DE1"/>
    <w:rsid w:val="00E052DB"/>
    <w:rsid w:val="00E066D4"/>
    <w:rsid w:val="00E069BE"/>
    <w:rsid w:val="00E06E23"/>
    <w:rsid w:val="00E0705D"/>
    <w:rsid w:val="00E07BAC"/>
    <w:rsid w:val="00E111F4"/>
    <w:rsid w:val="00E12B30"/>
    <w:rsid w:val="00E12CA7"/>
    <w:rsid w:val="00E13A24"/>
    <w:rsid w:val="00E1401A"/>
    <w:rsid w:val="00E16B33"/>
    <w:rsid w:val="00E174F8"/>
    <w:rsid w:val="00E179B3"/>
    <w:rsid w:val="00E205E0"/>
    <w:rsid w:val="00E20638"/>
    <w:rsid w:val="00E20FB7"/>
    <w:rsid w:val="00E21047"/>
    <w:rsid w:val="00E23152"/>
    <w:rsid w:val="00E2329C"/>
    <w:rsid w:val="00E23E13"/>
    <w:rsid w:val="00E24430"/>
    <w:rsid w:val="00E24936"/>
    <w:rsid w:val="00E25282"/>
    <w:rsid w:val="00E2611B"/>
    <w:rsid w:val="00E26352"/>
    <w:rsid w:val="00E2750A"/>
    <w:rsid w:val="00E303B5"/>
    <w:rsid w:val="00E30B25"/>
    <w:rsid w:val="00E312E9"/>
    <w:rsid w:val="00E31AC4"/>
    <w:rsid w:val="00E3315B"/>
    <w:rsid w:val="00E33862"/>
    <w:rsid w:val="00E34223"/>
    <w:rsid w:val="00E35392"/>
    <w:rsid w:val="00E35608"/>
    <w:rsid w:val="00E35C9C"/>
    <w:rsid w:val="00E36507"/>
    <w:rsid w:val="00E376DF"/>
    <w:rsid w:val="00E37ACB"/>
    <w:rsid w:val="00E40526"/>
    <w:rsid w:val="00E405DC"/>
    <w:rsid w:val="00E41CF2"/>
    <w:rsid w:val="00E42042"/>
    <w:rsid w:val="00E431E5"/>
    <w:rsid w:val="00E43B47"/>
    <w:rsid w:val="00E43D77"/>
    <w:rsid w:val="00E44B30"/>
    <w:rsid w:val="00E44CD7"/>
    <w:rsid w:val="00E4573C"/>
    <w:rsid w:val="00E45AA6"/>
    <w:rsid w:val="00E46565"/>
    <w:rsid w:val="00E46569"/>
    <w:rsid w:val="00E4673E"/>
    <w:rsid w:val="00E47221"/>
    <w:rsid w:val="00E51022"/>
    <w:rsid w:val="00E514B6"/>
    <w:rsid w:val="00E51947"/>
    <w:rsid w:val="00E537CD"/>
    <w:rsid w:val="00E542C7"/>
    <w:rsid w:val="00E547D6"/>
    <w:rsid w:val="00E56225"/>
    <w:rsid w:val="00E5650D"/>
    <w:rsid w:val="00E572E5"/>
    <w:rsid w:val="00E60C6C"/>
    <w:rsid w:val="00E60F64"/>
    <w:rsid w:val="00E6162D"/>
    <w:rsid w:val="00E61BA7"/>
    <w:rsid w:val="00E61E1E"/>
    <w:rsid w:val="00E62099"/>
    <w:rsid w:val="00E62DEF"/>
    <w:rsid w:val="00E640D8"/>
    <w:rsid w:val="00E641DB"/>
    <w:rsid w:val="00E6446F"/>
    <w:rsid w:val="00E647A7"/>
    <w:rsid w:val="00E65323"/>
    <w:rsid w:val="00E65357"/>
    <w:rsid w:val="00E6579E"/>
    <w:rsid w:val="00E65991"/>
    <w:rsid w:val="00E65D15"/>
    <w:rsid w:val="00E6751C"/>
    <w:rsid w:val="00E67B41"/>
    <w:rsid w:val="00E704D9"/>
    <w:rsid w:val="00E7102A"/>
    <w:rsid w:val="00E7120B"/>
    <w:rsid w:val="00E73512"/>
    <w:rsid w:val="00E73B81"/>
    <w:rsid w:val="00E74ECB"/>
    <w:rsid w:val="00E7533E"/>
    <w:rsid w:val="00E76C90"/>
    <w:rsid w:val="00E8035B"/>
    <w:rsid w:val="00E80BB8"/>
    <w:rsid w:val="00E81700"/>
    <w:rsid w:val="00E8252F"/>
    <w:rsid w:val="00E82C83"/>
    <w:rsid w:val="00E83917"/>
    <w:rsid w:val="00E83EC5"/>
    <w:rsid w:val="00E83F8A"/>
    <w:rsid w:val="00E84907"/>
    <w:rsid w:val="00E84E0B"/>
    <w:rsid w:val="00E84FCD"/>
    <w:rsid w:val="00E851BB"/>
    <w:rsid w:val="00E8527A"/>
    <w:rsid w:val="00E85CD2"/>
    <w:rsid w:val="00E85D3E"/>
    <w:rsid w:val="00E85F67"/>
    <w:rsid w:val="00E86084"/>
    <w:rsid w:val="00E873A8"/>
    <w:rsid w:val="00E90D58"/>
    <w:rsid w:val="00E918A4"/>
    <w:rsid w:val="00E9201A"/>
    <w:rsid w:val="00E92910"/>
    <w:rsid w:val="00E9305A"/>
    <w:rsid w:val="00E9317E"/>
    <w:rsid w:val="00E9503F"/>
    <w:rsid w:val="00E95673"/>
    <w:rsid w:val="00E956EB"/>
    <w:rsid w:val="00E95765"/>
    <w:rsid w:val="00E9686E"/>
    <w:rsid w:val="00E96D22"/>
    <w:rsid w:val="00EA0A6B"/>
    <w:rsid w:val="00EA0D10"/>
    <w:rsid w:val="00EA1165"/>
    <w:rsid w:val="00EA1C2E"/>
    <w:rsid w:val="00EA2D38"/>
    <w:rsid w:val="00EA536B"/>
    <w:rsid w:val="00EA779B"/>
    <w:rsid w:val="00EB03E3"/>
    <w:rsid w:val="00EB0A19"/>
    <w:rsid w:val="00EB2928"/>
    <w:rsid w:val="00EB381C"/>
    <w:rsid w:val="00EB4922"/>
    <w:rsid w:val="00EB4DA7"/>
    <w:rsid w:val="00EB569B"/>
    <w:rsid w:val="00EB5794"/>
    <w:rsid w:val="00EB617C"/>
    <w:rsid w:val="00EB7C91"/>
    <w:rsid w:val="00EC0877"/>
    <w:rsid w:val="00EC0F74"/>
    <w:rsid w:val="00EC1C86"/>
    <w:rsid w:val="00EC3625"/>
    <w:rsid w:val="00EC52F6"/>
    <w:rsid w:val="00EC53EE"/>
    <w:rsid w:val="00EC5E7F"/>
    <w:rsid w:val="00EC6C58"/>
    <w:rsid w:val="00EC6CB5"/>
    <w:rsid w:val="00EC7600"/>
    <w:rsid w:val="00EC7C13"/>
    <w:rsid w:val="00ED0E55"/>
    <w:rsid w:val="00ED2027"/>
    <w:rsid w:val="00ED4C91"/>
    <w:rsid w:val="00ED6A61"/>
    <w:rsid w:val="00EE0AB5"/>
    <w:rsid w:val="00EE0C07"/>
    <w:rsid w:val="00EE12D5"/>
    <w:rsid w:val="00EE2923"/>
    <w:rsid w:val="00EE2D24"/>
    <w:rsid w:val="00EE2EDE"/>
    <w:rsid w:val="00EE47A8"/>
    <w:rsid w:val="00EE5E26"/>
    <w:rsid w:val="00EE620F"/>
    <w:rsid w:val="00EE6459"/>
    <w:rsid w:val="00EE6694"/>
    <w:rsid w:val="00EE7B50"/>
    <w:rsid w:val="00EF013C"/>
    <w:rsid w:val="00EF0985"/>
    <w:rsid w:val="00EF11C6"/>
    <w:rsid w:val="00EF23F9"/>
    <w:rsid w:val="00EF3D58"/>
    <w:rsid w:val="00EF56E0"/>
    <w:rsid w:val="00EF5C4F"/>
    <w:rsid w:val="00EF5EE5"/>
    <w:rsid w:val="00F061C8"/>
    <w:rsid w:val="00F072CB"/>
    <w:rsid w:val="00F0737F"/>
    <w:rsid w:val="00F117FA"/>
    <w:rsid w:val="00F11809"/>
    <w:rsid w:val="00F11CC2"/>
    <w:rsid w:val="00F11D9A"/>
    <w:rsid w:val="00F1397B"/>
    <w:rsid w:val="00F13E04"/>
    <w:rsid w:val="00F141FC"/>
    <w:rsid w:val="00F15CC1"/>
    <w:rsid w:val="00F16C8B"/>
    <w:rsid w:val="00F16CAA"/>
    <w:rsid w:val="00F173C0"/>
    <w:rsid w:val="00F17844"/>
    <w:rsid w:val="00F17AC2"/>
    <w:rsid w:val="00F217A0"/>
    <w:rsid w:val="00F2187A"/>
    <w:rsid w:val="00F227C1"/>
    <w:rsid w:val="00F23C94"/>
    <w:rsid w:val="00F262D5"/>
    <w:rsid w:val="00F2730D"/>
    <w:rsid w:val="00F27564"/>
    <w:rsid w:val="00F279DF"/>
    <w:rsid w:val="00F27A62"/>
    <w:rsid w:val="00F30031"/>
    <w:rsid w:val="00F35FFB"/>
    <w:rsid w:val="00F3746C"/>
    <w:rsid w:val="00F37D54"/>
    <w:rsid w:val="00F405CF"/>
    <w:rsid w:val="00F41AA2"/>
    <w:rsid w:val="00F42572"/>
    <w:rsid w:val="00F42B5C"/>
    <w:rsid w:val="00F43CE8"/>
    <w:rsid w:val="00F446EA"/>
    <w:rsid w:val="00F44D14"/>
    <w:rsid w:val="00F44F6E"/>
    <w:rsid w:val="00F468C8"/>
    <w:rsid w:val="00F4700C"/>
    <w:rsid w:val="00F4750B"/>
    <w:rsid w:val="00F47802"/>
    <w:rsid w:val="00F5046C"/>
    <w:rsid w:val="00F50D5B"/>
    <w:rsid w:val="00F53D69"/>
    <w:rsid w:val="00F53F2E"/>
    <w:rsid w:val="00F543AE"/>
    <w:rsid w:val="00F557E6"/>
    <w:rsid w:val="00F57644"/>
    <w:rsid w:val="00F57AEE"/>
    <w:rsid w:val="00F57ED3"/>
    <w:rsid w:val="00F6082B"/>
    <w:rsid w:val="00F61B72"/>
    <w:rsid w:val="00F61B94"/>
    <w:rsid w:val="00F62E1E"/>
    <w:rsid w:val="00F631EA"/>
    <w:rsid w:val="00F633DF"/>
    <w:rsid w:val="00F63947"/>
    <w:rsid w:val="00F66BCE"/>
    <w:rsid w:val="00F6715F"/>
    <w:rsid w:val="00F67F44"/>
    <w:rsid w:val="00F67F52"/>
    <w:rsid w:val="00F713DE"/>
    <w:rsid w:val="00F7440D"/>
    <w:rsid w:val="00F75406"/>
    <w:rsid w:val="00F75A82"/>
    <w:rsid w:val="00F76C0C"/>
    <w:rsid w:val="00F77738"/>
    <w:rsid w:val="00F8075D"/>
    <w:rsid w:val="00F82920"/>
    <w:rsid w:val="00F83978"/>
    <w:rsid w:val="00F83CBD"/>
    <w:rsid w:val="00F84183"/>
    <w:rsid w:val="00F84876"/>
    <w:rsid w:val="00F84DDF"/>
    <w:rsid w:val="00F85DAD"/>
    <w:rsid w:val="00F8651F"/>
    <w:rsid w:val="00F87FD0"/>
    <w:rsid w:val="00F9020A"/>
    <w:rsid w:val="00F9034F"/>
    <w:rsid w:val="00F90849"/>
    <w:rsid w:val="00F90909"/>
    <w:rsid w:val="00F9108A"/>
    <w:rsid w:val="00F913F9"/>
    <w:rsid w:val="00F91C8C"/>
    <w:rsid w:val="00F92AD9"/>
    <w:rsid w:val="00F9302D"/>
    <w:rsid w:val="00F93E7B"/>
    <w:rsid w:val="00F94061"/>
    <w:rsid w:val="00F94240"/>
    <w:rsid w:val="00F944DA"/>
    <w:rsid w:val="00F95433"/>
    <w:rsid w:val="00F9579D"/>
    <w:rsid w:val="00F96463"/>
    <w:rsid w:val="00F96A25"/>
    <w:rsid w:val="00F97A92"/>
    <w:rsid w:val="00F97B6E"/>
    <w:rsid w:val="00F97BE6"/>
    <w:rsid w:val="00F97CD6"/>
    <w:rsid w:val="00FA05AB"/>
    <w:rsid w:val="00FA10AA"/>
    <w:rsid w:val="00FA12D6"/>
    <w:rsid w:val="00FA2C23"/>
    <w:rsid w:val="00FA4385"/>
    <w:rsid w:val="00FA43D7"/>
    <w:rsid w:val="00FA5A8B"/>
    <w:rsid w:val="00FA7079"/>
    <w:rsid w:val="00FA76ED"/>
    <w:rsid w:val="00FB18DC"/>
    <w:rsid w:val="00FB1E5D"/>
    <w:rsid w:val="00FB292C"/>
    <w:rsid w:val="00FB2F4A"/>
    <w:rsid w:val="00FB3B00"/>
    <w:rsid w:val="00FB4297"/>
    <w:rsid w:val="00FB44E8"/>
    <w:rsid w:val="00FB45EE"/>
    <w:rsid w:val="00FB4CCE"/>
    <w:rsid w:val="00FB5EDD"/>
    <w:rsid w:val="00FB73A4"/>
    <w:rsid w:val="00FC0107"/>
    <w:rsid w:val="00FC1C1E"/>
    <w:rsid w:val="00FC1F8F"/>
    <w:rsid w:val="00FC24E0"/>
    <w:rsid w:val="00FC3BCE"/>
    <w:rsid w:val="00FC3FA8"/>
    <w:rsid w:val="00FC4307"/>
    <w:rsid w:val="00FC4698"/>
    <w:rsid w:val="00FC4A81"/>
    <w:rsid w:val="00FC5D23"/>
    <w:rsid w:val="00FC763D"/>
    <w:rsid w:val="00FC789F"/>
    <w:rsid w:val="00FD2647"/>
    <w:rsid w:val="00FD2995"/>
    <w:rsid w:val="00FD6021"/>
    <w:rsid w:val="00FD7A6A"/>
    <w:rsid w:val="00FE00C8"/>
    <w:rsid w:val="00FE029C"/>
    <w:rsid w:val="00FE101C"/>
    <w:rsid w:val="00FE18C7"/>
    <w:rsid w:val="00FE2346"/>
    <w:rsid w:val="00FE28CB"/>
    <w:rsid w:val="00FE2A89"/>
    <w:rsid w:val="00FE2BB2"/>
    <w:rsid w:val="00FE4067"/>
    <w:rsid w:val="00FE6B7F"/>
    <w:rsid w:val="00FE6F67"/>
    <w:rsid w:val="00FF099F"/>
    <w:rsid w:val="00FF0F63"/>
    <w:rsid w:val="00FF2B0C"/>
    <w:rsid w:val="00FF6D34"/>
    <w:rsid w:val="00FF71EC"/>
    <w:rsid w:val="00FF751C"/>
    <w:rsid w:val="00FF7580"/>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E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Body Text First Indent 2" w:uiPriority="99"/>
    <w:lsdException w:name="Hyperlink" w:uiPriority="99"/>
    <w:lsdException w:name="Strong" w:qFormat="1"/>
    <w:lsdException w:name="Emphasis" w:uiPriority="20"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580"/>
    <w:rPr>
      <w:sz w:val="24"/>
      <w:szCs w:val="24"/>
      <w:lang w:eastAsia="ja-JP"/>
    </w:rPr>
  </w:style>
  <w:style w:type="paragraph" w:styleId="Heading1">
    <w:name w:val="heading 1"/>
    <w:aliases w:val="normal"/>
    <w:basedOn w:val="Normal"/>
    <w:link w:val="Heading1Char"/>
    <w:uiPriority w:val="9"/>
    <w:qFormat/>
    <w:pPr>
      <w:spacing w:before="100" w:beforeAutospacing="1"/>
      <w:textAlignment w:val="top"/>
      <w:outlineLvl w:val="0"/>
    </w:pPr>
    <w:rPr>
      <w:b/>
      <w:bCs/>
      <w:color w:val="000000"/>
      <w:kern w:val="36"/>
      <w:sz w:val="31"/>
      <w:szCs w:val="31"/>
    </w:rPr>
  </w:style>
  <w:style w:type="paragraph" w:styleId="Heading2">
    <w:name w:val="heading 2"/>
    <w:basedOn w:val="Normal"/>
    <w:link w:val="Heading2Char"/>
    <w:qFormat/>
    <w:pPr>
      <w:spacing w:before="100" w:beforeAutospacing="1"/>
      <w:textAlignment w:val="top"/>
      <w:outlineLvl w:val="1"/>
    </w:pPr>
    <w:rPr>
      <w:b/>
      <w:bCs/>
      <w:color w:val="000000"/>
      <w:sz w:val="25"/>
      <w:szCs w:val="25"/>
    </w:rPr>
  </w:style>
  <w:style w:type="paragraph" w:styleId="Heading3">
    <w:name w:val="heading 3"/>
    <w:basedOn w:val="Normal"/>
    <w:link w:val="Heading3Char"/>
    <w:uiPriority w:val="9"/>
    <w:qFormat/>
    <w:pPr>
      <w:spacing w:before="100" w:beforeAutospacing="1"/>
      <w:textAlignment w:val="top"/>
      <w:outlineLvl w:val="2"/>
    </w:pPr>
    <w:rPr>
      <w:b/>
      <w:bCs/>
      <w:color w:val="000000"/>
      <w:sz w:val="22"/>
      <w:szCs w:val="22"/>
    </w:rPr>
  </w:style>
  <w:style w:type="paragraph" w:styleId="Heading4">
    <w:name w:val="heading 4"/>
    <w:basedOn w:val="Normal"/>
    <w:link w:val="Heading4Char"/>
    <w:uiPriority w:val="9"/>
    <w:qFormat/>
    <w:pPr>
      <w:spacing w:before="100" w:beforeAutospacing="1"/>
      <w:textAlignment w:val="top"/>
      <w:outlineLvl w:val="3"/>
    </w:pPr>
    <w:rPr>
      <w:b/>
      <w:bCs/>
      <w:color w:val="000000"/>
      <w:sz w:val="17"/>
      <w:szCs w:val="17"/>
    </w:rPr>
  </w:style>
  <w:style w:type="paragraph" w:styleId="Heading5">
    <w:name w:val="heading 5"/>
    <w:basedOn w:val="Normal"/>
    <w:next w:val="Normal"/>
    <w:link w:val="Heading5Char"/>
    <w:uiPriority w:val="9"/>
    <w:semiHidden/>
    <w:unhideWhenUsed/>
    <w:qFormat/>
    <w:rsid w:val="00E4573C"/>
    <w:pPr>
      <w:autoSpaceDE w:val="0"/>
      <w:autoSpaceDN w:val="0"/>
      <w:adjustRightInd w:val="0"/>
      <w:spacing w:before="280" w:line="360" w:lineRule="auto"/>
      <w:ind w:left="1008" w:hanging="1008"/>
      <w:jc w:val="both"/>
      <w:outlineLvl w:val="4"/>
    </w:pPr>
    <w:rPr>
      <w:rFonts w:ascii="Calibri" w:eastAsia="Times New Roman" w:hAnsi="Calibri"/>
      <w:b/>
      <w:bCs/>
      <w:i/>
      <w:iCs/>
      <w:lang w:val="es-ES" w:eastAsia="en-US" w:bidi="en-US"/>
    </w:rPr>
  </w:style>
  <w:style w:type="paragraph" w:styleId="Heading6">
    <w:name w:val="heading 6"/>
    <w:basedOn w:val="Normal"/>
    <w:next w:val="Normal"/>
    <w:link w:val="Heading6Char"/>
    <w:uiPriority w:val="9"/>
    <w:semiHidden/>
    <w:unhideWhenUsed/>
    <w:qFormat/>
    <w:rsid w:val="00E4573C"/>
    <w:pPr>
      <w:autoSpaceDE w:val="0"/>
      <w:autoSpaceDN w:val="0"/>
      <w:adjustRightInd w:val="0"/>
      <w:spacing w:before="280" w:after="80" w:line="360" w:lineRule="auto"/>
      <w:ind w:left="1152" w:hanging="1152"/>
      <w:jc w:val="both"/>
      <w:outlineLvl w:val="5"/>
    </w:pPr>
    <w:rPr>
      <w:rFonts w:ascii="Calibri" w:eastAsia="Times New Roman" w:hAnsi="Calibri"/>
      <w:b/>
      <w:bCs/>
      <w:i/>
      <w:iCs/>
      <w:lang w:val="es-ES" w:eastAsia="en-US" w:bidi="en-US"/>
    </w:rPr>
  </w:style>
  <w:style w:type="paragraph" w:styleId="Heading7">
    <w:name w:val="heading 7"/>
    <w:basedOn w:val="Normal"/>
    <w:next w:val="Normal"/>
    <w:link w:val="Heading7Char"/>
    <w:uiPriority w:val="9"/>
    <w:semiHidden/>
    <w:unhideWhenUsed/>
    <w:qFormat/>
    <w:rsid w:val="00E4573C"/>
    <w:pPr>
      <w:autoSpaceDE w:val="0"/>
      <w:autoSpaceDN w:val="0"/>
      <w:adjustRightInd w:val="0"/>
      <w:spacing w:before="280" w:line="360" w:lineRule="auto"/>
      <w:ind w:left="1296" w:hanging="1296"/>
      <w:jc w:val="both"/>
      <w:outlineLvl w:val="6"/>
    </w:pPr>
    <w:rPr>
      <w:rFonts w:ascii="Calibri" w:eastAsia="Times New Roman" w:hAnsi="Calibri"/>
      <w:b/>
      <w:bCs/>
      <w:i/>
      <w:iCs/>
      <w:sz w:val="20"/>
      <w:szCs w:val="20"/>
      <w:lang w:val="es-ES" w:eastAsia="en-US" w:bidi="en-US"/>
    </w:rPr>
  </w:style>
  <w:style w:type="paragraph" w:styleId="Heading8">
    <w:name w:val="heading 8"/>
    <w:basedOn w:val="Normal"/>
    <w:next w:val="Normal"/>
    <w:link w:val="Heading8Char"/>
    <w:uiPriority w:val="9"/>
    <w:semiHidden/>
    <w:unhideWhenUsed/>
    <w:qFormat/>
    <w:rsid w:val="00E4573C"/>
    <w:pPr>
      <w:autoSpaceDE w:val="0"/>
      <w:autoSpaceDN w:val="0"/>
      <w:adjustRightInd w:val="0"/>
      <w:spacing w:before="280" w:line="360" w:lineRule="auto"/>
      <w:ind w:left="1440" w:hanging="1440"/>
      <w:jc w:val="both"/>
      <w:outlineLvl w:val="7"/>
    </w:pPr>
    <w:rPr>
      <w:rFonts w:ascii="Calibri" w:eastAsia="Times New Roman" w:hAnsi="Calibri"/>
      <w:b/>
      <w:bCs/>
      <w:i/>
      <w:iCs/>
      <w:sz w:val="18"/>
      <w:szCs w:val="18"/>
      <w:lang w:val="es-ES" w:eastAsia="en-US" w:bidi="en-US"/>
    </w:rPr>
  </w:style>
  <w:style w:type="paragraph" w:styleId="Heading9">
    <w:name w:val="heading 9"/>
    <w:basedOn w:val="Normal"/>
    <w:next w:val="Normal"/>
    <w:link w:val="Heading9Char"/>
    <w:uiPriority w:val="9"/>
    <w:semiHidden/>
    <w:unhideWhenUsed/>
    <w:qFormat/>
    <w:rsid w:val="00E4573C"/>
    <w:pPr>
      <w:autoSpaceDE w:val="0"/>
      <w:autoSpaceDN w:val="0"/>
      <w:adjustRightInd w:val="0"/>
      <w:spacing w:before="280" w:line="360" w:lineRule="auto"/>
      <w:ind w:left="1584" w:hanging="1584"/>
      <w:jc w:val="both"/>
      <w:outlineLvl w:val="8"/>
    </w:pPr>
    <w:rPr>
      <w:rFonts w:ascii="Calibri" w:eastAsia="Times New Roman" w:hAnsi="Calibri"/>
      <w:i/>
      <w:iCs/>
      <w:sz w:val="18"/>
      <w:szCs w:val="18"/>
      <w:lang w:val="es-E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strike w:val="0"/>
      <w:dstrike w:val="0"/>
      <w:color w:val="0000FF"/>
      <w:u w:val="none"/>
      <w:effect w:val="none"/>
    </w:rPr>
  </w:style>
  <w:style w:type="character" w:styleId="FollowedHyperlink">
    <w:name w:val="FollowedHyperlink"/>
    <w:basedOn w:val="DefaultParagraphFont"/>
    <w:rPr>
      <w:strike w:val="0"/>
      <w:dstrike w:val="0"/>
      <w:color w:val="0000FF"/>
      <w:u w:val="none"/>
      <w:effect w:val="none"/>
    </w:rPr>
  </w:style>
  <w:style w:type="paragraph" w:customStyle="1" w:styleId="table100per">
    <w:name w:val="table100per"/>
    <w:basedOn w:val="Normal"/>
    <w:pPr>
      <w:spacing w:before="100" w:beforeAutospacing="1" w:after="100" w:afterAutospacing="1"/>
    </w:pPr>
  </w:style>
  <w:style w:type="paragraph" w:customStyle="1" w:styleId="tablegridbrdrcolorblackaw">
    <w:name w:val="tablegridbrdrcolorblack_aw"/>
    <w:basedOn w:val="Normal"/>
    <w:pPr>
      <w:pBdr>
        <w:top w:val="single" w:sz="4" w:space="1" w:color="B1B1B1"/>
        <w:left w:val="single" w:sz="4" w:space="1" w:color="B1B1B1"/>
        <w:bottom w:val="single" w:sz="4" w:space="1" w:color="B1B1B1"/>
        <w:right w:val="single" w:sz="4" w:space="1" w:color="B1B1B1"/>
      </w:pBdr>
      <w:spacing w:before="100" w:beforeAutospacing="1" w:after="100" w:afterAutospacing="1"/>
    </w:pPr>
  </w:style>
  <w:style w:type="paragraph" w:customStyle="1" w:styleId="tablenogridbrdrcolorblackaw">
    <w:name w:val="tablenogridbrdrcolorblack_aw"/>
    <w:basedOn w:val="Normal"/>
    <w:pPr>
      <w:spacing w:before="100" w:beforeAutospacing="1" w:after="100" w:afterAutospacing="1"/>
    </w:pPr>
  </w:style>
  <w:style w:type="paragraph" w:customStyle="1" w:styleId="tablebrdrcolorblackaw">
    <w:name w:val="tablebrdrcolorblack_aw"/>
    <w:basedOn w:val="Normal"/>
    <w:pPr>
      <w:pBdr>
        <w:top w:val="single" w:sz="4" w:space="1" w:color="000000"/>
        <w:left w:val="single" w:sz="4" w:space="1" w:color="000000"/>
        <w:bottom w:val="single" w:sz="4" w:space="1" w:color="000000"/>
        <w:right w:val="single" w:sz="4" w:space="1" w:color="000000"/>
      </w:pBdr>
      <w:spacing w:before="100" w:beforeAutospacing="1" w:after="100" w:afterAutospacing="1"/>
    </w:pPr>
  </w:style>
  <w:style w:type="paragraph" w:customStyle="1" w:styleId="tablebrdrblacktopsidesaw">
    <w:name w:val="tablebrdrblacktopsides_aw"/>
    <w:basedOn w:val="Normal"/>
    <w:pPr>
      <w:pBdr>
        <w:top w:val="single" w:sz="4" w:space="1" w:color="000000"/>
        <w:left w:val="single" w:sz="4" w:space="1" w:color="000000"/>
        <w:right w:val="single" w:sz="4" w:space="1" w:color="000000"/>
      </w:pBdr>
      <w:spacing w:before="100" w:beforeAutospacing="1" w:after="100" w:afterAutospacing="1"/>
    </w:pPr>
  </w:style>
  <w:style w:type="paragraph" w:customStyle="1" w:styleId="tablebrdrblacktopaw">
    <w:name w:val="tablebrdrblacktop_aw"/>
    <w:basedOn w:val="Normal"/>
    <w:pPr>
      <w:pBdr>
        <w:top w:val="single" w:sz="4" w:space="3" w:color="000000"/>
      </w:pBdr>
      <w:spacing w:before="100" w:beforeAutospacing="1" w:after="100" w:afterAutospacing="1"/>
    </w:pPr>
  </w:style>
  <w:style w:type="paragraph" w:customStyle="1" w:styleId="tablebrdrblackbottomaw">
    <w:name w:val="tablebrdrblackbottom_aw"/>
    <w:basedOn w:val="Normal"/>
    <w:pPr>
      <w:pBdr>
        <w:bottom w:val="single" w:sz="4" w:space="1" w:color="000000"/>
      </w:pBdr>
      <w:spacing w:before="100" w:beforeAutospacing="1" w:after="100" w:afterAutospacing="1"/>
    </w:pPr>
  </w:style>
  <w:style w:type="paragraph" w:customStyle="1" w:styleId="tablebrdrblackbottomsidesaw">
    <w:name w:val="tablebrdrblackbottomsides_aw"/>
    <w:basedOn w:val="Normal"/>
    <w:pPr>
      <w:pBdr>
        <w:left w:val="single" w:sz="4" w:space="1" w:color="000000"/>
        <w:bottom w:val="single" w:sz="4" w:space="1" w:color="000000"/>
        <w:right w:val="single" w:sz="4" w:space="1" w:color="000000"/>
      </w:pBdr>
      <w:spacing w:before="100" w:beforeAutospacing="1" w:after="100" w:afterAutospacing="1"/>
    </w:pPr>
  </w:style>
  <w:style w:type="paragraph" w:customStyle="1" w:styleId="tablebrdrblackbottomrightaw">
    <w:name w:val="tablebrdrblackbottomright_aw"/>
    <w:basedOn w:val="Normal"/>
    <w:pPr>
      <w:pBdr>
        <w:bottom w:val="single" w:sz="4" w:space="1" w:color="000000"/>
        <w:right w:val="single" w:sz="4" w:space="1" w:color="000000"/>
      </w:pBdr>
      <w:spacing w:before="100" w:beforeAutospacing="1" w:after="100" w:afterAutospacing="1"/>
    </w:pPr>
  </w:style>
  <w:style w:type="paragraph" w:customStyle="1" w:styleId="contenttimes90per">
    <w:name w:val="contenttimes90per"/>
    <w:basedOn w:val="Normal"/>
    <w:pPr>
      <w:spacing w:before="100" w:beforeAutospacing="1" w:after="100" w:afterAutospacing="1"/>
      <w:textAlignment w:val="top"/>
    </w:pPr>
    <w:rPr>
      <w:color w:val="000000"/>
      <w:sz w:val="22"/>
      <w:szCs w:val="22"/>
    </w:rPr>
  </w:style>
  <w:style w:type="paragraph" w:customStyle="1" w:styleId="aligncenter">
    <w:name w:val="aligncenter"/>
    <w:basedOn w:val="Normal"/>
    <w:pPr>
      <w:spacing w:before="100" w:beforeAutospacing="1" w:after="100" w:afterAutospacing="1"/>
      <w:jc w:val="center"/>
      <w:textAlignment w:val="top"/>
    </w:pPr>
  </w:style>
  <w:style w:type="paragraph" w:customStyle="1" w:styleId="contenttimesxsmall">
    <w:name w:val="contenttimesxsmall"/>
    <w:basedOn w:val="Normal"/>
    <w:pPr>
      <w:spacing w:before="100" w:beforeAutospacing="1" w:after="100" w:afterAutospacing="1" w:line="180" w:lineRule="atLeast"/>
      <w:textAlignment w:val="top"/>
    </w:pPr>
    <w:rPr>
      <w:color w:val="000000"/>
      <w:sz w:val="20"/>
      <w:szCs w:val="20"/>
    </w:rPr>
  </w:style>
  <w:style w:type="paragraph" w:customStyle="1" w:styleId="contenttimesmedium">
    <w:name w:val="contenttimesmedium"/>
    <w:basedOn w:val="Normal"/>
    <w:pPr>
      <w:spacing w:before="100" w:beforeAutospacing="1" w:after="100" w:afterAutospacing="1"/>
      <w:textAlignment w:val="center"/>
    </w:pPr>
    <w:rPr>
      <w:color w:val="000000"/>
      <w:sz w:val="27"/>
      <w:szCs w:val="27"/>
    </w:rPr>
  </w:style>
  <w:style w:type="paragraph" w:customStyle="1" w:styleId="contentverdanaxsmall">
    <w:name w:val="contentverdanaxsmall"/>
    <w:basedOn w:val="Normal"/>
    <w:pPr>
      <w:spacing w:before="100" w:beforeAutospacing="1" w:after="100" w:afterAutospacing="1" w:line="180" w:lineRule="atLeast"/>
      <w:textAlignment w:val="top"/>
    </w:pPr>
    <w:rPr>
      <w:color w:val="000000"/>
      <w:sz w:val="20"/>
      <w:szCs w:val="20"/>
    </w:rPr>
  </w:style>
  <w:style w:type="paragraph" w:customStyle="1" w:styleId="contentverdanaxxsmall">
    <w:name w:val="contentverdanaxxsmall"/>
    <w:basedOn w:val="Normal"/>
    <w:pPr>
      <w:spacing w:before="100" w:beforeAutospacing="1" w:after="100" w:afterAutospacing="1" w:line="180" w:lineRule="atLeast"/>
      <w:textAlignment w:val="top"/>
    </w:pPr>
    <w:rPr>
      <w:color w:val="000000"/>
      <w:sz w:val="15"/>
      <w:szCs w:val="15"/>
    </w:rPr>
  </w:style>
  <w:style w:type="paragraph" w:customStyle="1" w:styleId="contenttreb90per">
    <w:name w:val="contenttreb90per"/>
    <w:basedOn w:val="Normal"/>
    <w:pPr>
      <w:spacing w:before="100" w:beforeAutospacing="1" w:after="100" w:afterAutospacing="1" w:line="160" w:lineRule="atLeast"/>
    </w:pPr>
    <w:rPr>
      <w:color w:val="000000"/>
      <w:sz w:val="22"/>
      <w:szCs w:val="22"/>
    </w:rPr>
  </w:style>
  <w:style w:type="paragraph" w:customStyle="1" w:styleId="contenttreb70per">
    <w:name w:val="contenttreb70per"/>
    <w:basedOn w:val="Normal"/>
    <w:pPr>
      <w:spacing w:before="100" w:beforeAutospacing="1" w:after="100" w:afterAutospacing="1" w:line="200" w:lineRule="atLeast"/>
    </w:pPr>
    <w:rPr>
      <w:color w:val="000000"/>
      <w:sz w:val="22"/>
      <w:szCs w:val="22"/>
    </w:rPr>
  </w:style>
  <w:style w:type="paragraph" w:customStyle="1" w:styleId="contenttreb70peri">
    <w:name w:val="contenttreb70peri"/>
    <w:basedOn w:val="Normal"/>
    <w:pPr>
      <w:spacing w:before="100" w:beforeAutospacing="1" w:after="100" w:afterAutospacing="1" w:line="250" w:lineRule="atLeast"/>
    </w:pPr>
    <w:rPr>
      <w:i/>
      <w:iCs/>
      <w:color w:val="444444"/>
      <w:sz w:val="17"/>
      <w:szCs w:val="17"/>
    </w:rPr>
  </w:style>
  <w:style w:type="paragraph" w:customStyle="1" w:styleId="contentverdana75per">
    <w:name w:val="contentverdana75per"/>
    <w:basedOn w:val="Normal"/>
    <w:pPr>
      <w:spacing w:before="100" w:beforeAutospacing="1" w:after="100" w:afterAutospacing="1" w:line="180" w:lineRule="atLeast"/>
    </w:pPr>
    <w:rPr>
      <w:color w:val="000000"/>
      <w:sz w:val="18"/>
      <w:szCs w:val="18"/>
    </w:rPr>
  </w:style>
  <w:style w:type="paragraph" w:customStyle="1" w:styleId="unnamed1">
    <w:name w:val="unnamed1"/>
    <w:basedOn w:val="Normal"/>
    <w:pPr>
      <w:spacing w:before="100" w:beforeAutospacing="1" w:after="100" w:afterAutospacing="1"/>
    </w:pPr>
    <w:rPr>
      <w:sz w:val="11"/>
      <w:szCs w:val="11"/>
    </w:rPr>
  </w:style>
  <w:style w:type="paragraph" w:customStyle="1" w:styleId="unnamed2">
    <w:name w:val="unnamed2"/>
    <w:basedOn w:val="Normal"/>
    <w:pPr>
      <w:spacing w:before="100" w:beforeAutospacing="1" w:after="100" w:afterAutospacing="1"/>
    </w:pPr>
    <w:rPr>
      <w:sz w:val="17"/>
      <w:szCs w:val="17"/>
    </w:rPr>
  </w:style>
  <w:style w:type="paragraph" w:customStyle="1" w:styleId="contentverdana70per">
    <w:name w:val="contentverdana70per"/>
    <w:basedOn w:val="Normal"/>
    <w:pPr>
      <w:spacing w:before="100" w:beforeAutospacing="1" w:after="100" w:afterAutospacing="1"/>
      <w:textAlignment w:val="top"/>
    </w:pPr>
    <w:rPr>
      <w:color w:val="000000"/>
      <w:sz w:val="17"/>
      <w:szCs w:val="17"/>
    </w:rPr>
  </w:style>
  <w:style w:type="paragraph" w:customStyle="1" w:styleId="bg-greycolorlevel1">
    <w:name w:val="bg-greycolorlevel1"/>
    <w:basedOn w:val="Normal"/>
    <w:pPr>
      <w:shd w:val="clear" w:color="auto" w:fill="E2E2E2"/>
      <w:spacing w:before="100" w:beforeAutospacing="1" w:after="100" w:afterAutospacing="1"/>
    </w:pPr>
  </w:style>
  <w:style w:type="paragraph" w:customStyle="1" w:styleId="bg-greycolorlevel2">
    <w:name w:val="bg-greycolorlevel2"/>
    <w:basedOn w:val="Normal"/>
    <w:pPr>
      <w:shd w:val="clear" w:color="auto" w:fill="F1F1F1"/>
      <w:spacing w:before="100" w:beforeAutospacing="1" w:after="100" w:afterAutospacing="1"/>
    </w:pPr>
  </w:style>
  <w:style w:type="paragraph" w:customStyle="1" w:styleId="bg-greycolorlevel3">
    <w:name w:val="bg-greycolorlevel3"/>
    <w:basedOn w:val="Normal"/>
    <w:pPr>
      <w:shd w:val="clear" w:color="auto" w:fill="F8F8F8"/>
      <w:spacing w:before="100" w:beforeAutospacing="1" w:after="100" w:afterAutospacing="1"/>
    </w:pPr>
  </w:style>
  <w:style w:type="paragraph" w:customStyle="1" w:styleId="tableheaderlevel1">
    <w:name w:val="tableheaderlevel1"/>
    <w:basedOn w:val="Normal"/>
    <w:pPr>
      <w:shd w:val="clear" w:color="auto" w:fill="CDCCCC"/>
      <w:spacing w:before="100" w:beforeAutospacing="1" w:after="100" w:afterAutospacing="1"/>
    </w:pPr>
    <w:rPr>
      <w:color w:val="000000"/>
    </w:rPr>
  </w:style>
  <w:style w:type="paragraph" w:customStyle="1" w:styleId="contentverdana70perbold">
    <w:name w:val="contentverdana70perbold"/>
    <w:basedOn w:val="Normal"/>
    <w:pPr>
      <w:spacing w:before="100" w:beforeAutospacing="1" w:after="100" w:afterAutospacing="1"/>
      <w:textAlignment w:val="top"/>
    </w:pPr>
    <w:rPr>
      <w:b/>
      <w:bCs/>
      <w:color w:val="333333"/>
      <w:sz w:val="17"/>
      <w:szCs w:val="17"/>
    </w:rPr>
  </w:style>
  <w:style w:type="paragraph" w:customStyle="1" w:styleId="contentverdana100per">
    <w:name w:val="contentverdana100per"/>
    <w:basedOn w:val="Normal"/>
    <w:pPr>
      <w:spacing w:before="100" w:beforeAutospacing="1" w:after="100" w:afterAutospacing="1"/>
      <w:textAlignment w:val="top"/>
    </w:pPr>
    <w:rPr>
      <w:color w:val="000000"/>
    </w:rPr>
  </w:style>
  <w:style w:type="paragraph" w:customStyle="1" w:styleId="tableheaderlevel3">
    <w:name w:val="tableheaderlevel3"/>
    <w:basedOn w:val="Normal"/>
    <w:pPr>
      <w:shd w:val="clear" w:color="auto" w:fill="F1F1F1"/>
      <w:spacing w:before="100" w:beforeAutospacing="1" w:after="100" w:afterAutospacing="1"/>
    </w:pPr>
    <w:rPr>
      <w:b/>
      <w:bCs/>
      <w:color w:val="606060"/>
      <w:sz w:val="22"/>
      <w:szCs w:val="22"/>
    </w:rPr>
  </w:style>
  <w:style w:type="paragraph" w:customStyle="1" w:styleId="tableheaderlevel2">
    <w:name w:val="tableheaderlevel2"/>
    <w:basedOn w:val="Normal"/>
    <w:pPr>
      <w:shd w:val="clear" w:color="auto" w:fill="E2E2E2"/>
      <w:spacing w:before="100" w:beforeAutospacing="1" w:after="100" w:afterAutospacing="1"/>
    </w:pPr>
    <w:rPr>
      <w:color w:val="000000"/>
    </w:rPr>
  </w:style>
  <w:style w:type="paragraph" w:customStyle="1" w:styleId="contentverdanasuper">
    <w:name w:val="contentverdanasuper"/>
    <w:basedOn w:val="Normal"/>
    <w:pPr>
      <w:spacing w:before="100" w:beforeAutospacing="1" w:after="100" w:afterAutospacing="1"/>
    </w:pPr>
    <w:rPr>
      <w:color w:val="000000"/>
      <w:sz w:val="14"/>
      <w:szCs w:val="14"/>
      <w:vertAlign w:val="superscript"/>
    </w:rPr>
  </w:style>
  <w:style w:type="paragraph" w:customStyle="1" w:styleId="contentverdanah1super">
    <w:name w:val="contentverdanah1super"/>
    <w:basedOn w:val="Normal"/>
    <w:pPr>
      <w:spacing w:before="100" w:beforeAutospacing="1" w:after="100" w:afterAutospacing="1"/>
    </w:pPr>
    <w:rPr>
      <w:color w:val="000000"/>
      <w:sz w:val="12"/>
      <w:szCs w:val="12"/>
      <w:vertAlign w:val="superscript"/>
    </w:rPr>
  </w:style>
  <w:style w:type="paragraph" w:customStyle="1" w:styleId="tablebrdrcolorgreyaw">
    <w:name w:val="tablebrdrcolorgrey_aw"/>
    <w:basedOn w:val="Normal"/>
    <w:pPr>
      <w:pBdr>
        <w:top w:val="single" w:sz="4" w:space="2" w:color="B1B1B1"/>
        <w:left w:val="single" w:sz="4" w:space="2" w:color="B1B1B1"/>
        <w:bottom w:val="single" w:sz="4" w:space="2" w:color="B1B1B1"/>
        <w:right w:val="single" w:sz="4" w:space="2" w:color="B1B1B1"/>
      </w:pBdr>
      <w:spacing w:before="100" w:beforeAutospacing="1" w:after="100" w:afterAutospacing="1"/>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customStyle="1" w:styleId="contenttreb70per1">
    <w:name w:val="contenttreb70per1"/>
    <w:basedOn w:val="DefaultParagraphFont"/>
    <w:rPr>
      <w:rFonts w:ascii="Times New Roman" w:hAnsi="Times New Roman" w:cs="Times New Roman" w:hint="default"/>
      <w:strike w:val="0"/>
      <w:dstrike w:val="0"/>
      <w:color w:val="000000"/>
      <w:sz w:val="22"/>
      <w:szCs w:val="22"/>
      <w:u w:val="none"/>
      <w:effect w:val="none"/>
    </w:rPr>
  </w:style>
  <w:style w:type="character" w:styleId="Emphasis">
    <w:name w:val="Emphasis"/>
    <w:basedOn w:val="DefaultParagraphFont"/>
    <w:uiPriority w:val="20"/>
    <w:qFormat/>
    <w:rPr>
      <w:i/>
      <w:iCs/>
    </w:rPr>
  </w:style>
  <w:style w:type="paragraph" w:customStyle="1" w:styleId="outline">
    <w:name w:val="outline"/>
    <w:basedOn w:val="Normal"/>
    <w:pPr>
      <w:spacing w:before="100" w:beforeAutospacing="1" w:after="100" w:afterAutospacing="1"/>
    </w:pPr>
  </w:style>
  <w:style w:type="character" w:customStyle="1" w:styleId="tableheaderlevel21">
    <w:name w:val="tableheaderlevel21"/>
    <w:basedOn w:val="DefaultParagraphFont"/>
  </w:style>
  <w:style w:type="paragraph" w:customStyle="1" w:styleId="chapternumber">
    <w:name w:val="chapternumber"/>
    <w:basedOn w:val="Normal"/>
    <w:pPr>
      <w:spacing w:before="100" w:beforeAutospacing="1" w:after="100" w:afterAutospacing="1"/>
    </w:pPr>
  </w:style>
  <w:style w:type="paragraph" w:styleId="FootnoteText">
    <w:name w:val="footnote text"/>
    <w:aliases w:val="ft,FA Fu Car Car Car,FA Fu Car Car Car Car Car Car Car Car,FA Fu Car Car Car Car Car Car,Texto nota pie 2,+ 10 pt Car,+ 10 pt,Nota a pie/Bibliog,single space,fn,FOOTNOTES,Footnote Text Char Char Char Char Char Char,Char,Footno"/>
    <w:basedOn w:val="Normal"/>
    <w:link w:val="FootnoteTextChar"/>
    <w:uiPriority w:val="99"/>
    <w:pPr>
      <w:spacing w:before="100" w:beforeAutospacing="1" w:after="100" w:afterAutospacing="1"/>
    </w:pPr>
  </w:style>
  <w:style w:type="character" w:customStyle="1" w:styleId="tableheaderlevel22">
    <w:name w:val="tableheaderlevel22"/>
    <w:basedOn w:val="DefaultParagraphFont"/>
    <w:rPr>
      <w:rFonts w:ascii="Times New Roman" w:hAnsi="Times New Roman" w:cs="Times New Roman" w:hint="default"/>
      <w:color w:val="000000"/>
      <w:shd w:val="clear" w:color="auto" w:fill="E2E2E2"/>
    </w:rPr>
  </w:style>
  <w:style w:type="paragraph" w:styleId="z-BottomofForm">
    <w:name w:val="HTML Bottom of Form"/>
    <w:basedOn w:val="Normal"/>
    <w:next w:val="Normal"/>
    <w:link w:val="z-BottomofFormChar"/>
    <w:hidden/>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DB088C"/>
    <w:pPr>
      <w:tabs>
        <w:tab w:val="center" w:pos="4320"/>
        <w:tab w:val="right" w:pos="8640"/>
      </w:tabs>
    </w:pPr>
  </w:style>
  <w:style w:type="paragraph" w:styleId="TOC2">
    <w:name w:val="toc 2"/>
    <w:basedOn w:val="Normal"/>
    <w:next w:val="Normal"/>
    <w:autoRedefine/>
    <w:uiPriority w:val="39"/>
    <w:rsid w:val="00E7533E"/>
    <w:pPr>
      <w:tabs>
        <w:tab w:val="right" w:leader="dot" w:pos="8630"/>
      </w:tabs>
      <w:ind w:left="245"/>
    </w:pPr>
  </w:style>
  <w:style w:type="table" w:styleId="TableGrid">
    <w:name w:val="Table Grid"/>
    <w:basedOn w:val="TableNormal"/>
    <w:rsid w:val="00E0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1">
    <w:name w:val="tx1"/>
    <w:basedOn w:val="DefaultParagraphFont"/>
    <w:rsid w:val="0049537D"/>
    <w:rPr>
      <w:b/>
      <w:bCs/>
    </w:rPr>
  </w:style>
  <w:style w:type="paragraph" w:styleId="HTMLPreformatted">
    <w:name w:val="HTML Preformatted"/>
    <w:basedOn w:val="Normal"/>
    <w:link w:val="HTMLPreformattedChar"/>
    <w:uiPriority w:val="99"/>
    <w:rsid w:val="0093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Courier New"/>
      <w:szCs w:val="20"/>
      <w:lang w:eastAsia="en-US"/>
    </w:rPr>
  </w:style>
  <w:style w:type="paragraph" w:styleId="ListParagraph">
    <w:name w:val="List Paragraph"/>
    <w:basedOn w:val="Normal"/>
    <w:link w:val="ListParagraphChar"/>
    <w:uiPriority w:val="34"/>
    <w:qFormat/>
    <w:rsid w:val="00C5035E"/>
    <w:pPr>
      <w:ind w:left="720"/>
      <w:contextualSpacing/>
    </w:pPr>
  </w:style>
  <w:style w:type="character" w:customStyle="1" w:styleId="HTMLPreformattedChar">
    <w:name w:val="HTML Preformatted Char"/>
    <w:basedOn w:val="DefaultParagraphFont"/>
    <w:link w:val="HTMLPreformatted"/>
    <w:uiPriority w:val="99"/>
    <w:rsid w:val="009371AA"/>
    <w:rPr>
      <w:rFonts w:eastAsia="Times New Roman" w:cs="Courier New"/>
      <w:sz w:val="24"/>
    </w:rPr>
  </w:style>
  <w:style w:type="character" w:styleId="CommentReference">
    <w:name w:val="annotation reference"/>
    <w:basedOn w:val="DefaultParagraphFont"/>
    <w:rsid w:val="009141D4"/>
    <w:rPr>
      <w:sz w:val="16"/>
      <w:szCs w:val="16"/>
    </w:rPr>
  </w:style>
  <w:style w:type="paragraph" w:styleId="CommentText">
    <w:name w:val="annotation text"/>
    <w:basedOn w:val="Normal"/>
    <w:link w:val="CommentTextChar"/>
    <w:uiPriority w:val="99"/>
    <w:rsid w:val="009141D4"/>
    <w:rPr>
      <w:sz w:val="20"/>
      <w:szCs w:val="20"/>
    </w:rPr>
  </w:style>
  <w:style w:type="character" w:customStyle="1" w:styleId="CommentTextChar">
    <w:name w:val="Comment Text Char"/>
    <w:basedOn w:val="DefaultParagraphFont"/>
    <w:link w:val="CommentText"/>
    <w:uiPriority w:val="99"/>
    <w:rsid w:val="009141D4"/>
    <w:rPr>
      <w:lang w:eastAsia="ja-JP"/>
    </w:rPr>
  </w:style>
  <w:style w:type="paragraph" w:styleId="CommentSubject">
    <w:name w:val="annotation subject"/>
    <w:basedOn w:val="CommentText"/>
    <w:next w:val="CommentText"/>
    <w:link w:val="CommentSubjectChar"/>
    <w:uiPriority w:val="99"/>
    <w:rsid w:val="009141D4"/>
    <w:rPr>
      <w:b/>
      <w:bCs/>
    </w:rPr>
  </w:style>
  <w:style w:type="character" w:customStyle="1" w:styleId="CommentSubjectChar">
    <w:name w:val="Comment Subject Char"/>
    <w:basedOn w:val="CommentTextChar"/>
    <w:link w:val="CommentSubject"/>
    <w:uiPriority w:val="99"/>
    <w:rsid w:val="009141D4"/>
    <w:rPr>
      <w:b/>
      <w:bCs/>
      <w:lang w:eastAsia="ja-JP"/>
    </w:rPr>
  </w:style>
  <w:style w:type="paragraph" w:styleId="BalloonText">
    <w:name w:val="Balloon Text"/>
    <w:basedOn w:val="Normal"/>
    <w:link w:val="BalloonTextChar"/>
    <w:uiPriority w:val="99"/>
    <w:rsid w:val="009141D4"/>
    <w:rPr>
      <w:rFonts w:ascii="Tahoma" w:hAnsi="Tahoma" w:cs="Tahoma"/>
      <w:sz w:val="16"/>
      <w:szCs w:val="16"/>
    </w:rPr>
  </w:style>
  <w:style w:type="character" w:customStyle="1" w:styleId="BalloonTextChar">
    <w:name w:val="Balloon Text Char"/>
    <w:basedOn w:val="DefaultParagraphFont"/>
    <w:link w:val="BalloonText"/>
    <w:uiPriority w:val="99"/>
    <w:rsid w:val="009141D4"/>
    <w:rPr>
      <w:rFonts w:ascii="Tahoma" w:hAnsi="Tahoma" w:cs="Tahoma"/>
      <w:sz w:val="16"/>
      <w:szCs w:val="16"/>
      <w:lang w:eastAsia="ja-JP"/>
    </w:rPr>
  </w:style>
  <w:style w:type="character" w:customStyle="1" w:styleId="yshortcuts1">
    <w:name w:val="yshortcuts1"/>
    <w:basedOn w:val="DefaultParagraphFont"/>
    <w:rsid w:val="00E43B47"/>
    <w:rPr>
      <w:color w:val="366388"/>
    </w:rPr>
  </w:style>
  <w:style w:type="character" w:styleId="FootnoteReference">
    <w:name w:val="footnote reference"/>
    <w:aliases w:val="16 Point,Superscript 6 Point,ftref"/>
    <w:basedOn w:val="DefaultParagraphFont"/>
    <w:uiPriority w:val="99"/>
    <w:rsid w:val="00AF01D2"/>
    <w:rPr>
      <w:vertAlign w:val="superscript"/>
    </w:rPr>
  </w:style>
  <w:style w:type="paragraph" w:styleId="NoSpacing">
    <w:name w:val="No Spacing"/>
    <w:uiPriority w:val="1"/>
    <w:qFormat/>
    <w:rsid w:val="003C3C02"/>
    <w:rPr>
      <w:rFonts w:asciiTheme="minorHAnsi" w:eastAsiaTheme="minorEastAsia" w:hAnsiTheme="minorHAnsi" w:cstheme="minorBidi"/>
      <w:sz w:val="22"/>
      <w:szCs w:val="22"/>
    </w:rPr>
  </w:style>
  <w:style w:type="character" w:customStyle="1" w:styleId="FootnoteTextChar">
    <w:name w:val="Footnote Text Char"/>
    <w:aliases w:val="ft Char,FA Fu Car Car Car Char,FA Fu Car Car Car Car Car Car Car Car Char,FA Fu Car Car Car Car Car Car Char,Texto nota pie 2 Char,+ 10 pt Car Char,+ 10 pt Char,Nota a pie/Bibliog Char,single space Char,fn Char,FOOTNOTES Char"/>
    <w:basedOn w:val="DefaultParagraphFont"/>
    <w:link w:val="FootnoteText"/>
    <w:uiPriority w:val="99"/>
    <w:rsid w:val="003C3C02"/>
    <w:rPr>
      <w:sz w:val="24"/>
      <w:szCs w:val="24"/>
      <w:lang w:eastAsia="ja-JP"/>
    </w:rPr>
  </w:style>
  <w:style w:type="paragraph" w:styleId="Revision">
    <w:name w:val="Revision"/>
    <w:hidden/>
    <w:uiPriority w:val="99"/>
    <w:semiHidden/>
    <w:rsid w:val="002242B1"/>
    <w:rPr>
      <w:sz w:val="24"/>
      <w:szCs w:val="24"/>
      <w:lang w:eastAsia="ja-JP"/>
    </w:rPr>
  </w:style>
  <w:style w:type="paragraph" w:customStyle="1" w:styleId="Default">
    <w:name w:val="Default"/>
    <w:rsid w:val="00DC1879"/>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uiPriority w:val="59"/>
    <w:rsid w:val="00631E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3237D"/>
  </w:style>
  <w:style w:type="character" w:customStyle="1" w:styleId="m1">
    <w:name w:val="m1"/>
    <w:basedOn w:val="DefaultParagraphFont"/>
    <w:rsid w:val="0063237D"/>
    <w:rPr>
      <w:color w:val="0000FF"/>
    </w:rPr>
  </w:style>
  <w:style w:type="character" w:customStyle="1" w:styleId="t1">
    <w:name w:val="t1"/>
    <w:basedOn w:val="DefaultParagraphFont"/>
    <w:rsid w:val="0063237D"/>
    <w:rPr>
      <w:color w:val="990000"/>
    </w:rPr>
  </w:style>
  <w:style w:type="character" w:customStyle="1" w:styleId="b1">
    <w:name w:val="b1"/>
    <w:basedOn w:val="DefaultParagraphFont"/>
    <w:rsid w:val="0063237D"/>
    <w:rPr>
      <w:rFonts w:ascii="Courier New" w:hAnsi="Courier New" w:cs="Courier New" w:hint="default"/>
      <w:b/>
      <w:bCs/>
      <w:strike w:val="0"/>
      <w:dstrike w:val="0"/>
      <w:color w:val="FF0000"/>
      <w:u w:val="none"/>
      <w:effect w:val="none"/>
    </w:rPr>
  </w:style>
  <w:style w:type="paragraph" w:customStyle="1" w:styleId="ICRTOC">
    <w:name w:val="ICR TOC"/>
    <w:next w:val="Normal"/>
    <w:rsid w:val="0063237D"/>
    <w:pPr>
      <w:keepNext/>
    </w:pPr>
    <w:rPr>
      <w:rFonts w:eastAsia="Times New Roman"/>
      <w:b/>
      <w:bCs/>
      <w:color w:val="000000"/>
      <w:sz w:val="25"/>
      <w:szCs w:val="25"/>
    </w:rPr>
  </w:style>
  <w:style w:type="paragraph" w:styleId="TOC1">
    <w:name w:val="toc 1"/>
    <w:basedOn w:val="Normal"/>
    <w:next w:val="Normal"/>
    <w:autoRedefine/>
    <w:rsid w:val="0063237D"/>
    <w:rPr>
      <w:rFonts w:eastAsia="Times New Roman"/>
      <w:lang w:eastAsia="en-US"/>
    </w:rPr>
  </w:style>
  <w:style w:type="character" w:customStyle="1" w:styleId="FooterChar">
    <w:name w:val="Footer Char"/>
    <w:basedOn w:val="DefaultParagraphFont"/>
    <w:link w:val="Footer"/>
    <w:uiPriority w:val="99"/>
    <w:rsid w:val="0063237D"/>
    <w:rPr>
      <w:sz w:val="24"/>
      <w:szCs w:val="24"/>
      <w:lang w:eastAsia="ja-JP"/>
    </w:rPr>
  </w:style>
  <w:style w:type="paragraph" w:styleId="BodyTextIndent">
    <w:name w:val="Body Text Indent"/>
    <w:basedOn w:val="Normal"/>
    <w:link w:val="BodyTextIndentChar"/>
    <w:rsid w:val="008F491A"/>
    <w:pPr>
      <w:spacing w:after="120"/>
      <w:ind w:left="360"/>
    </w:pPr>
  </w:style>
  <w:style w:type="character" w:customStyle="1" w:styleId="BodyTextIndentChar">
    <w:name w:val="Body Text Indent Char"/>
    <w:basedOn w:val="DefaultParagraphFont"/>
    <w:link w:val="BodyTextIndent"/>
    <w:rsid w:val="008F491A"/>
    <w:rPr>
      <w:sz w:val="24"/>
      <w:szCs w:val="24"/>
      <w:lang w:eastAsia="ja-JP"/>
    </w:rPr>
  </w:style>
  <w:style w:type="paragraph" w:styleId="BodyTextFirstIndent2">
    <w:name w:val="Body Text First Indent 2"/>
    <w:basedOn w:val="BodyTextIndent"/>
    <w:link w:val="BodyTextFirstIndent2Char"/>
    <w:uiPriority w:val="99"/>
    <w:unhideWhenUsed/>
    <w:rsid w:val="008F491A"/>
    <w:pPr>
      <w:spacing w:after="200" w:line="276" w:lineRule="auto"/>
      <w:ind w:firstLine="360"/>
    </w:pPr>
    <w:rPr>
      <w:rFonts w:ascii="Calibri" w:eastAsia="Calibri" w:hAnsi="Calibri"/>
      <w:sz w:val="22"/>
      <w:szCs w:val="22"/>
      <w:lang w:val="es-GT" w:eastAsia="en-US"/>
    </w:rPr>
  </w:style>
  <w:style w:type="character" w:customStyle="1" w:styleId="BodyTextFirstIndent2Char">
    <w:name w:val="Body Text First Indent 2 Char"/>
    <w:basedOn w:val="BodyTextIndentChar"/>
    <w:link w:val="BodyTextFirstIndent2"/>
    <w:uiPriority w:val="99"/>
    <w:rsid w:val="008F491A"/>
    <w:rPr>
      <w:rFonts w:ascii="Calibri" w:eastAsia="Calibri" w:hAnsi="Calibri"/>
      <w:sz w:val="22"/>
      <w:szCs w:val="22"/>
      <w:lang w:val="es-GT" w:eastAsia="ja-JP"/>
    </w:rPr>
  </w:style>
  <w:style w:type="character" w:customStyle="1" w:styleId="ListParagraphChar">
    <w:name w:val="List Paragraph Char"/>
    <w:link w:val="ListParagraph"/>
    <w:uiPriority w:val="34"/>
    <w:rsid w:val="008F491A"/>
    <w:rPr>
      <w:sz w:val="24"/>
      <w:szCs w:val="24"/>
      <w:lang w:eastAsia="ja-JP"/>
    </w:rPr>
  </w:style>
  <w:style w:type="character" w:customStyle="1" w:styleId="z-BottomofFormChar">
    <w:name w:val="z-Bottom of Form Char"/>
    <w:basedOn w:val="DefaultParagraphFont"/>
    <w:link w:val="z-BottomofForm"/>
    <w:rsid w:val="0023595D"/>
    <w:rPr>
      <w:rFonts w:ascii="Arial" w:hAnsi="Arial" w:cs="Arial"/>
      <w:vanish/>
      <w:sz w:val="16"/>
      <w:szCs w:val="16"/>
      <w:lang w:eastAsia="ja-JP"/>
    </w:rPr>
  </w:style>
  <w:style w:type="table" w:styleId="LightList-Accent5">
    <w:name w:val="Light List Accent 5"/>
    <w:basedOn w:val="TableNormal"/>
    <w:uiPriority w:val="61"/>
    <w:rsid w:val="00AB02DF"/>
    <w:rPr>
      <w:rFonts w:asciiTheme="minorHAnsi" w:eastAsiaTheme="minorHAnsi" w:hAnsiTheme="minorHAnsi" w:cstheme="minorBidi"/>
      <w:sz w:val="22"/>
      <w:szCs w:val="22"/>
      <w:lang w:val="es-A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aliases w:val="normal Char"/>
    <w:basedOn w:val="DefaultParagraphFont"/>
    <w:link w:val="Heading1"/>
    <w:uiPriority w:val="9"/>
    <w:rsid w:val="00AF7DEE"/>
    <w:rPr>
      <w:b/>
      <w:bCs/>
      <w:color w:val="000000"/>
      <w:kern w:val="36"/>
      <w:sz w:val="31"/>
      <w:szCs w:val="31"/>
      <w:lang w:eastAsia="ja-JP"/>
    </w:rPr>
  </w:style>
  <w:style w:type="character" w:customStyle="1" w:styleId="Heading5Char">
    <w:name w:val="Heading 5 Char"/>
    <w:basedOn w:val="DefaultParagraphFont"/>
    <w:link w:val="Heading5"/>
    <w:uiPriority w:val="9"/>
    <w:semiHidden/>
    <w:rsid w:val="00E4573C"/>
    <w:rPr>
      <w:rFonts w:ascii="Calibri" w:eastAsia="Times New Roman" w:hAnsi="Calibri"/>
      <w:b/>
      <w:bCs/>
      <w:i/>
      <w:iCs/>
      <w:sz w:val="24"/>
      <w:szCs w:val="24"/>
      <w:lang w:val="es-ES" w:bidi="en-US"/>
    </w:rPr>
  </w:style>
  <w:style w:type="character" w:customStyle="1" w:styleId="Heading6Char">
    <w:name w:val="Heading 6 Char"/>
    <w:basedOn w:val="DefaultParagraphFont"/>
    <w:link w:val="Heading6"/>
    <w:uiPriority w:val="9"/>
    <w:semiHidden/>
    <w:rsid w:val="00E4573C"/>
    <w:rPr>
      <w:rFonts w:ascii="Calibri" w:eastAsia="Times New Roman" w:hAnsi="Calibri"/>
      <w:b/>
      <w:bCs/>
      <w:i/>
      <w:iCs/>
      <w:sz w:val="24"/>
      <w:szCs w:val="24"/>
      <w:lang w:val="es-ES" w:bidi="en-US"/>
    </w:rPr>
  </w:style>
  <w:style w:type="character" w:customStyle="1" w:styleId="Heading7Char">
    <w:name w:val="Heading 7 Char"/>
    <w:basedOn w:val="DefaultParagraphFont"/>
    <w:link w:val="Heading7"/>
    <w:uiPriority w:val="9"/>
    <w:semiHidden/>
    <w:rsid w:val="00E4573C"/>
    <w:rPr>
      <w:rFonts w:ascii="Calibri" w:eastAsia="Times New Roman" w:hAnsi="Calibri"/>
      <w:b/>
      <w:bCs/>
      <w:i/>
      <w:iCs/>
      <w:lang w:val="es-ES" w:bidi="en-US"/>
    </w:rPr>
  </w:style>
  <w:style w:type="character" w:customStyle="1" w:styleId="Heading8Char">
    <w:name w:val="Heading 8 Char"/>
    <w:basedOn w:val="DefaultParagraphFont"/>
    <w:link w:val="Heading8"/>
    <w:uiPriority w:val="9"/>
    <w:semiHidden/>
    <w:rsid w:val="00E4573C"/>
    <w:rPr>
      <w:rFonts w:ascii="Calibri" w:eastAsia="Times New Roman" w:hAnsi="Calibri"/>
      <w:b/>
      <w:bCs/>
      <w:i/>
      <w:iCs/>
      <w:sz w:val="18"/>
      <w:szCs w:val="18"/>
      <w:lang w:val="es-ES" w:bidi="en-US"/>
    </w:rPr>
  </w:style>
  <w:style w:type="character" w:customStyle="1" w:styleId="Heading9Char">
    <w:name w:val="Heading 9 Char"/>
    <w:basedOn w:val="DefaultParagraphFont"/>
    <w:link w:val="Heading9"/>
    <w:uiPriority w:val="9"/>
    <w:semiHidden/>
    <w:rsid w:val="00E4573C"/>
    <w:rPr>
      <w:rFonts w:ascii="Calibri" w:eastAsia="Times New Roman" w:hAnsi="Calibri"/>
      <w:i/>
      <w:iCs/>
      <w:sz w:val="18"/>
      <w:szCs w:val="18"/>
      <w:lang w:val="es-ES" w:bidi="en-US"/>
    </w:rPr>
  </w:style>
  <w:style w:type="paragraph" w:customStyle="1" w:styleId="PDSHeading2">
    <w:name w:val="PDS Heading 2"/>
    <w:next w:val="Normal"/>
    <w:rsid w:val="00E4573C"/>
    <w:pPr>
      <w:keepNext/>
      <w:numPr>
        <w:ilvl w:val="1"/>
        <w:numId w:val="8"/>
      </w:numPr>
    </w:pPr>
    <w:rPr>
      <w:rFonts w:eastAsia="Times New Roman"/>
      <w:b/>
      <w:sz w:val="24"/>
    </w:rPr>
  </w:style>
  <w:style w:type="paragraph" w:customStyle="1" w:styleId="PDSHeading1">
    <w:name w:val="PDS Heading 1"/>
    <w:next w:val="PDSHeading2"/>
    <w:rsid w:val="00E4573C"/>
    <w:pPr>
      <w:keepNext/>
      <w:numPr>
        <w:numId w:val="8"/>
      </w:numPr>
      <w:outlineLvl w:val="0"/>
    </w:pPr>
    <w:rPr>
      <w:rFonts w:eastAsia="Times New Roman"/>
      <w:b/>
      <w:caps/>
      <w:sz w:val="24"/>
    </w:rPr>
  </w:style>
  <w:style w:type="character" w:customStyle="1" w:styleId="Heading2Char">
    <w:name w:val="Heading 2 Char"/>
    <w:link w:val="Heading2"/>
    <w:rsid w:val="00E4573C"/>
    <w:rPr>
      <w:b/>
      <w:bCs/>
      <w:color w:val="000000"/>
      <w:sz w:val="25"/>
      <w:szCs w:val="25"/>
      <w:lang w:eastAsia="ja-JP"/>
    </w:rPr>
  </w:style>
  <w:style w:type="character" w:customStyle="1" w:styleId="Heading3Char">
    <w:name w:val="Heading 3 Char"/>
    <w:link w:val="Heading3"/>
    <w:uiPriority w:val="9"/>
    <w:rsid w:val="00E4573C"/>
    <w:rPr>
      <w:b/>
      <w:bCs/>
      <w:color w:val="000000"/>
      <w:sz w:val="22"/>
      <w:szCs w:val="22"/>
      <w:lang w:eastAsia="ja-JP"/>
    </w:rPr>
  </w:style>
  <w:style w:type="character" w:customStyle="1" w:styleId="Heading4Char">
    <w:name w:val="Heading 4 Char"/>
    <w:link w:val="Heading4"/>
    <w:uiPriority w:val="9"/>
    <w:rsid w:val="00E4573C"/>
    <w:rPr>
      <w:b/>
      <w:bCs/>
      <w:color w:val="000000"/>
      <w:sz w:val="17"/>
      <w:szCs w:val="17"/>
      <w:lang w:eastAsia="ja-JP"/>
    </w:rPr>
  </w:style>
  <w:style w:type="character" w:customStyle="1" w:styleId="HeaderChar">
    <w:name w:val="Header Char"/>
    <w:basedOn w:val="DefaultParagraphFont"/>
    <w:link w:val="Header"/>
    <w:uiPriority w:val="99"/>
    <w:rsid w:val="00E4573C"/>
    <w:rPr>
      <w:sz w:val="24"/>
      <w:szCs w:val="24"/>
      <w:lang w:eastAsia="ja-JP"/>
    </w:rPr>
  </w:style>
  <w:style w:type="character" w:customStyle="1" w:styleId="edpnoticiacontenido">
    <w:name w:val="edpnoticiacontenido"/>
    <w:basedOn w:val="DefaultParagraphFont"/>
    <w:rsid w:val="00E4573C"/>
  </w:style>
  <w:style w:type="paragraph" w:customStyle="1" w:styleId="Pa4">
    <w:name w:val="Pa4"/>
    <w:basedOn w:val="Default"/>
    <w:next w:val="Default"/>
    <w:uiPriority w:val="99"/>
    <w:rsid w:val="00E4573C"/>
    <w:pPr>
      <w:spacing w:line="241" w:lineRule="atLeast"/>
    </w:pPr>
    <w:rPr>
      <w:rFonts w:ascii="Myriad Pro" w:eastAsia="Calibri" w:hAnsi="Myriad Pro" w:cs="Times New Roman"/>
      <w:color w:val="auto"/>
      <w:lang w:val="es-AR"/>
    </w:rPr>
  </w:style>
  <w:style w:type="character" w:customStyle="1" w:styleId="A4">
    <w:name w:val="A4"/>
    <w:uiPriority w:val="99"/>
    <w:rsid w:val="00E4573C"/>
    <w:rPr>
      <w:rFonts w:cs="Myriad Pro"/>
      <w:color w:val="000000"/>
      <w:sz w:val="22"/>
      <w:szCs w:val="22"/>
    </w:rPr>
  </w:style>
  <w:style w:type="paragraph" w:customStyle="1" w:styleId="SectionVIHeader">
    <w:name w:val="Section VI. Header"/>
    <w:basedOn w:val="Normal"/>
    <w:uiPriority w:val="99"/>
    <w:rsid w:val="00E4573C"/>
    <w:pPr>
      <w:spacing w:before="120" w:after="240"/>
      <w:jc w:val="center"/>
    </w:pPr>
    <w:rPr>
      <w:rFonts w:eastAsia="Times New Roman"/>
      <w:b/>
      <w:bCs/>
      <w:sz w:val="36"/>
      <w:szCs w:val="36"/>
      <w:lang w:eastAsia="en-US"/>
    </w:rPr>
  </w:style>
  <w:style w:type="paragraph" w:customStyle="1" w:styleId="BodyText21">
    <w:name w:val="Body Text 21"/>
    <w:basedOn w:val="Normal"/>
    <w:uiPriority w:val="99"/>
    <w:rsid w:val="00E4573C"/>
    <w:pPr>
      <w:jc w:val="both"/>
    </w:pPr>
    <w:rPr>
      <w:rFonts w:eastAsia="Batang"/>
      <w:lang w:val="es-ES" w:eastAsia="es-ES"/>
    </w:rPr>
  </w:style>
  <w:style w:type="character" w:customStyle="1" w:styleId="apple-style-span">
    <w:name w:val="apple-style-span"/>
    <w:basedOn w:val="DefaultParagraphFont"/>
    <w:rsid w:val="00E4573C"/>
  </w:style>
  <w:style w:type="paragraph" w:styleId="Subtitle">
    <w:name w:val="Subtitle"/>
    <w:basedOn w:val="Normal"/>
    <w:next w:val="Normal"/>
    <w:link w:val="SubtitleChar"/>
    <w:uiPriority w:val="11"/>
    <w:qFormat/>
    <w:rsid w:val="00E4573C"/>
    <w:pPr>
      <w:numPr>
        <w:ilvl w:val="1"/>
      </w:numPr>
    </w:pPr>
    <w:rPr>
      <w:rFonts w:ascii="Calibri" w:eastAsia="Times New Roman" w:hAnsi="Calibri"/>
      <w:b/>
      <w:sz w:val="20"/>
      <w:szCs w:val="20"/>
      <w:lang w:val="es-AR" w:eastAsia="en-US"/>
    </w:rPr>
  </w:style>
  <w:style w:type="character" w:customStyle="1" w:styleId="SubtitleChar">
    <w:name w:val="Subtitle Char"/>
    <w:basedOn w:val="DefaultParagraphFont"/>
    <w:link w:val="Subtitle"/>
    <w:uiPriority w:val="11"/>
    <w:rsid w:val="00E4573C"/>
    <w:rPr>
      <w:rFonts w:ascii="Calibri" w:eastAsia="Times New Roman" w:hAnsi="Calibri"/>
      <w:b/>
      <w:lang w:val="es-AR"/>
    </w:rPr>
  </w:style>
  <w:style w:type="character" w:customStyle="1" w:styleId="apple-converted-space">
    <w:name w:val="apple-converted-space"/>
    <w:basedOn w:val="DefaultParagraphFont"/>
    <w:rsid w:val="00E4573C"/>
  </w:style>
  <w:style w:type="paragraph" w:customStyle="1" w:styleId="LightGrid-Accent31">
    <w:name w:val="Light Grid - Accent 31"/>
    <w:basedOn w:val="Normal"/>
    <w:uiPriority w:val="34"/>
    <w:qFormat/>
    <w:rsid w:val="002C7DA5"/>
    <w:pPr>
      <w:spacing w:after="200" w:line="276" w:lineRule="auto"/>
      <w:ind w:left="720"/>
      <w:contextualSpacing/>
    </w:pPr>
    <w:rPr>
      <w:rFonts w:ascii="Calibri" w:eastAsia="Times New Roman" w:hAnsi="Calibri"/>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Body Text First Indent 2" w:uiPriority="99"/>
    <w:lsdException w:name="Hyperlink" w:uiPriority="99"/>
    <w:lsdException w:name="Strong" w:qFormat="1"/>
    <w:lsdException w:name="Emphasis" w:uiPriority="20"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580"/>
    <w:rPr>
      <w:sz w:val="24"/>
      <w:szCs w:val="24"/>
      <w:lang w:eastAsia="ja-JP"/>
    </w:rPr>
  </w:style>
  <w:style w:type="paragraph" w:styleId="Heading1">
    <w:name w:val="heading 1"/>
    <w:aliases w:val="normal"/>
    <w:basedOn w:val="Normal"/>
    <w:link w:val="Heading1Char"/>
    <w:uiPriority w:val="9"/>
    <w:qFormat/>
    <w:pPr>
      <w:spacing w:before="100" w:beforeAutospacing="1"/>
      <w:textAlignment w:val="top"/>
      <w:outlineLvl w:val="0"/>
    </w:pPr>
    <w:rPr>
      <w:b/>
      <w:bCs/>
      <w:color w:val="000000"/>
      <w:kern w:val="36"/>
      <w:sz w:val="31"/>
      <w:szCs w:val="31"/>
    </w:rPr>
  </w:style>
  <w:style w:type="paragraph" w:styleId="Heading2">
    <w:name w:val="heading 2"/>
    <w:basedOn w:val="Normal"/>
    <w:link w:val="Heading2Char"/>
    <w:qFormat/>
    <w:pPr>
      <w:spacing w:before="100" w:beforeAutospacing="1"/>
      <w:textAlignment w:val="top"/>
      <w:outlineLvl w:val="1"/>
    </w:pPr>
    <w:rPr>
      <w:b/>
      <w:bCs/>
      <w:color w:val="000000"/>
      <w:sz w:val="25"/>
      <w:szCs w:val="25"/>
    </w:rPr>
  </w:style>
  <w:style w:type="paragraph" w:styleId="Heading3">
    <w:name w:val="heading 3"/>
    <w:basedOn w:val="Normal"/>
    <w:link w:val="Heading3Char"/>
    <w:uiPriority w:val="9"/>
    <w:qFormat/>
    <w:pPr>
      <w:spacing w:before="100" w:beforeAutospacing="1"/>
      <w:textAlignment w:val="top"/>
      <w:outlineLvl w:val="2"/>
    </w:pPr>
    <w:rPr>
      <w:b/>
      <w:bCs/>
      <w:color w:val="000000"/>
      <w:sz w:val="22"/>
      <w:szCs w:val="22"/>
    </w:rPr>
  </w:style>
  <w:style w:type="paragraph" w:styleId="Heading4">
    <w:name w:val="heading 4"/>
    <w:basedOn w:val="Normal"/>
    <w:link w:val="Heading4Char"/>
    <w:uiPriority w:val="9"/>
    <w:qFormat/>
    <w:pPr>
      <w:spacing w:before="100" w:beforeAutospacing="1"/>
      <w:textAlignment w:val="top"/>
      <w:outlineLvl w:val="3"/>
    </w:pPr>
    <w:rPr>
      <w:b/>
      <w:bCs/>
      <w:color w:val="000000"/>
      <w:sz w:val="17"/>
      <w:szCs w:val="17"/>
    </w:rPr>
  </w:style>
  <w:style w:type="paragraph" w:styleId="Heading5">
    <w:name w:val="heading 5"/>
    <w:basedOn w:val="Normal"/>
    <w:next w:val="Normal"/>
    <w:link w:val="Heading5Char"/>
    <w:uiPriority w:val="9"/>
    <w:semiHidden/>
    <w:unhideWhenUsed/>
    <w:qFormat/>
    <w:rsid w:val="00E4573C"/>
    <w:pPr>
      <w:autoSpaceDE w:val="0"/>
      <w:autoSpaceDN w:val="0"/>
      <w:adjustRightInd w:val="0"/>
      <w:spacing w:before="280" w:line="360" w:lineRule="auto"/>
      <w:ind w:left="1008" w:hanging="1008"/>
      <w:jc w:val="both"/>
      <w:outlineLvl w:val="4"/>
    </w:pPr>
    <w:rPr>
      <w:rFonts w:ascii="Calibri" w:eastAsia="Times New Roman" w:hAnsi="Calibri"/>
      <w:b/>
      <w:bCs/>
      <w:i/>
      <w:iCs/>
      <w:lang w:val="es-ES" w:eastAsia="en-US" w:bidi="en-US"/>
    </w:rPr>
  </w:style>
  <w:style w:type="paragraph" w:styleId="Heading6">
    <w:name w:val="heading 6"/>
    <w:basedOn w:val="Normal"/>
    <w:next w:val="Normal"/>
    <w:link w:val="Heading6Char"/>
    <w:uiPriority w:val="9"/>
    <w:semiHidden/>
    <w:unhideWhenUsed/>
    <w:qFormat/>
    <w:rsid w:val="00E4573C"/>
    <w:pPr>
      <w:autoSpaceDE w:val="0"/>
      <w:autoSpaceDN w:val="0"/>
      <w:adjustRightInd w:val="0"/>
      <w:spacing w:before="280" w:after="80" w:line="360" w:lineRule="auto"/>
      <w:ind w:left="1152" w:hanging="1152"/>
      <w:jc w:val="both"/>
      <w:outlineLvl w:val="5"/>
    </w:pPr>
    <w:rPr>
      <w:rFonts w:ascii="Calibri" w:eastAsia="Times New Roman" w:hAnsi="Calibri"/>
      <w:b/>
      <w:bCs/>
      <w:i/>
      <w:iCs/>
      <w:lang w:val="es-ES" w:eastAsia="en-US" w:bidi="en-US"/>
    </w:rPr>
  </w:style>
  <w:style w:type="paragraph" w:styleId="Heading7">
    <w:name w:val="heading 7"/>
    <w:basedOn w:val="Normal"/>
    <w:next w:val="Normal"/>
    <w:link w:val="Heading7Char"/>
    <w:uiPriority w:val="9"/>
    <w:semiHidden/>
    <w:unhideWhenUsed/>
    <w:qFormat/>
    <w:rsid w:val="00E4573C"/>
    <w:pPr>
      <w:autoSpaceDE w:val="0"/>
      <w:autoSpaceDN w:val="0"/>
      <w:adjustRightInd w:val="0"/>
      <w:spacing w:before="280" w:line="360" w:lineRule="auto"/>
      <w:ind w:left="1296" w:hanging="1296"/>
      <w:jc w:val="both"/>
      <w:outlineLvl w:val="6"/>
    </w:pPr>
    <w:rPr>
      <w:rFonts w:ascii="Calibri" w:eastAsia="Times New Roman" w:hAnsi="Calibri"/>
      <w:b/>
      <w:bCs/>
      <w:i/>
      <w:iCs/>
      <w:sz w:val="20"/>
      <w:szCs w:val="20"/>
      <w:lang w:val="es-ES" w:eastAsia="en-US" w:bidi="en-US"/>
    </w:rPr>
  </w:style>
  <w:style w:type="paragraph" w:styleId="Heading8">
    <w:name w:val="heading 8"/>
    <w:basedOn w:val="Normal"/>
    <w:next w:val="Normal"/>
    <w:link w:val="Heading8Char"/>
    <w:uiPriority w:val="9"/>
    <w:semiHidden/>
    <w:unhideWhenUsed/>
    <w:qFormat/>
    <w:rsid w:val="00E4573C"/>
    <w:pPr>
      <w:autoSpaceDE w:val="0"/>
      <w:autoSpaceDN w:val="0"/>
      <w:adjustRightInd w:val="0"/>
      <w:spacing w:before="280" w:line="360" w:lineRule="auto"/>
      <w:ind w:left="1440" w:hanging="1440"/>
      <w:jc w:val="both"/>
      <w:outlineLvl w:val="7"/>
    </w:pPr>
    <w:rPr>
      <w:rFonts w:ascii="Calibri" w:eastAsia="Times New Roman" w:hAnsi="Calibri"/>
      <w:b/>
      <w:bCs/>
      <w:i/>
      <w:iCs/>
      <w:sz w:val="18"/>
      <w:szCs w:val="18"/>
      <w:lang w:val="es-ES" w:eastAsia="en-US" w:bidi="en-US"/>
    </w:rPr>
  </w:style>
  <w:style w:type="paragraph" w:styleId="Heading9">
    <w:name w:val="heading 9"/>
    <w:basedOn w:val="Normal"/>
    <w:next w:val="Normal"/>
    <w:link w:val="Heading9Char"/>
    <w:uiPriority w:val="9"/>
    <w:semiHidden/>
    <w:unhideWhenUsed/>
    <w:qFormat/>
    <w:rsid w:val="00E4573C"/>
    <w:pPr>
      <w:autoSpaceDE w:val="0"/>
      <w:autoSpaceDN w:val="0"/>
      <w:adjustRightInd w:val="0"/>
      <w:spacing w:before="280" w:line="360" w:lineRule="auto"/>
      <w:ind w:left="1584" w:hanging="1584"/>
      <w:jc w:val="both"/>
      <w:outlineLvl w:val="8"/>
    </w:pPr>
    <w:rPr>
      <w:rFonts w:ascii="Calibri" w:eastAsia="Times New Roman" w:hAnsi="Calibri"/>
      <w:i/>
      <w:iCs/>
      <w:sz w:val="18"/>
      <w:szCs w:val="18"/>
      <w:lang w:val="es-E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strike w:val="0"/>
      <w:dstrike w:val="0"/>
      <w:color w:val="0000FF"/>
      <w:u w:val="none"/>
      <w:effect w:val="none"/>
    </w:rPr>
  </w:style>
  <w:style w:type="character" w:styleId="FollowedHyperlink">
    <w:name w:val="FollowedHyperlink"/>
    <w:basedOn w:val="DefaultParagraphFont"/>
    <w:rPr>
      <w:strike w:val="0"/>
      <w:dstrike w:val="0"/>
      <w:color w:val="0000FF"/>
      <w:u w:val="none"/>
      <w:effect w:val="none"/>
    </w:rPr>
  </w:style>
  <w:style w:type="paragraph" w:customStyle="1" w:styleId="table100per">
    <w:name w:val="table100per"/>
    <w:basedOn w:val="Normal"/>
    <w:pPr>
      <w:spacing w:before="100" w:beforeAutospacing="1" w:after="100" w:afterAutospacing="1"/>
    </w:pPr>
  </w:style>
  <w:style w:type="paragraph" w:customStyle="1" w:styleId="tablegridbrdrcolorblackaw">
    <w:name w:val="tablegridbrdrcolorblack_aw"/>
    <w:basedOn w:val="Normal"/>
    <w:pPr>
      <w:pBdr>
        <w:top w:val="single" w:sz="4" w:space="1" w:color="B1B1B1"/>
        <w:left w:val="single" w:sz="4" w:space="1" w:color="B1B1B1"/>
        <w:bottom w:val="single" w:sz="4" w:space="1" w:color="B1B1B1"/>
        <w:right w:val="single" w:sz="4" w:space="1" w:color="B1B1B1"/>
      </w:pBdr>
      <w:spacing w:before="100" w:beforeAutospacing="1" w:after="100" w:afterAutospacing="1"/>
    </w:pPr>
  </w:style>
  <w:style w:type="paragraph" w:customStyle="1" w:styleId="tablenogridbrdrcolorblackaw">
    <w:name w:val="tablenogridbrdrcolorblack_aw"/>
    <w:basedOn w:val="Normal"/>
    <w:pPr>
      <w:spacing w:before="100" w:beforeAutospacing="1" w:after="100" w:afterAutospacing="1"/>
    </w:pPr>
  </w:style>
  <w:style w:type="paragraph" w:customStyle="1" w:styleId="tablebrdrcolorblackaw">
    <w:name w:val="tablebrdrcolorblack_aw"/>
    <w:basedOn w:val="Normal"/>
    <w:pPr>
      <w:pBdr>
        <w:top w:val="single" w:sz="4" w:space="1" w:color="000000"/>
        <w:left w:val="single" w:sz="4" w:space="1" w:color="000000"/>
        <w:bottom w:val="single" w:sz="4" w:space="1" w:color="000000"/>
        <w:right w:val="single" w:sz="4" w:space="1" w:color="000000"/>
      </w:pBdr>
      <w:spacing w:before="100" w:beforeAutospacing="1" w:after="100" w:afterAutospacing="1"/>
    </w:pPr>
  </w:style>
  <w:style w:type="paragraph" w:customStyle="1" w:styleId="tablebrdrblacktopsidesaw">
    <w:name w:val="tablebrdrblacktopsides_aw"/>
    <w:basedOn w:val="Normal"/>
    <w:pPr>
      <w:pBdr>
        <w:top w:val="single" w:sz="4" w:space="1" w:color="000000"/>
        <w:left w:val="single" w:sz="4" w:space="1" w:color="000000"/>
        <w:right w:val="single" w:sz="4" w:space="1" w:color="000000"/>
      </w:pBdr>
      <w:spacing w:before="100" w:beforeAutospacing="1" w:after="100" w:afterAutospacing="1"/>
    </w:pPr>
  </w:style>
  <w:style w:type="paragraph" w:customStyle="1" w:styleId="tablebrdrblacktopaw">
    <w:name w:val="tablebrdrblacktop_aw"/>
    <w:basedOn w:val="Normal"/>
    <w:pPr>
      <w:pBdr>
        <w:top w:val="single" w:sz="4" w:space="3" w:color="000000"/>
      </w:pBdr>
      <w:spacing w:before="100" w:beforeAutospacing="1" w:after="100" w:afterAutospacing="1"/>
    </w:pPr>
  </w:style>
  <w:style w:type="paragraph" w:customStyle="1" w:styleId="tablebrdrblackbottomaw">
    <w:name w:val="tablebrdrblackbottom_aw"/>
    <w:basedOn w:val="Normal"/>
    <w:pPr>
      <w:pBdr>
        <w:bottom w:val="single" w:sz="4" w:space="1" w:color="000000"/>
      </w:pBdr>
      <w:spacing w:before="100" w:beforeAutospacing="1" w:after="100" w:afterAutospacing="1"/>
    </w:pPr>
  </w:style>
  <w:style w:type="paragraph" w:customStyle="1" w:styleId="tablebrdrblackbottomsidesaw">
    <w:name w:val="tablebrdrblackbottomsides_aw"/>
    <w:basedOn w:val="Normal"/>
    <w:pPr>
      <w:pBdr>
        <w:left w:val="single" w:sz="4" w:space="1" w:color="000000"/>
        <w:bottom w:val="single" w:sz="4" w:space="1" w:color="000000"/>
        <w:right w:val="single" w:sz="4" w:space="1" w:color="000000"/>
      </w:pBdr>
      <w:spacing w:before="100" w:beforeAutospacing="1" w:after="100" w:afterAutospacing="1"/>
    </w:pPr>
  </w:style>
  <w:style w:type="paragraph" w:customStyle="1" w:styleId="tablebrdrblackbottomrightaw">
    <w:name w:val="tablebrdrblackbottomright_aw"/>
    <w:basedOn w:val="Normal"/>
    <w:pPr>
      <w:pBdr>
        <w:bottom w:val="single" w:sz="4" w:space="1" w:color="000000"/>
        <w:right w:val="single" w:sz="4" w:space="1" w:color="000000"/>
      </w:pBdr>
      <w:spacing w:before="100" w:beforeAutospacing="1" w:after="100" w:afterAutospacing="1"/>
    </w:pPr>
  </w:style>
  <w:style w:type="paragraph" w:customStyle="1" w:styleId="contenttimes90per">
    <w:name w:val="contenttimes90per"/>
    <w:basedOn w:val="Normal"/>
    <w:pPr>
      <w:spacing w:before="100" w:beforeAutospacing="1" w:after="100" w:afterAutospacing="1"/>
      <w:textAlignment w:val="top"/>
    </w:pPr>
    <w:rPr>
      <w:color w:val="000000"/>
      <w:sz w:val="22"/>
      <w:szCs w:val="22"/>
    </w:rPr>
  </w:style>
  <w:style w:type="paragraph" w:customStyle="1" w:styleId="aligncenter">
    <w:name w:val="aligncenter"/>
    <w:basedOn w:val="Normal"/>
    <w:pPr>
      <w:spacing w:before="100" w:beforeAutospacing="1" w:after="100" w:afterAutospacing="1"/>
      <w:jc w:val="center"/>
      <w:textAlignment w:val="top"/>
    </w:pPr>
  </w:style>
  <w:style w:type="paragraph" w:customStyle="1" w:styleId="contenttimesxsmall">
    <w:name w:val="contenttimesxsmall"/>
    <w:basedOn w:val="Normal"/>
    <w:pPr>
      <w:spacing w:before="100" w:beforeAutospacing="1" w:after="100" w:afterAutospacing="1" w:line="180" w:lineRule="atLeast"/>
      <w:textAlignment w:val="top"/>
    </w:pPr>
    <w:rPr>
      <w:color w:val="000000"/>
      <w:sz w:val="20"/>
      <w:szCs w:val="20"/>
    </w:rPr>
  </w:style>
  <w:style w:type="paragraph" w:customStyle="1" w:styleId="contenttimesmedium">
    <w:name w:val="contenttimesmedium"/>
    <w:basedOn w:val="Normal"/>
    <w:pPr>
      <w:spacing w:before="100" w:beforeAutospacing="1" w:after="100" w:afterAutospacing="1"/>
      <w:textAlignment w:val="center"/>
    </w:pPr>
    <w:rPr>
      <w:color w:val="000000"/>
      <w:sz w:val="27"/>
      <w:szCs w:val="27"/>
    </w:rPr>
  </w:style>
  <w:style w:type="paragraph" w:customStyle="1" w:styleId="contentverdanaxsmall">
    <w:name w:val="contentverdanaxsmall"/>
    <w:basedOn w:val="Normal"/>
    <w:pPr>
      <w:spacing w:before="100" w:beforeAutospacing="1" w:after="100" w:afterAutospacing="1" w:line="180" w:lineRule="atLeast"/>
      <w:textAlignment w:val="top"/>
    </w:pPr>
    <w:rPr>
      <w:color w:val="000000"/>
      <w:sz w:val="20"/>
      <w:szCs w:val="20"/>
    </w:rPr>
  </w:style>
  <w:style w:type="paragraph" w:customStyle="1" w:styleId="contentverdanaxxsmall">
    <w:name w:val="contentverdanaxxsmall"/>
    <w:basedOn w:val="Normal"/>
    <w:pPr>
      <w:spacing w:before="100" w:beforeAutospacing="1" w:after="100" w:afterAutospacing="1" w:line="180" w:lineRule="atLeast"/>
      <w:textAlignment w:val="top"/>
    </w:pPr>
    <w:rPr>
      <w:color w:val="000000"/>
      <w:sz w:val="15"/>
      <w:szCs w:val="15"/>
    </w:rPr>
  </w:style>
  <w:style w:type="paragraph" w:customStyle="1" w:styleId="contenttreb90per">
    <w:name w:val="contenttreb90per"/>
    <w:basedOn w:val="Normal"/>
    <w:pPr>
      <w:spacing w:before="100" w:beforeAutospacing="1" w:after="100" w:afterAutospacing="1" w:line="160" w:lineRule="atLeast"/>
    </w:pPr>
    <w:rPr>
      <w:color w:val="000000"/>
      <w:sz w:val="22"/>
      <w:szCs w:val="22"/>
    </w:rPr>
  </w:style>
  <w:style w:type="paragraph" w:customStyle="1" w:styleId="contenttreb70per">
    <w:name w:val="contenttreb70per"/>
    <w:basedOn w:val="Normal"/>
    <w:pPr>
      <w:spacing w:before="100" w:beforeAutospacing="1" w:after="100" w:afterAutospacing="1" w:line="200" w:lineRule="atLeast"/>
    </w:pPr>
    <w:rPr>
      <w:color w:val="000000"/>
      <w:sz w:val="22"/>
      <w:szCs w:val="22"/>
    </w:rPr>
  </w:style>
  <w:style w:type="paragraph" w:customStyle="1" w:styleId="contenttreb70peri">
    <w:name w:val="contenttreb70peri"/>
    <w:basedOn w:val="Normal"/>
    <w:pPr>
      <w:spacing w:before="100" w:beforeAutospacing="1" w:after="100" w:afterAutospacing="1" w:line="250" w:lineRule="atLeast"/>
    </w:pPr>
    <w:rPr>
      <w:i/>
      <w:iCs/>
      <w:color w:val="444444"/>
      <w:sz w:val="17"/>
      <w:szCs w:val="17"/>
    </w:rPr>
  </w:style>
  <w:style w:type="paragraph" w:customStyle="1" w:styleId="contentverdana75per">
    <w:name w:val="contentverdana75per"/>
    <w:basedOn w:val="Normal"/>
    <w:pPr>
      <w:spacing w:before="100" w:beforeAutospacing="1" w:after="100" w:afterAutospacing="1" w:line="180" w:lineRule="atLeast"/>
    </w:pPr>
    <w:rPr>
      <w:color w:val="000000"/>
      <w:sz w:val="18"/>
      <w:szCs w:val="18"/>
    </w:rPr>
  </w:style>
  <w:style w:type="paragraph" w:customStyle="1" w:styleId="unnamed1">
    <w:name w:val="unnamed1"/>
    <w:basedOn w:val="Normal"/>
    <w:pPr>
      <w:spacing w:before="100" w:beforeAutospacing="1" w:after="100" w:afterAutospacing="1"/>
    </w:pPr>
    <w:rPr>
      <w:sz w:val="11"/>
      <w:szCs w:val="11"/>
    </w:rPr>
  </w:style>
  <w:style w:type="paragraph" w:customStyle="1" w:styleId="unnamed2">
    <w:name w:val="unnamed2"/>
    <w:basedOn w:val="Normal"/>
    <w:pPr>
      <w:spacing w:before="100" w:beforeAutospacing="1" w:after="100" w:afterAutospacing="1"/>
    </w:pPr>
    <w:rPr>
      <w:sz w:val="17"/>
      <w:szCs w:val="17"/>
    </w:rPr>
  </w:style>
  <w:style w:type="paragraph" w:customStyle="1" w:styleId="contentverdana70per">
    <w:name w:val="contentverdana70per"/>
    <w:basedOn w:val="Normal"/>
    <w:pPr>
      <w:spacing w:before="100" w:beforeAutospacing="1" w:after="100" w:afterAutospacing="1"/>
      <w:textAlignment w:val="top"/>
    </w:pPr>
    <w:rPr>
      <w:color w:val="000000"/>
      <w:sz w:val="17"/>
      <w:szCs w:val="17"/>
    </w:rPr>
  </w:style>
  <w:style w:type="paragraph" w:customStyle="1" w:styleId="bg-greycolorlevel1">
    <w:name w:val="bg-greycolorlevel1"/>
    <w:basedOn w:val="Normal"/>
    <w:pPr>
      <w:shd w:val="clear" w:color="auto" w:fill="E2E2E2"/>
      <w:spacing w:before="100" w:beforeAutospacing="1" w:after="100" w:afterAutospacing="1"/>
    </w:pPr>
  </w:style>
  <w:style w:type="paragraph" w:customStyle="1" w:styleId="bg-greycolorlevel2">
    <w:name w:val="bg-greycolorlevel2"/>
    <w:basedOn w:val="Normal"/>
    <w:pPr>
      <w:shd w:val="clear" w:color="auto" w:fill="F1F1F1"/>
      <w:spacing w:before="100" w:beforeAutospacing="1" w:after="100" w:afterAutospacing="1"/>
    </w:pPr>
  </w:style>
  <w:style w:type="paragraph" w:customStyle="1" w:styleId="bg-greycolorlevel3">
    <w:name w:val="bg-greycolorlevel3"/>
    <w:basedOn w:val="Normal"/>
    <w:pPr>
      <w:shd w:val="clear" w:color="auto" w:fill="F8F8F8"/>
      <w:spacing w:before="100" w:beforeAutospacing="1" w:after="100" w:afterAutospacing="1"/>
    </w:pPr>
  </w:style>
  <w:style w:type="paragraph" w:customStyle="1" w:styleId="tableheaderlevel1">
    <w:name w:val="tableheaderlevel1"/>
    <w:basedOn w:val="Normal"/>
    <w:pPr>
      <w:shd w:val="clear" w:color="auto" w:fill="CDCCCC"/>
      <w:spacing w:before="100" w:beforeAutospacing="1" w:after="100" w:afterAutospacing="1"/>
    </w:pPr>
    <w:rPr>
      <w:color w:val="000000"/>
    </w:rPr>
  </w:style>
  <w:style w:type="paragraph" w:customStyle="1" w:styleId="contentverdana70perbold">
    <w:name w:val="contentverdana70perbold"/>
    <w:basedOn w:val="Normal"/>
    <w:pPr>
      <w:spacing w:before="100" w:beforeAutospacing="1" w:after="100" w:afterAutospacing="1"/>
      <w:textAlignment w:val="top"/>
    </w:pPr>
    <w:rPr>
      <w:b/>
      <w:bCs/>
      <w:color w:val="333333"/>
      <w:sz w:val="17"/>
      <w:szCs w:val="17"/>
    </w:rPr>
  </w:style>
  <w:style w:type="paragraph" w:customStyle="1" w:styleId="contentverdana100per">
    <w:name w:val="contentverdana100per"/>
    <w:basedOn w:val="Normal"/>
    <w:pPr>
      <w:spacing w:before="100" w:beforeAutospacing="1" w:after="100" w:afterAutospacing="1"/>
      <w:textAlignment w:val="top"/>
    </w:pPr>
    <w:rPr>
      <w:color w:val="000000"/>
    </w:rPr>
  </w:style>
  <w:style w:type="paragraph" w:customStyle="1" w:styleId="tableheaderlevel3">
    <w:name w:val="tableheaderlevel3"/>
    <w:basedOn w:val="Normal"/>
    <w:pPr>
      <w:shd w:val="clear" w:color="auto" w:fill="F1F1F1"/>
      <w:spacing w:before="100" w:beforeAutospacing="1" w:after="100" w:afterAutospacing="1"/>
    </w:pPr>
    <w:rPr>
      <w:b/>
      <w:bCs/>
      <w:color w:val="606060"/>
      <w:sz w:val="22"/>
      <w:szCs w:val="22"/>
    </w:rPr>
  </w:style>
  <w:style w:type="paragraph" w:customStyle="1" w:styleId="tableheaderlevel2">
    <w:name w:val="tableheaderlevel2"/>
    <w:basedOn w:val="Normal"/>
    <w:pPr>
      <w:shd w:val="clear" w:color="auto" w:fill="E2E2E2"/>
      <w:spacing w:before="100" w:beforeAutospacing="1" w:after="100" w:afterAutospacing="1"/>
    </w:pPr>
    <w:rPr>
      <w:color w:val="000000"/>
    </w:rPr>
  </w:style>
  <w:style w:type="paragraph" w:customStyle="1" w:styleId="contentverdanasuper">
    <w:name w:val="contentverdanasuper"/>
    <w:basedOn w:val="Normal"/>
    <w:pPr>
      <w:spacing w:before="100" w:beforeAutospacing="1" w:after="100" w:afterAutospacing="1"/>
    </w:pPr>
    <w:rPr>
      <w:color w:val="000000"/>
      <w:sz w:val="14"/>
      <w:szCs w:val="14"/>
      <w:vertAlign w:val="superscript"/>
    </w:rPr>
  </w:style>
  <w:style w:type="paragraph" w:customStyle="1" w:styleId="contentverdanah1super">
    <w:name w:val="contentverdanah1super"/>
    <w:basedOn w:val="Normal"/>
    <w:pPr>
      <w:spacing w:before="100" w:beforeAutospacing="1" w:after="100" w:afterAutospacing="1"/>
    </w:pPr>
    <w:rPr>
      <w:color w:val="000000"/>
      <w:sz w:val="12"/>
      <w:szCs w:val="12"/>
      <w:vertAlign w:val="superscript"/>
    </w:rPr>
  </w:style>
  <w:style w:type="paragraph" w:customStyle="1" w:styleId="tablebrdrcolorgreyaw">
    <w:name w:val="tablebrdrcolorgrey_aw"/>
    <w:basedOn w:val="Normal"/>
    <w:pPr>
      <w:pBdr>
        <w:top w:val="single" w:sz="4" w:space="2" w:color="B1B1B1"/>
        <w:left w:val="single" w:sz="4" w:space="2" w:color="B1B1B1"/>
        <w:bottom w:val="single" w:sz="4" w:space="2" w:color="B1B1B1"/>
        <w:right w:val="single" w:sz="4" w:space="2" w:color="B1B1B1"/>
      </w:pBdr>
      <w:spacing w:before="100" w:beforeAutospacing="1" w:after="100" w:afterAutospacing="1"/>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customStyle="1" w:styleId="contenttreb70per1">
    <w:name w:val="contenttreb70per1"/>
    <w:basedOn w:val="DefaultParagraphFont"/>
    <w:rPr>
      <w:rFonts w:ascii="Times New Roman" w:hAnsi="Times New Roman" w:cs="Times New Roman" w:hint="default"/>
      <w:strike w:val="0"/>
      <w:dstrike w:val="0"/>
      <w:color w:val="000000"/>
      <w:sz w:val="22"/>
      <w:szCs w:val="22"/>
      <w:u w:val="none"/>
      <w:effect w:val="none"/>
    </w:rPr>
  </w:style>
  <w:style w:type="character" w:styleId="Emphasis">
    <w:name w:val="Emphasis"/>
    <w:basedOn w:val="DefaultParagraphFont"/>
    <w:uiPriority w:val="20"/>
    <w:qFormat/>
    <w:rPr>
      <w:i/>
      <w:iCs/>
    </w:rPr>
  </w:style>
  <w:style w:type="paragraph" w:customStyle="1" w:styleId="outline">
    <w:name w:val="outline"/>
    <w:basedOn w:val="Normal"/>
    <w:pPr>
      <w:spacing w:before="100" w:beforeAutospacing="1" w:after="100" w:afterAutospacing="1"/>
    </w:pPr>
  </w:style>
  <w:style w:type="character" w:customStyle="1" w:styleId="tableheaderlevel21">
    <w:name w:val="tableheaderlevel21"/>
    <w:basedOn w:val="DefaultParagraphFont"/>
  </w:style>
  <w:style w:type="paragraph" w:customStyle="1" w:styleId="chapternumber">
    <w:name w:val="chapternumber"/>
    <w:basedOn w:val="Normal"/>
    <w:pPr>
      <w:spacing w:before="100" w:beforeAutospacing="1" w:after="100" w:afterAutospacing="1"/>
    </w:pPr>
  </w:style>
  <w:style w:type="paragraph" w:styleId="FootnoteText">
    <w:name w:val="footnote text"/>
    <w:aliases w:val="ft,FA Fu Car Car Car,FA Fu Car Car Car Car Car Car Car Car,FA Fu Car Car Car Car Car Car,Texto nota pie 2,+ 10 pt Car,+ 10 pt,Nota a pie/Bibliog,single space,fn,FOOTNOTES,Footnote Text Char Char Char Char Char Char,Char,Footno"/>
    <w:basedOn w:val="Normal"/>
    <w:link w:val="FootnoteTextChar"/>
    <w:uiPriority w:val="99"/>
    <w:pPr>
      <w:spacing w:before="100" w:beforeAutospacing="1" w:after="100" w:afterAutospacing="1"/>
    </w:pPr>
  </w:style>
  <w:style w:type="character" w:customStyle="1" w:styleId="tableheaderlevel22">
    <w:name w:val="tableheaderlevel22"/>
    <w:basedOn w:val="DefaultParagraphFont"/>
    <w:rPr>
      <w:rFonts w:ascii="Times New Roman" w:hAnsi="Times New Roman" w:cs="Times New Roman" w:hint="default"/>
      <w:color w:val="000000"/>
      <w:shd w:val="clear" w:color="auto" w:fill="E2E2E2"/>
    </w:rPr>
  </w:style>
  <w:style w:type="paragraph" w:styleId="z-BottomofForm">
    <w:name w:val="HTML Bottom of Form"/>
    <w:basedOn w:val="Normal"/>
    <w:next w:val="Normal"/>
    <w:link w:val="z-BottomofFormChar"/>
    <w:hidden/>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DB088C"/>
    <w:pPr>
      <w:tabs>
        <w:tab w:val="center" w:pos="4320"/>
        <w:tab w:val="right" w:pos="8640"/>
      </w:tabs>
    </w:pPr>
  </w:style>
  <w:style w:type="paragraph" w:styleId="TOC2">
    <w:name w:val="toc 2"/>
    <w:basedOn w:val="Normal"/>
    <w:next w:val="Normal"/>
    <w:autoRedefine/>
    <w:uiPriority w:val="39"/>
    <w:rsid w:val="00E7533E"/>
    <w:pPr>
      <w:tabs>
        <w:tab w:val="right" w:leader="dot" w:pos="8630"/>
      </w:tabs>
      <w:ind w:left="245"/>
    </w:pPr>
  </w:style>
  <w:style w:type="table" w:styleId="TableGrid">
    <w:name w:val="Table Grid"/>
    <w:basedOn w:val="TableNormal"/>
    <w:rsid w:val="00E0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1">
    <w:name w:val="tx1"/>
    <w:basedOn w:val="DefaultParagraphFont"/>
    <w:rsid w:val="0049537D"/>
    <w:rPr>
      <w:b/>
      <w:bCs/>
    </w:rPr>
  </w:style>
  <w:style w:type="paragraph" w:styleId="HTMLPreformatted">
    <w:name w:val="HTML Preformatted"/>
    <w:basedOn w:val="Normal"/>
    <w:link w:val="HTMLPreformattedChar"/>
    <w:uiPriority w:val="99"/>
    <w:rsid w:val="0093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Courier New"/>
      <w:szCs w:val="20"/>
      <w:lang w:eastAsia="en-US"/>
    </w:rPr>
  </w:style>
  <w:style w:type="paragraph" w:styleId="ListParagraph">
    <w:name w:val="List Paragraph"/>
    <w:basedOn w:val="Normal"/>
    <w:link w:val="ListParagraphChar"/>
    <w:uiPriority w:val="34"/>
    <w:qFormat/>
    <w:rsid w:val="00C5035E"/>
    <w:pPr>
      <w:ind w:left="720"/>
      <w:contextualSpacing/>
    </w:pPr>
  </w:style>
  <w:style w:type="character" w:customStyle="1" w:styleId="HTMLPreformattedChar">
    <w:name w:val="HTML Preformatted Char"/>
    <w:basedOn w:val="DefaultParagraphFont"/>
    <w:link w:val="HTMLPreformatted"/>
    <w:uiPriority w:val="99"/>
    <w:rsid w:val="009371AA"/>
    <w:rPr>
      <w:rFonts w:eastAsia="Times New Roman" w:cs="Courier New"/>
      <w:sz w:val="24"/>
    </w:rPr>
  </w:style>
  <w:style w:type="character" w:styleId="CommentReference">
    <w:name w:val="annotation reference"/>
    <w:basedOn w:val="DefaultParagraphFont"/>
    <w:rsid w:val="009141D4"/>
    <w:rPr>
      <w:sz w:val="16"/>
      <w:szCs w:val="16"/>
    </w:rPr>
  </w:style>
  <w:style w:type="paragraph" w:styleId="CommentText">
    <w:name w:val="annotation text"/>
    <w:basedOn w:val="Normal"/>
    <w:link w:val="CommentTextChar"/>
    <w:uiPriority w:val="99"/>
    <w:rsid w:val="009141D4"/>
    <w:rPr>
      <w:sz w:val="20"/>
      <w:szCs w:val="20"/>
    </w:rPr>
  </w:style>
  <w:style w:type="character" w:customStyle="1" w:styleId="CommentTextChar">
    <w:name w:val="Comment Text Char"/>
    <w:basedOn w:val="DefaultParagraphFont"/>
    <w:link w:val="CommentText"/>
    <w:uiPriority w:val="99"/>
    <w:rsid w:val="009141D4"/>
    <w:rPr>
      <w:lang w:eastAsia="ja-JP"/>
    </w:rPr>
  </w:style>
  <w:style w:type="paragraph" w:styleId="CommentSubject">
    <w:name w:val="annotation subject"/>
    <w:basedOn w:val="CommentText"/>
    <w:next w:val="CommentText"/>
    <w:link w:val="CommentSubjectChar"/>
    <w:uiPriority w:val="99"/>
    <w:rsid w:val="009141D4"/>
    <w:rPr>
      <w:b/>
      <w:bCs/>
    </w:rPr>
  </w:style>
  <w:style w:type="character" w:customStyle="1" w:styleId="CommentSubjectChar">
    <w:name w:val="Comment Subject Char"/>
    <w:basedOn w:val="CommentTextChar"/>
    <w:link w:val="CommentSubject"/>
    <w:uiPriority w:val="99"/>
    <w:rsid w:val="009141D4"/>
    <w:rPr>
      <w:b/>
      <w:bCs/>
      <w:lang w:eastAsia="ja-JP"/>
    </w:rPr>
  </w:style>
  <w:style w:type="paragraph" w:styleId="BalloonText">
    <w:name w:val="Balloon Text"/>
    <w:basedOn w:val="Normal"/>
    <w:link w:val="BalloonTextChar"/>
    <w:uiPriority w:val="99"/>
    <w:rsid w:val="009141D4"/>
    <w:rPr>
      <w:rFonts w:ascii="Tahoma" w:hAnsi="Tahoma" w:cs="Tahoma"/>
      <w:sz w:val="16"/>
      <w:szCs w:val="16"/>
    </w:rPr>
  </w:style>
  <w:style w:type="character" w:customStyle="1" w:styleId="BalloonTextChar">
    <w:name w:val="Balloon Text Char"/>
    <w:basedOn w:val="DefaultParagraphFont"/>
    <w:link w:val="BalloonText"/>
    <w:uiPriority w:val="99"/>
    <w:rsid w:val="009141D4"/>
    <w:rPr>
      <w:rFonts w:ascii="Tahoma" w:hAnsi="Tahoma" w:cs="Tahoma"/>
      <w:sz w:val="16"/>
      <w:szCs w:val="16"/>
      <w:lang w:eastAsia="ja-JP"/>
    </w:rPr>
  </w:style>
  <w:style w:type="character" w:customStyle="1" w:styleId="yshortcuts1">
    <w:name w:val="yshortcuts1"/>
    <w:basedOn w:val="DefaultParagraphFont"/>
    <w:rsid w:val="00E43B47"/>
    <w:rPr>
      <w:color w:val="366388"/>
    </w:rPr>
  </w:style>
  <w:style w:type="character" w:styleId="FootnoteReference">
    <w:name w:val="footnote reference"/>
    <w:aliases w:val="16 Point,Superscript 6 Point,ftref"/>
    <w:basedOn w:val="DefaultParagraphFont"/>
    <w:uiPriority w:val="99"/>
    <w:rsid w:val="00AF01D2"/>
    <w:rPr>
      <w:vertAlign w:val="superscript"/>
    </w:rPr>
  </w:style>
  <w:style w:type="paragraph" w:styleId="NoSpacing">
    <w:name w:val="No Spacing"/>
    <w:uiPriority w:val="1"/>
    <w:qFormat/>
    <w:rsid w:val="003C3C02"/>
    <w:rPr>
      <w:rFonts w:asciiTheme="minorHAnsi" w:eastAsiaTheme="minorEastAsia" w:hAnsiTheme="minorHAnsi" w:cstheme="minorBidi"/>
      <w:sz w:val="22"/>
      <w:szCs w:val="22"/>
    </w:rPr>
  </w:style>
  <w:style w:type="character" w:customStyle="1" w:styleId="FootnoteTextChar">
    <w:name w:val="Footnote Text Char"/>
    <w:aliases w:val="ft Char,FA Fu Car Car Car Char,FA Fu Car Car Car Car Car Car Car Car Char,FA Fu Car Car Car Car Car Car Char,Texto nota pie 2 Char,+ 10 pt Car Char,+ 10 pt Char,Nota a pie/Bibliog Char,single space Char,fn Char,FOOTNOTES Char"/>
    <w:basedOn w:val="DefaultParagraphFont"/>
    <w:link w:val="FootnoteText"/>
    <w:uiPriority w:val="99"/>
    <w:rsid w:val="003C3C02"/>
    <w:rPr>
      <w:sz w:val="24"/>
      <w:szCs w:val="24"/>
      <w:lang w:eastAsia="ja-JP"/>
    </w:rPr>
  </w:style>
  <w:style w:type="paragraph" w:styleId="Revision">
    <w:name w:val="Revision"/>
    <w:hidden/>
    <w:uiPriority w:val="99"/>
    <w:semiHidden/>
    <w:rsid w:val="002242B1"/>
    <w:rPr>
      <w:sz w:val="24"/>
      <w:szCs w:val="24"/>
      <w:lang w:eastAsia="ja-JP"/>
    </w:rPr>
  </w:style>
  <w:style w:type="paragraph" w:customStyle="1" w:styleId="Default">
    <w:name w:val="Default"/>
    <w:rsid w:val="00DC1879"/>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uiPriority w:val="59"/>
    <w:rsid w:val="00631E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3237D"/>
  </w:style>
  <w:style w:type="character" w:customStyle="1" w:styleId="m1">
    <w:name w:val="m1"/>
    <w:basedOn w:val="DefaultParagraphFont"/>
    <w:rsid w:val="0063237D"/>
    <w:rPr>
      <w:color w:val="0000FF"/>
    </w:rPr>
  </w:style>
  <w:style w:type="character" w:customStyle="1" w:styleId="t1">
    <w:name w:val="t1"/>
    <w:basedOn w:val="DefaultParagraphFont"/>
    <w:rsid w:val="0063237D"/>
    <w:rPr>
      <w:color w:val="990000"/>
    </w:rPr>
  </w:style>
  <w:style w:type="character" w:customStyle="1" w:styleId="b1">
    <w:name w:val="b1"/>
    <w:basedOn w:val="DefaultParagraphFont"/>
    <w:rsid w:val="0063237D"/>
    <w:rPr>
      <w:rFonts w:ascii="Courier New" w:hAnsi="Courier New" w:cs="Courier New" w:hint="default"/>
      <w:b/>
      <w:bCs/>
      <w:strike w:val="0"/>
      <w:dstrike w:val="0"/>
      <w:color w:val="FF0000"/>
      <w:u w:val="none"/>
      <w:effect w:val="none"/>
    </w:rPr>
  </w:style>
  <w:style w:type="paragraph" w:customStyle="1" w:styleId="ICRTOC">
    <w:name w:val="ICR TOC"/>
    <w:next w:val="Normal"/>
    <w:rsid w:val="0063237D"/>
    <w:pPr>
      <w:keepNext/>
    </w:pPr>
    <w:rPr>
      <w:rFonts w:eastAsia="Times New Roman"/>
      <w:b/>
      <w:bCs/>
      <w:color w:val="000000"/>
      <w:sz w:val="25"/>
      <w:szCs w:val="25"/>
    </w:rPr>
  </w:style>
  <w:style w:type="paragraph" w:styleId="TOC1">
    <w:name w:val="toc 1"/>
    <w:basedOn w:val="Normal"/>
    <w:next w:val="Normal"/>
    <w:autoRedefine/>
    <w:rsid w:val="0063237D"/>
    <w:rPr>
      <w:rFonts w:eastAsia="Times New Roman"/>
      <w:lang w:eastAsia="en-US"/>
    </w:rPr>
  </w:style>
  <w:style w:type="character" w:customStyle="1" w:styleId="FooterChar">
    <w:name w:val="Footer Char"/>
    <w:basedOn w:val="DefaultParagraphFont"/>
    <w:link w:val="Footer"/>
    <w:uiPriority w:val="99"/>
    <w:rsid w:val="0063237D"/>
    <w:rPr>
      <w:sz w:val="24"/>
      <w:szCs w:val="24"/>
      <w:lang w:eastAsia="ja-JP"/>
    </w:rPr>
  </w:style>
  <w:style w:type="paragraph" w:styleId="BodyTextIndent">
    <w:name w:val="Body Text Indent"/>
    <w:basedOn w:val="Normal"/>
    <w:link w:val="BodyTextIndentChar"/>
    <w:rsid w:val="008F491A"/>
    <w:pPr>
      <w:spacing w:after="120"/>
      <w:ind w:left="360"/>
    </w:pPr>
  </w:style>
  <w:style w:type="character" w:customStyle="1" w:styleId="BodyTextIndentChar">
    <w:name w:val="Body Text Indent Char"/>
    <w:basedOn w:val="DefaultParagraphFont"/>
    <w:link w:val="BodyTextIndent"/>
    <w:rsid w:val="008F491A"/>
    <w:rPr>
      <w:sz w:val="24"/>
      <w:szCs w:val="24"/>
      <w:lang w:eastAsia="ja-JP"/>
    </w:rPr>
  </w:style>
  <w:style w:type="paragraph" w:styleId="BodyTextFirstIndent2">
    <w:name w:val="Body Text First Indent 2"/>
    <w:basedOn w:val="BodyTextIndent"/>
    <w:link w:val="BodyTextFirstIndent2Char"/>
    <w:uiPriority w:val="99"/>
    <w:unhideWhenUsed/>
    <w:rsid w:val="008F491A"/>
    <w:pPr>
      <w:spacing w:after="200" w:line="276" w:lineRule="auto"/>
      <w:ind w:firstLine="360"/>
    </w:pPr>
    <w:rPr>
      <w:rFonts w:ascii="Calibri" w:eastAsia="Calibri" w:hAnsi="Calibri"/>
      <w:sz w:val="22"/>
      <w:szCs w:val="22"/>
      <w:lang w:val="es-GT" w:eastAsia="en-US"/>
    </w:rPr>
  </w:style>
  <w:style w:type="character" w:customStyle="1" w:styleId="BodyTextFirstIndent2Char">
    <w:name w:val="Body Text First Indent 2 Char"/>
    <w:basedOn w:val="BodyTextIndentChar"/>
    <w:link w:val="BodyTextFirstIndent2"/>
    <w:uiPriority w:val="99"/>
    <w:rsid w:val="008F491A"/>
    <w:rPr>
      <w:rFonts w:ascii="Calibri" w:eastAsia="Calibri" w:hAnsi="Calibri"/>
      <w:sz w:val="22"/>
      <w:szCs w:val="22"/>
      <w:lang w:val="es-GT" w:eastAsia="ja-JP"/>
    </w:rPr>
  </w:style>
  <w:style w:type="character" w:customStyle="1" w:styleId="ListParagraphChar">
    <w:name w:val="List Paragraph Char"/>
    <w:link w:val="ListParagraph"/>
    <w:uiPriority w:val="34"/>
    <w:rsid w:val="008F491A"/>
    <w:rPr>
      <w:sz w:val="24"/>
      <w:szCs w:val="24"/>
      <w:lang w:eastAsia="ja-JP"/>
    </w:rPr>
  </w:style>
  <w:style w:type="character" w:customStyle="1" w:styleId="z-BottomofFormChar">
    <w:name w:val="z-Bottom of Form Char"/>
    <w:basedOn w:val="DefaultParagraphFont"/>
    <w:link w:val="z-BottomofForm"/>
    <w:rsid w:val="0023595D"/>
    <w:rPr>
      <w:rFonts w:ascii="Arial" w:hAnsi="Arial" w:cs="Arial"/>
      <w:vanish/>
      <w:sz w:val="16"/>
      <w:szCs w:val="16"/>
      <w:lang w:eastAsia="ja-JP"/>
    </w:rPr>
  </w:style>
  <w:style w:type="table" w:styleId="LightList-Accent5">
    <w:name w:val="Light List Accent 5"/>
    <w:basedOn w:val="TableNormal"/>
    <w:uiPriority w:val="61"/>
    <w:rsid w:val="00AB02DF"/>
    <w:rPr>
      <w:rFonts w:asciiTheme="minorHAnsi" w:eastAsiaTheme="minorHAnsi" w:hAnsiTheme="minorHAnsi" w:cstheme="minorBidi"/>
      <w:sz w:val="22"/>
      <w:szCs w:val="22"/>
      <w:lang w:val="es-A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aliases w:val="normal Char"/>
    <w:basedOn w:val="DefaultParagraphFont"/>
    <w:link w:val="Heading1"/>
    <w:uiPriority w:val="9"/>
    <w:rsid w:val="00AF7DEE"/>
    <w:rPr>
      <w:b/>
      <w:bCs/>
      <w:color w:val="000000"/>
      <w:kern w:val="36"/>
      <w:sz w:val="31"/>
      <w:szCs w:val="31"/>
      <w:lang w:eastAsia="ja-JP"/>
    </w:rPr>
  </w:style>
  <w:style w:type="character" w:customStyle="1" w:styleId="Heading5Char">
    <w:name w:val="Heading 5 Char"/>
    <w:basedOn w:val="DefaultParagraphFont"/>
    <w:link w:val="Heading5"/>
    <w:uiPriority w:val="9"/>
    <w:semiHidden/>
    <w:rsid w:val="00E4573C"/>
    <w:rPr>
      <w:rFonts w:ascii="Calibri" w:eastAsia="Times New Roman" w:hAnsi="Calibri"/>
      <w:b/>
      <w:bCs/>
      <w:i/>
      <w:iCs/>
      <w:sz w:val="24"/>
      <w:szCs w:val="24"/>
      <w:lang w:val="es-ES" w:bidi="en-US"/>
    </w:rPr>
  </w:style>
  <w:style w:type="character" w:customStyle="1" w:styleId="Heading6Char">
    <w:name w:val="Heading 6 Char"/>
    <w:basedOn w:val="DefaultParagraphFont"/>
    <w:link w:val="Heading6"/>
    <w:uiPriority w:val="9"/>
    <w:semiHidden/>
    <w:rsid w:val="00E4573C"/>
    <w:rPr>
      <w:rFonts w:ascii="Calibri" w:eastAsia="Times New Roman" w:hAnsi="Calibri"/>
      <w:b/>
      <w:bCs/>
      <w:i/>
      <w:iCs/>
      <w:sz w:val="24"/>
      <w:szCs w:val="24"/>
      <w:lang w:val="es-ES" w:bidi="en-US"/>
    </w:rPr>
  </w:style>
  <w:style w:type="character" w:customStyle="1" w:styleId="Heading7Char">
    <w:name w:val="Heading 7 Char"/>
    <w:basedOn w:val="DefaultParagraphFont"/>
    <w:link w:val="Heading7"/>
    <w:uiPriority w:val="9"/>
    <w:semiHidden/>
    <w:rsid w:val="00E4573C"/>
    <w:rPr>
      <w:rFonts w:ascii="Calibri" w:eastAsia="Times New Roman" w:hAnsi="Calibri"/>
      <w:b/>
      <w:bCs/>
      <w:i/>
      <w:iCs/>
      <w:lang w:val="es-ES" w:bidi="en-US"/>
    </w:rPr>
  </w:style>
  <w:style w:type="character" w:customStyle="1" w:styleId="Heading8Char">
    <w:name w:val="Heading 8 Char"/>
    <w:basedOn w:val="DefaultParagraphFont"/>
    <w:link w:val="Heading8"/>
    <w:uiPriority w:val="9"/>
    <w:semiHidden/>
    <w:rsid w:val="00E4573C"/>
    <w:rPr>
      <w:rFonts w:ascii="Calibri" w:eastAsia="Times New Roman" w:hAnsi="Calibri"/>
      <w:b/>
      <w:bCs/>
      <w:i/>
      <w:iCs/>
      <w:sz w:val="18"/>
      <w:szCs w:val="18"/>
      <w:lang w:val="es-ES" w:bidi="en-US"/>
    </w:rPr>
  </w:style>
  <w:style w:type="character" w:customStyle="1" w:styleId="Heading9Char">
    <w:name w:val="Heading 9 Char"/>
    <w:basedOn w:val="DefaultParagraphFont"/>
    <w:link w:val="Heading9"/>
    <w:uiPriority w:val="9"/>
    <w:semiHidden/>
    <w:rsid w:val="00E4573C"/>
    <w:rPr>
      <w:rFonts w:ascii="Calibri" w:eastAsia="Times New Roman" w:hAnsi="Calibri"/>
      <w:i/>
      <w:iCs/>
      <w:sz w:val="18"/>
      <w:szCs w:val="18"/>
      <w:lang w:val="es-ES" w:bidi="en-US"/>
    </w:rPr>
  </w:style>
  <w:style w:type="paragraph" w:customStyle="1" w:styleId="PDSHeading2">
    <w:name w:val="PDS Heading 2"/>
    <w:next w:val="Normal"/>
    <w:rsid w:val="00E4573C"/>
    <w:pPr>
      <w:keepNext/>
      <w:numPr>
        <w:ilvl w:val="1"/>
        <w:numId w:val="8"/>
      </w:numPr>
    </w:pPr>
    <w:rPr>
      <w:rFonts w:eastAsia="Times New Roman"/>
      <w:b/>
      <w:sz w:val="24"/>
    </w:rPr>
  </w:style>
  <w:style w:type="paragraph" w:customStyle="1" w:styleId="PDSHeading1">
    <w:name w:val="PDS Heading 1"/>
    <w:next w:val="PDSHeading2"/>
    <w:rsid w:val="00E4573C"/>
    <w:pPr>
      <w:keepNext/>
      <w:numPr>
        <w:numId w:val="8"/>
      </w:numPr>
      <w:outlineLvl w:val="0"/>
    </w:pPr>
    <w:rPr>
      <w:rFonts w:eastAsia="Times New Roman"/>
      <w:b/>
      <w:caps/>
      <w:sz w:val="24"/>
    </w:rPr>
  </w:style>
  <w:style w:type="character" w:customStyle="1" w:styleId="Heading2Char">
    <w:name w:val="Heading 2 Char"/>
    <w:link w:val="Heading2"/>
    <w:rsid w:val="00E4573C"/>
    <w:rPr>
      <w:b/>
      <w:bCs/>
      <w:color w:val="000000"/>
      <w:sz w:val="25"/>
      <w:szCs w:val="25"/>
      <w:lang w:eastAsia="ja-JP"/>
    </w:rPr>
  </w:style>
  <w:style w:type="character" w:customStyle="1" w:styleId="Heading3Char">
    <w:name w:val="Heading 3 Char"/>
    <w:link w:val="Heading3"/>
    <w:uiPriority w:val="9"/>
    <w:rsid w:val="00E4573C"/>
    <w:rPr>
      <w:b/>
      <w:bCs/>
      <w:color w:val="000000"/>
      <w:sz w:val="22"/>
      <w:szCs w:val="22"/>
      <w:lang w:eastAsia="ja-JP"/>
    </w:rPr>
  </w:style>
  <w:style w:type="character" w:customStyle="1" w:styleId="Heading4Char">
    <w:name w:val="Heading 4 Char"/>
    <w:link w:val="Heading4"/>
    <w:uiPriority w:val="9"/>
    <w:rsid w:val="00E4573C"/>
    <w:rPr>
      <w:b/>
      <w:bCs/>
      <w:color w:val="000000"/>
      <w:sz w:val="17"/>
      <w:szCs w:val="17"/>
      <w:lang w:eastAsia="ja-JP"/>
    </w:rPr>
  </w:style>
  <w:style w:type="character" w:customStyle="1" w:styleId="HeaderChar">
    <w:name w:val="Header Char"/>
    <w:basedOn w:val="DefaultParagraphFont"/>
    <w:link w:val="Header"/>
    <w:uiPriority w:val="99"/>
    <w:rsid w:val="00E4573C"/>
    <w:rPr>
      <w:sz w:val="24"/>
      <w:szCs w:val="24"/>
      <w:lang w:eastAsia="ja-JP"/>
    </w:rPr>
  </w:style>
  <w:style w:type="character" w:customStyle="1" w:styleId="edpnoticiacontenido">
    <w:name w:val="edpnoticiacontenido"/>
    <w:basedOn w:val="DefaultParagraphFont"/>
    <w:rsid w:val="00E4573C"/>
  </w:style>
  <w:style w:type="paragraph" w:customStyle="1" w:styleId="Pa4">
    <w:name w:val="Pa4"/>
    <w:basedOn w:val="Default"/>
    <w:next w:val="Default"/>
    <w:uiPriority w:val="99"/>
    <w:rsid w:val="00E4573C"/>
    <w:pPr>
      <w:spacing w:line="241" w:lineRule="atLeast"/>
    </w:pPr>
    <w:rPr>
      <w:rFonts w:ascii="Myriad Pro" w:eastAsia="Calibri" w:hAnsi="Myriad Pro" w:cs="Times New Roman"/>
      <w:color w:val="auto"/>
      <w:lang w:val="es-AR"/>
    </w:rPr>
  </w:style>
  <w:style w:type="character" w:customStyle="1" w:styleId="A4">
    <w:name w:val="A4"/>
    <w:uiPriority w:val="99"/>
    <w:rsid w:val="00E4573C"/>
    <w:rPr>
      <w:rFonts w:cs="Myriad Pro"/>
      <w:color w:val="000000"/>
      <w:sz w:val="22"/>
      <w:szCs w:val="22"/>
    </w:rPr>
  </w:style>
  <w:style w:type="paragraph" w:customStyle="1" w:styleId="SectionVIHeader">
    <w:name w:val="Section VI. Header"/>
    <w:basedOn w:val="Normal"/>
    <w:uiPriority w:val="99"/>
    <w:rsid w:val="00E4573C"/>
    <w:pPr>
      <w:spacing w:before="120" w:after="240"/>
      <w:jc w:val="center"/>
    </w:pPr>
    <w:rPr>
      <w:rFonts w:eastAsia="Times New Roman"/>
      <w:b/>
      <w:bCs/>
      <w:sz w:val="36"/>
      <w:szCs w:val="36"/>
      <w:lang w:eastAsia="en-US"/>
    </w:rPr>
  </w:style>
  <w:style w:type="paragraph" w:customStyle="1" w:styleId="BodyText21">
    <w:name w:val="Body Text 21"/>
    <w:basedOn w:val="Normal"/>
    <w:uiPriority w:val="99"/>
    <w:rsid w:val="00E4573C"/>
    <w:pPr>
      <w:jc w:val="both"/>
    </w:pPr>
    <w:rPr>
      <w:rFonts w:eastAsia="Batang"/>
      <w:lang w:val="es-ES" w:eastAsia="es-ES"/>
    </w:rPr>
  </w:style>
  <w:style w:type="character" w:customStyle="1" w:styleId="apple-style-span">
    <w:name w:val="apple-style-span"/>
    <w:basedOn w:val="DefaultParagraphFont"/>
    <w:rsid w:val="00E4573C"/>
  </w:style>
  <w:style w:type="paragraph" w:styleId="Subtitle">
    <w:name w:val="Subtitle"/>
    <w:basedOn w:val="Normal"/>
    <w:next w:val="Normal"/>
    <w:link w:val="SubtitleChar"/>
    <w:uiPriority w:val="11"/>
    <w:qFormat/>
    <w:rsid w:val="00E4573C"/>
    <w:pPr>
      <w:numPr>
        <w:ilvl w:val="1"/>
      </w:numPr>
    </w:pPr>
    <w:rPr>
      <w:rFonts w:ascii="Calibri" w:eastAsia="Times New Roman" w:hAnsi="Calibri"/>
      <w:b/>
      <w:sz w:val="20"/>
      <w:szCs w:val="20"/>
      <w:lang w:val="es-AR" w:eastAsia="en-US"/>
    </w:rPr>
  </w:style>
  <w:style w:type="character" w:customStyle="1" w:styleId="SubtitleChar">
    <w:name w:val="Subtitle Char"/>
    <w:basedOn w:val="DefaultParagraphFont"/>
    <w:link w:val="Subtitle"/>
    <w:uiPriority w:val="11"/>
    <w:rsid w:val="00E4573C"/>
    <w:rPr>
      <w:rFonts w:ascii="Calibri" w:eastAsia="Times New Roman" w:hAnsi="Calibri"/>
      <w:b/>
      <w:lang w:val="es-AR"/>
    </w:rPr>
  </w:style>
  <w:style w:type="character" w:customStyle="1" w:styleId="apple-converted-space">
    <w:name w:val="apple-converted-space"/>
    <w:basedOn w:val="DefaultParagraphFont"/>
    <w:rsid w:val="00E4573C"/>
  </w:style>
  <w:style w:type="paragraph" w:customStyle="1" w:styleId="LightGrid-Accent31">
    <w:name w:val="Light Grid - Accent 31"/>
    <w:basedOn w:val="Normal"/>
    <w:uiPriority w:val="34"/>
    <w:qFormat/>
    <w:rsid w:val="002C7DA5"/>
    <w:pPr>
      <w:spacing w:after="200" w:line="276" w:lineRule="auto"/>
      <w:ind w:left="720"/>
      <w:contextualSpacing/>
    </w:pPr>
    <w:rPr>
      <w:rFonts w:ascii="Calibri" w:eastAsia="Times New Roman" w:hAnsi="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592">
      <w:bodyDiv w:val="1"/>
      <w:marLeft w:val="0"/>
      <w:marRight w:val="0"/>
      <w:marTop w:val="0"/>
      <w:marBottom w:val="0"/>
      <w:divBdr>
        <w:top w:val="none" w:sz="0" w:space="0" w:color="auto"/>
        <w:left w:val="none" w:sz="0" w:space="0" w:color="auto"/>
        <w:bottom w:val="none" w:sz="0" w:space="0" w:color="auto"/>
        <w:right w:val="none" w:sz="0" w:space="0" w:color="auto"/>
      </w:divBdr>
    </w:div>
    <w:div w:id="127745005">
      <w:bodyDiv w:val="1"/>
      <w:marLeft w:val="0"/>
      <w:marRight w:val="0"/>
      <w:marTop w:val="0"/>
      <w:marBottom w:val="0"/>
      <w:divBdr>
        <w:top w:val="none" w:sz="0" w:space="0" w:color="auto"/>
        <w:left w:val="none" w:sz="0" w:space="0" w:color="auto"/>
        <w:bottom w:val="none" w:sz="0" w:space="0" w:color="auto"/>
        <w:right w:val="none" w:sz="0" w:space="0" w:color="auto"/>
      </w:divBdr>
    </w:div>
    <w:div w:id="229507296">
      <w:bodyDiv w:val="1"/>
      <w:marLeft w:val="0"/>
      <w:marRight w:val="0"/>
      <w:marTop w:val="0"/>
      <w:marBottom w:val="0"/>
      <w:divBdr>
        <w:top w:val="none" w:sz="0" w:space="0" w:color="auto"/>
        <w:left w:val="none" w:sz="0" w:space="0" w:color="auto"/>
        <w:bottom w:val="none" w:sz="0" w:space="0" w:color="auto"/>
        <w:right w:val="none" w:sz="0" w:space="0" w:color="auto"/>
      </w:divBdr>
    </w:div>
    <w:div w:id="249237398">
      <w:bodyDiv w:val="1"/>
      <w:marLeft w:val="0"/>
      <w:marRight w:val="0"/>
      <w:marTop w:val="0"/>
      <w:marBottom w:val="0"/>
      <w:divBdr>
        <w:top w:val="none" w:sz="0" w:space="0" w:color="auto"/>
        <w:left w:val="none" w:sz="0" w:space="0" w:color="auto"/>
        <w:bottom w:val="none" w:sz="0" w:space="0" w:color="auto"/>
        <w:right w:val="none" w:sz="0" w:space="0" w:color="auto"/>
      </w:divBdr>
    </w:div>
    <w:div w:id="381097394">
      <w:bodyDiv w:val="1"/>
      <w:marLeft w:val="0"/>
      <w:marRight w:val="0"/>
      <w:marTop w:val="0"/>
      <w:marBottom w:val="0"/>
      <w:divBdr>
        <w:top w:val="none" w:sz="0" w:space="0" w:color="auto"/>
        <w:left w:val="none" w:sz="0" w:space="0" w:color="auto"/>
        <w:bottom w:val="none" w:sz="0" w:space="0" w:color="auto"/>
        <w:right w:val="none" w:sz="0" w:space="0" w:color="auto"/>
      </w:divBdr>
      <w:divsChild>
        <w:div w:id="18774459">
          <w:marLeft w:val="0"/>
          <w:marRight w:val="0"/>
          <w:marTop w:val="0"/>
          <w:marBottom w:val="0"/>
          <w:divBdr>
            <w:top w:val="none" w:sz="0" w:space="0" w:color="auto"/>
            <w:left w:val="none" w:sz="0" w:space="0" w:color="auto"/>
            <w:bottom w:val="none" w:sz="0" w:space="0" w:color="auto"/>
            <w:right w:val="none" w:sz="0" w:space="0" w:color="auto"/>
          </w:divBdr>
          <w:divsChild>
            <w:div w:id="390083778">
              <w:marLeft w:val="0"/>
              <w:marRight w:val="0"/>
              <w:marTop w:val="0"/>
              <w:marBottom w:val="0"/>
              <w:divBdr>
                <w:top w:val="none" w:sz="0" w:space="0" w:color="auto"/>
                <w:left w:val="none" w:sz="0" w:space="0" w:color="auto"/>
                <w:bottom w:val="none" w:sz="0" w:space="0" w:color="auto"/>
                <w:right w:val="none" w:sz="0" w:space="0" w:color="auto"/>
              </w:divBdr>
              <w:divsChild>
                <w:div w:id="1360355048">
                  <w:marLeft w:val="0"/>
                  <w:marRight w:val="0"/>
                  <w:marTop w:val="0"/>
                  <w:marBottom w:val="0"/>
                  <w:divBdr>
                    <w:top w:val="none" w:sz="0" w:space="0" w:color="auto"/>
                    <w:left w:val="none" w:sz="0" w:space="0" w:color="auto"/>
                    <w:bottom w:val="none" w:sz="0" w:space="0" w:color="auto"/>
                    <w:right w:val="none" w:sz="0" w:space="0" w:color="auto"/>
                  </w:divBdr>
                  <w:divsChild>
                    <w:div w:id="660734658">
                      <w:marLeft w:val="0"/>
                      <w:marRight w:val="0"/>
                      <w:marTop w:val="0"/>
                      <w:marBottom w:val="0"/>
                      <w:divBdr>
                        <w:top w:val="none" w:sz="0" w:space="0" w:color="auto"/>
                        <w:left w:val="none" w:sz="0" w:space="0" w:color="auto"/>
                        <w:bottom w:val="none" w:sz="0" w:space="0" w:color="auto"/>
                        <w:right w:val="none" w:sz="0" w:space="0" w:color="auto"/>
                      </w:divBdr>
                      <w:divsChild>
                        <w:div w:id="1775244130">
                          <w:marLeft w:val="0"/>
                          <w:marRight w:val="0"/>
                          <w:marTop w:val="0"/>
                          <w:marBottom w:val="0"/>
                          <w:divBdr>
                            <w:top w:val="none" w:sz="0" w:space="0" w:color="auto"/>
                            <w:left w:val="none" w:sz="0" w:space="0" w:color="auto"/>
                            <w:bottom w:val="none" w:sz="0" w:space="0" w:color="auto"/>
                            <w:right w:val="none" w:sz="0" w:space="0" w:color="auto"/>
                          </w:divBdr>
                          <w:divsChild>
                            <w:div w:id="305549664">
                              <w:marLeft w:val="0"/>
                              <w:marRight w:val="0"/>
                              <w:marTop w:val="0"/>
                              <w:marBottom w:val="0"/>
                              <w:divBdr>
                                <w:top w:val="none" w:sz="0" w:space="0" w:color="auto"/>
                                <w:left w:val="none" w:sz="0" w:space="0" w:color="auto"/>
                                <w:bottom w:val="none" w:sz="0" w:space="0" w:color="auto"/>
                                <w:right w:val="none" w:sz="0" w:space="0" w:color="auto"/>
                              </w:divBdr>
                              <w:divsChild>
                                <w:div w:id="1907378698">
                                  <w:marLeft w:val="0"/>
                                  <w:marRight w:val="0"/>
                                  <w:marTop w:val="0"/>
                                  <w:marBottom w:val="0"/>
                                  <w:divBdr>
                                    <w:top w:val="none" w:sz="0" w:space="0" w:color="auto"/>
                                    <w:left w:val="none" w:sz="0" w:space="0" w:color="auto"/>
                                    <w:bottom w:val="none" w:sz="0" w:space="0" w:color="auto"/>
                                    <w:right w:val="none" w:sz="0" w:space="0" w:color="auto"/>
                                  </w:divBdr>
                                  <w:divsChild>
                                    <w:div w:id="1849589275">
                                      <w:marLeft w:val="0"/>
                                      <w:marRight w:val="0"/>
                                      <w:marTop w:val="0"/>
                                      <w:marBottom w:val="0"/>
                                      <w:divBdr>
                                        <w:top w:val="none" w:sz="0" w:space="0" w:color="auto"/>
                                        <w:left w:val="none" w:sz="0" w:space="0" w:color="auto"/>
                                        <w:bottom w:val="none" w:sz="0" w:space="0" w:color="auto"/>
                                        <w:right w:val="none" w:sz="0" w:space="0" w:color="auto"/>
                                      </w:divBdr>
                                      <w:divsChild>
                                        <w:div w:id="894970766">
                                          <w:marLeft w:val="0"/>
                                          <w:marRight w:val="0"/>
                                          <w:marTop w:val="0"/>
                                          <w:marBottom w:val="0"/>
                                          <w:divBdr>
                                            <w:top w:val="none" w:sz="0" w:space="0" w:color="auto"/>
                                            <w:left w:val="none" w:sz="0" w:space="0" w:color="auto"/>
                                            <w:bottom w:val="none" w:sz="0" w:space="0" w:color="auto"/>
                                            <w:right w:val="none" w:sz="0" w:space="0" w:color="auto"/>
                                          </w:divBdr>
                                          <w:divsChild>
                                            <w:div w:id="403722574">
                                              <w:marLeft w:val="0"/>
                                              <w:marRight w:val="0"/>
                                              <w:marTop w:val="0"/>
                                              <w:marBottom w:val="0"/>
                                              <w:divBdr>
                                                <w:top w:val="none" w:sz="0" w:space="0" w:color="auto"/>
                                                <w:left w:val="none" w:sz="0" w:space="0" w:color="auto"/>
                                                <w:bottom w:val="none" w:sz="0" w:space="0" w:color="auto"/>
                                                <w:right w:val="none" w:sz="0" w:space="0" w:color="auto"/>
                                              </w:divBdr>
                                              <w:divsChild>
                                                <w:div w:id="1614291204">
                                                  <w:marLeft w:val="0"/>
                                                  <w:marRight w:val="0"/>
                                                  <w:marTop w:val="0"/>
                                                  <w:marBottom w:val="0"/>
                                                  <w:divBdr>
                                                    <w:top w:val="none" w:sz="0" w:space="0" w:color="auto"/>
                                                    <w:left w:val="none" w:sz="0" w:space="0" w:color="auto"/>
                                                    <w:bottom w:val="none" w:sz="0" w:space="0" w:color="auto"/>
                                                    <w:right w:val="none" w:sz="0" w:space="0" w:color="auto"/>
                                                  </w:divBdr>
                                                  <w:divsChild>
                                                    <w:div w:id="202065040">
                                                      <w:marLeft w:val="0"/>
                                                      <w:marRight w:val="300"/>
                                                      <w:marTop w:val="0"/>
                                                      <w:marBottom w:val="0"/>
                                                      <w:divBdr>
                                                        <w:top w:val="none" w:sz="0" w:space="0" w:color="auto"/>
                                                        <w:left w:val="none" w:sz="0" w:space="0" w:color="auto"/>
                                                        <w:bottom w:val="none" w:sz="0" w:space="0" w:color="auto"/>
                                                        <w:right w:val="none" w:sz="0" w:space="0" w:color="auto"/>
                                                      </w:divBdr>
                                                      <w:divsChild>
                                                        <w:div w:id="1636712216">
                                                          <w:marLeft w:val="0"/>
                                                          <w:marRight w:val="0"/>
                                                          <w:marTop w:val="0"/>
                                                          <w:marBottom w:val="0"/>
                                                          <w:divBdr>
                                                            <w:top w:val="none" w:sz="0" w:space="0" w:color="auto"/>
                                                            <w:left w:val="none" w:sz="0" w:space="0" w:color="auto"/>
                                                            <w:bottom w:val="none" w:sz="0" w:space="0" w:color="auto"/>
                                                            <w:right w:val="none" w:sz="0" w:space="0" w:color="auto"/>
                                                          </w:divBdr>
                                                          <w:divsChild>
                                                            <w:div w:id="1695107700">
                                                              <w:marLeft w:val="0"/>
                                                              <w:marRight w:val="0"/>
                                                              <w:marTop w:val="0"/>
                                                              <w:marBottom w:val="0"/>
                                                              <w:divBdr>
                                                                <w:top w:val="none" w:sz="0" w:space="0" w:color="auto"/>
                                                                <w:left w:val="none" w:sz="0" w:space="0" w:color="auto"/>
                                                                <w:bottom w:val="none" w:sz="0" w:space="0" w:color="auto"/>
                                                                <w:right w:val="none" w:sz="0" w:space="0" w:color="auto"/>
                                                              </w:divBdr>
                                                              <w:divsChild>
                                                                <w:div w:id="1874533547">
                                                                  <w:marLeft w:val="0"/>
                                                                  <w:marRight w:val="0"/>
                                                                  <w:marTop w:val="0"/>
                                                                  <w:marBottom w:val="0"/>
                                                                  <w:divBdr>
                                                                    <w:top w:val="none" w:sz="0" w:space="0" w:color="auto"/>
                                                                    <w:left w:val="none" w:sz="0" w:space="0" w:color="auto"/>
                                                                    <w:bottom w:val="none" w:sz="0" w:space="0" w:color="auto"/>
                                                                    <w:right w:val="none" w:sz="0" w:space="0" w:color="auto"/>
                                                                  </w:divBdr>
                                                                  <w:divsChild>
                                                                    <w:div w:id="694421914">
                                                                      <w:marLeft w:val="0"/>
                                                                      <w:marRight w:val="0"/>
                                                                      <w:marTop w:val="0"/>
                                                                      <w:marBottom w:val="360"/>
                                                                      <w:divBdr>
                                                                        <w:top w:val="single" w:sz="6" w:space="0" w:color="CCCCCC"/>
                                                                        <w:left w:val="none" w:sz="0" w:space="0" w:color="auto"/>
                                                                        <w:bottom w:val="none" w:sz="0" w:space="0" w:color="auto"/>
                                                                        <w:right w:val="none" w:sz="0" w:space="0" w:color="auto"/>
                                                                      </w:divBdr>
                                                                      <w:divsChild>
                                                                        <w:div w:id="1434327566">
                                                                          <w:marLeft w:val="0"/>
                                                                          <w:marRight w:val="0"/>
                                                                          <w:marTop w:val="0"/>
                                                                          <w:marBottom w:val="0"/>
                                                                          <w:divBdr>
                                                                            <w:top w:val="none" w:sz="0" w:space="0" w:color="auto"/>
                                                                            <w:left w:val="none" w:sz="0" w:space="0" w:color="auto"/>
                                                                            <w:bottom w:val="none" w:sz="0" w:space="0" w:color="auto"/>
                                                                            <w:right w:val="none" w:sz="0" w:space="0" w:color="auto"/>
                                                                          </w:divBdr>
                                                                          <w:divsChild>
                                                                            <w:div w:id="454370942">
                                                                              <w:marLeft w:val="0"/>
                                                                              <w:marRight w:val="0"/>
                                                                              <w:marTop w:val="0"/>
                                                                              <w:marBottom w:val="0"/>
                                                                              <w:divBdr>
                                                                                <w:top w:val="none" w:sz="0" w:space="0" w:color="auto"/>
                                                                                <w:left w:val="none" w:sz="0" w:space="0" w:color="auto"/>
                                                                                <w:bottom w:val="none" w:sz="0" w:space="0" w:color="auto"/>
                                                                                <w:right w:val="none" w:sz="0" w:space="0" w:color="auto"/>
                                                                              </w:divBdr>
                                                                              <w:divsChild>
                                                                                <w:div w:id="972909506">
                                                                                  <w:marLeft w:val="0"/>
                                                                                  <w:marRight w:val="0"/>
                                                                                  <w:marTop w:val="0"/>
                                                                                  <w:marBottom w:val="0"/>
                                                                                  <w:divBdr>
                                                                                    <w:top w:val="none" w:sz="0" w:space="0" w:color="auto"/>
                                                                                    <w:left w:val="none" w:sz="0" w:space="0" w:color="auto"/>
                                                                                    <w:bottom w:val="none" w:sz="0" w:space="0" w:color="auto"/>
                                                                                    <w:right w:val="none" w:sz="0" w:space="0" w:color="auto"/>
                                                                                  </w:divBdr>
                                                                                  <w:divsChild>
                                                                                    <w:div w:id="95637317">
                                                                                      <w:marLeft w:val="0"/>
                                                                                      <w:marRight w:val="0"/>
                                                                                      <w:marTop w:val="0"/>
                                                                                      <w:marBottom w:val="0"/>
                                                                                      <w:divBdr>
                                                                                        <w:top w:val="none" w:sz="0" w:space="0" w:color="auto"/>
                                                                                        <w:left w:val="none" w:sz="0" w:space="0" w:color="auto"/>
                                                                                        <w:bottom w:val="none" w:sz="0" w:space="0" w:color="auto"/>
                                                                                        <w:right w:val="none" w:sz="0" w:space="0" w:color="auto"/>
                                                                                      </w:divBdr>
                                                                                      <w:divsChild>
                                                                                        <w:div w:id="10488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613751">
      <w:bodyDiv w:val="1"/>
      <w:marLeft w:val="0"/>
      <w:marRight w:val="0"/>
      <w:marTop w:val="0"/>
      <w:marBottom w:val="0"/>
      <w:divBdr>
        <w:top w:val="none" w:sz="0" w:space="0" w:color="auto"/>
        <w:left w:val="none" w:sz="0" w:space="0" w:color="auto"/>
        <w:bottom w:val="none" w:sz="0" w:space="0" w:color="auto"/>
        <w:right w:val="none" w:sz="0" w:space="0" w:color="auto"/>
      </w:divBdr>
    </w:div>
    <w:div w:id="694501665">
      <w:marLeft w:val="0"/>
      <w:marRight w:val="0"/>
      <w:marTop w:val="0"/>
      <w:marBottom w:val="0"/>
      <w:divBdr>
        <w:top w:val="none" w:sz="0" w:space="0" w:color="auto"/>
        <w:left w:val="none" w:sz="0" w:space="0" w:color="auto"/>
        <w:bottom w:val="none" w:sz="0" w:space="0" w:color="auto"/>
        <w:right w:val="none" w:sz="0" w:space="0" w:color="auto"/>
      </w:divBdr>
    </w:div>
    <w:div w:id="738553075">
      <w:marLeft w:val="0"/>
      <w:marRight w:val="0"/>
      <w:marTop w:val="0"/>
      <w:marBottom w:val="0"/>
      <w:divBdr>
        <w:top w:val="none" w:sz="0" w:space="0" w:color="auto"/>
        <w:left w:val="none" w:sz="0" w:space="0" w:color="auto"/>
        <w:bottom w:val="none" w:sz="0" w:space="0" w:color="auto"/>
        <w:right w:val="none" w:sz="0" w:space="0" w:color="auto"/>
      </w:divBdr>
      <w:divsChild>
        <w:div w:id="1722093135">
          <w:marLeft w:val="0"/>
          <w:marRight w:val="0"/>
          <w:marTop w:val="0"/>
          <w:marBottom w:val="0"/>
          <w:divBdr>
            <w:top w:val="none" w:sz="0" w:space="0" w:color="auto"/>
            <w:left w:val="none" w:sz="0" w:space="0" w:color="auto"/>
            <w:bottom w:val="none" w:sz="0" w:space="0" w:color="auto"/>
            <w:right w:val="none" w:sz="0" w:space="0" w:color="auto"/>
          </w:divBdr>
        </w:div>
      </w:divsChild>
    </w:div>
    <w:div w:id="768769395">
      <w:bodyDiv w:val="1"/>
      <w:marLeft w:val="0"/>
      <w:marRight w:val="0"/>
      <w:marTop w:val="0"/>
      <w:marBottom w:val="0"/>
      <w:divBdr>
        <w:top w:val="none" w:sz="0" w:space="0" w:color="auto"/>
        <w:left w:val="none" w:sz="0" w:space="0" w:color="auto"/>
        <w:bottom w:val="none" w:sz="0" w:space="0" w:color="auto"/>
        <w:right w:val="none" w:sz="0" w:space="0" w:color="auto"/>
      </w:divBdr>
    </w:div>
    <w:div w:id="822895657">
      <w:marLeft w:val="0"/>
      <w:marRight w:val="0"/>
      <w:marTop w:val="0"/>
      <w:marBottom w:val="0"/>
      <w:divBdr>
        <w:top w:val="none" w:sz="0" w:space="0" w:color="auto"/>
        <w:left w:val="none" w:sz="0" w:space="0" w:color="auto"/>
        <w:bottom w:val="none" w:sz="0" w:space="0" w:color="auto"/>
        <w:right w:val="none" w:sz="0" w:space="0" w:color="auto"/>
      </w:divBdr>
    </w:div>
    <w:div w:id="830173165">
      <w:bodyDiv w:val="1"/>
      <w:marLeft w:val="0"/>
      <w:marRight w:val="0"/>
      <w:marTop w:val="0"/>
      <w:marBottom w:val="0"/>
      <w:divBdr>
        <w:top w:val="none" w:sz="0" w:space="0" w:color="auto"/>
        <w:left w:val="none" w:sz="0" w:space="0" w:color="auto"/>
        <w:bottom w:val="none" w:sz="0" w:space="0" w:color="auto"/>
        <w:right w:val="none" w:sz="0" w:space="0" w:color="auto"/>
      </w:divBdr>
    </w:div>
    <w:div w:id="966354687">
      <w:bodyDiv w:val="1"/>
      <w:marLeft w:val="0"/>
      <w:marRight w:val="0"/>
      <w:marTop w:val="0"/>
      <w:marBottom w:val="0"/>
      <w:divBdr>
        <w:top w:val="none" w:sz="0" w:space="0" w:color="auto"/>
        <w:left w:val="none" w:sz="0" w:space="0" w:color="auto"/>
        <w:bottom w:val="none" w:sz="0" w:space="0" w:color="auto"/>
        <w:right w:val="none" w:sz="0" w:space="0" w:color="auto"/>
      </w:divBdr>
    </w:div>
    <w:div w:id="118767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722002">
      <w:bodyDiv w:val="1"/>
      <w:marLeft w:val="0"/>
      <w:marRight w:val="0"/>
      <w:marTop w:val="0"/>
      <w:marBottom w:val="0"/>
      <w:divBdr>
        <w:top w:val="none" w:sz="0" w:space="0" w:color="auto"/>
        <w:left w:val="none" w:sz="0" w:space="0" w:color="auto"/>
        <w:bottom w:val="none" w:sz="0" w:space="0" w:color="auto"/>
        <w:right w:val="none" w:sz="0" w:space="0" w:color="auto"/>
      </w:divBdr>
    </w:div>
    <w:div w:id="1227227278">
      <w:bodyDiv w:val="1"/>
      <w:marLeft w:val="0"/>
      <w:marRight w:val="360"/>
      <w:marTop w:val="0"/>
      <w:marBottom w:val="0"/>
      <w:divBdr>
        <w:top w:val="none" w:sz="0" w:space="0" w:color="auto"/>
        <w:left w:val="none" w:sz="0" w:space="0" w:color="auto"/>
        <w:bottom w:val="none" w:sz="0" w:space="0" w:color="auto"/>
        <w:right w:val="none" w:sz="0" w:space="0" w:color="auto"/>
      </w:divBdr>
      <w:divsChild>
        <w:div w:id="736636366">
          <w:marLeft w:val="240"/>
          <w:marRight w:val="240"/>
          <w:marTop w:val="0"/>
          <w:marBottom w:val="0"/>
          <w:divBdr>
            <w:top w:val="none" w:sz="0" w:space="0" w:color="auto"/>
            <w:left w:val="none" w:sz="0" w:space="0" w:color="auto"/>
            <w:bottom w:val="none" w:sz="0" w:space="0" w:color="auto"/>
            <w:right w:val="none" w:sz="0" w:space="0" w:color="auto"/>
          </w:divBdr>
          <w:divsChild>
            <w:div w:id="17633035">
              <w:marLeft w:val="0"/>
              <w:marRight w:val="0"/>
              <w:marTop w:val="0"/>
              <w:marBottom w:val="0"/>
              <w:divBdr>
                <w:top w:val="none" w:sz="0" w:space="0" w:color="auto"/>
                <w:left w:val="none" w:sz="0" w:space="0" w:color="auto"/>
                <w:bottom w:val="none" w:sz="0" w:space="0" w:color="auto"/>
                <w:right w:val="none" w:sz="0" w:space="0" w:color="auto"/>
              </w:divBdr>
              <w:divsChild>
                <w:div w:id="1907106405">
                  <w:marLeft w:val="240"/>
                  <w:marRight w:val="240"/>
                  <w:marTop w:val="0"/>
                  <w:marBottom w:val="0"/>
                  <w:divBdr>
                    <w:top w:val="none" w:sz="0" w:space="0" w:color="auto"/>
                    <w:left w:val="none" w:sz="0" w:space="0" w:color="auto"/>
                    <w:bottom w:val="none" w:sz="0" w:space="0" w:color="auto"/>
                    <w:right w:val="none" w:sz="0" w:space="0" w:color="auto"/>
                  </w:divBdr>
                  <w:divsChild>
                    <w:div w:id="1815175578">
                      <w:marLeft w:val="0"/>
                      <w:marRight w:val="0"/>
                      <w:marTop w:val="0"/>
                      <w:marBottom w:val="0"/>
                      <w:divBdr>
                        <w:top w:val="none" w:sz="0" w:space="0" w:color="auto"/>
                        <w:left w:val="none" w:sz="0" w:space="0" w:color="auto"/>
                        <w:bottom w:val="none" w:sz="0" w:space="0" w:color="auto"/>
                        <w:right w:val="none" w:sz="0" w:space="0" w:color="auto"/>
                      </w:divBdr>
                      <w:divsChild>
                        <w:div w:id="2023511209">
                          <w:marLeft w:val="240"/>
                          <w:marRight w:val="240"/>
                          <w:marTop w:val="0"/>
                          <w:marBottom w:val="0"/>
                          <w:divBdr>
                            <w:top w:val="none" w:sz="0" w:space="0" w:color="auto"/>
                            <w:left w:val="none" w:sz="0" w:space="0" w:color="auto"/>
                            <w:bottom w:val="none" w:sz="0" w:space="0" w:color="auto"/>
                            <w:right w:val="none" w:sz="0" w:space="0" w:color="auto"/>
                          </w:divBdr>
                          <w:divsChild>
                            <w:div w:id="1010448364">
                              <w:marLeft w:val="0"/>
                              <w:marRight w:val="0"/>
                              <w:marTop w:val="0"/>
                              <w:marBottom w:val="0"/>
                              <w:divBdr>
                                <w:top w:val="none" w:sz="0" w:space="0" w:color="auto"/>
                                <w:left w:val="none" w:sz="0" w:space="0" w:color="auto"/>
                                <w:bottom w:val="none" w:sz="0" w:space="0" w:color="auto"/>
                                <w:right w:val="none" w:sz="0" w:space="0" w:color="auto"/>
                              </w:divBdr>
                              <w:divsChild>
                                <w:div w:id="1932080140">
                                  <w:marLeft w:val="240"/>
                                  <w:marRight w:val="240"/>
                                  <w:marTop w:val="0"/>
                                  <w:marBottom w:val="0"/>
                                  <w:divBdr>
                                    <w:top w:val="none" w:sz="0" w:space="0" w:color="auto"/>
                                    <w:left w:val="none" w:sz="0" w:space="0" w:color="auto"/>
                                    <w:bottom w:val="none" w:sz="0" w:space="0" w:color="auto"/>
                                    <w:right w:val="none" w:sz="0" w:space="0" w:color="auto"/>
                                  </w:divBdr>
                                  <w:divsChild>
                                    <w:div w:id="1181044314">
                                      <w:marLeft w:val="0"/>
                                      <w:marRight w:val="0"/>
                                      <w:marTop w:val="0"/>
                                      <w:marBottom w:val="0"/>
                                      <w:divBdr>
                                        <w:top w:val="none" w:sz="0" w:space="0" w:color="auto"/>
                                        <w:left w:val="none" w:sz="0" w:space="0" w:color="auto"/>
                                        <w:bottom w:val="none" w:sz="0" w:space="0" w:color="auto"/>
                                        <w:right w:val="none" w:sz="0" w:space="0" w:color="auto"/>
                                      </w:divBdr>
                                      <w:divsChild>
                                        <w:div w:id="1852790632">
                                          <w:marLeft w:val="240"/>
                                          <w:marRight w:val="240"/>
                                          <w:marTop w:val="0"/>
                                          <w:marBottom w:val="0"/>
                                          <w:divBdr>
                                            <w:top w:val="none" w:sz="0" w:space="0" w:color="auto"/>
                                            <w:left w:val="none" w:sz="0" w:space="0" w:color="auto"/>
                                            <w:bottom w:val="none" w:sz="0" w:space="0" w:color="auto"/>
                                            <w:right w:val="none" w:sz="0" w:space="0" w:color="auto"/>
                                          </w:divBdr>
                                          <w:divsChild>
                                            <w:div w:id="1777675730">
                                              <w:marLeft w:val="0"/>
                                              <w:marRight w:val="0"/>
                                              <w:marTop w:val="0"/>
                                              <w:marBottom w:val="0"/>
                                              <w:divBdr>
                                                <w:top w:val="none" w:sz="0" w:space="0" w:color="auto"/>
                                                <w:left w:val="none" w:sz="0" w:space="0" w:color="auto"/>
                                                <w:bottom w:val="none" w:sz="0" w:space="0" w:color="auto"/>
                                                <w:right w:val="none" w:sz="0" w:space="0" w:color="auto"/>
                                              </w:divBdr>
                                              <w:divsChild>
                                                <w:div w:id="15818625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214371">
      <w:bodyDiv w:val="1"/>
      <w:marLeft w:val="0"/>
      <w:marRight w:val="0"/>
      <w:marTop w:val="0"/>
      <w:marBottom w:val="0"/>
      <w:divBdr>
        <w:top w:val="none" w:sz="0" w:space="0" w:color="auto"/>
        <w:left w:val="none" w:sz="0" w:space="0" w:color="auto"/>
        <w:bottom w:val="none" w:sz="0" w:space="0" w:color="auto"/>
        <w:right w:val="none" w:sz="0" w:space="0" w:color="auto"/>
      </w:divBdr>
    </w:div>
    <w:div w:id="1351762263">
      <w:bodyDiv w:val="1"/>
      <w:marLeft w:val="0"/>
      <w:marRight w:val="0"/>
      <w:marTop w:val="0"/>
      <w:marBottom w:val="0"/>
      <w:divBdr>
        <w:top w:val="none" w:sz="0" w:space="0" w:color="auto"/>
        <w:left w:val="none" w:sz="0" w:space="0" w:color="auto"/>
        <w:bottom w:val="none" w:sz="0" w:space="0" w:color="auto"/>
        <w:right w:val="none" w:sz="0" w:space="0" w:color="auto"/>
      </w:divBdr>
    </w:div>
    <w:div w:id="1527131202">
      <w:bodyDiv w:val="1"/>
      <w:marLeft w:val="0"/>
      <w:marRight w:val="0"/>
      <w:marTop w:val="0"/>
      <w:marBottom w:val="0"/>
      <w:divBdr>
        <w:top w:val="none" w:sz="0" w:space="0" w:color="auto"/>
        <w:left w:val="none" w:sz="0" w:space="0" w:color="auto"/>
        <w:bottom w:val="none" w:sz="0" w:space="0" w:color="auto"/>
        <w:right w:val="none" w:sz="0" w:space="0" w:color="auto"/>
      </w:divBdr>
    </w:div>
    <w:div w:id="1551651468">
      <w:bodyDiv w:val="1"/>
      <w:marLeft w:val="0"/>
      <w:marRight w:val="0"/>
      <w:marTop w:val="0"/>
      <w:marBottom w:val="0"/>
      <w:divBdr>
        <w:top w:val="none" w:sz="0" w:space="0" w:color="auto"/>
        <w:left w:val="none" w:sz="0" w:space="0" w:color="auto"/>
        <w:bottom w:val="none" w:sz="0" w:space="0" w:color="auto"/>
        <w:right w:val="none" w:sz="0" w:space="0" w:color="auto"/>
      </w:divBdr>
    </w:div>
    <w:div w:id="1604923111">
      <w:bodyDiv w:val="1"/>
      <w:marLeft w:val="0"/>
      <w:marRight w:val="0"/>
      <w:marTop w:val="0"/>
      <w:marBottom w:val="0"/>
      <w:divBdr>
        <w:top w:val="none" w:sz="0" w:space="0" w:color="auto"/>
        <w:left w:val="none" w:sz="0" w:space="0" w:color="auto"/>
        <w:bottom w:val="none" w:sz="0" w:space="0" w:color="auto"/>
        <w:right w:val="none" w:sz="0" w:space="0" w:color="auto"/>
      </w:divBdr>
    </w:div>
    <w:div w:id="1610896494">
      <w:bodyDiv w:val="1"/>
      <w:marLeft w:val="0"/>
      <w:marRight w:val="0"/>
      <w:marTop w:val="0"/>
      <w:marBottom w:val="0"/>
      <w:divBdr>
        <w:top w:val="none" w:sz="0" w:space="0" w:color="auto"/>
        <w:left w:val="none" w:sz="0" w:space="0" w:color="auto"/>
        <w:bottom w:val="none" w:sz="0" w:space="0" w:color="auto"/>
        <w:right w:val="none" w:sz="0" w:space="0" w:color="auto"/>
      </w:divBdr>
    </w:div>
    <w:div w:id="1622300614">
      <w:bodyDiv w:val="1"/>
      <w:marLeft w:val="0"/>
      <w:marRight w:val="0"/>
      <w:marTop w:val="0"/>
      <w:marBottom w:val="0"/>
      <w:divBdr>
        <w:top w:val="none" w:sz="0" w:space="0" w:color="auto"/>
        <w:left w:val="none" w:sz="0" w:space="0" w:color="auto"/>
        <w:bottom w:val="none" w:sz="0" w:space="0" w:color="auto"/>
        <w:right w:val="none" w:sz="0" w:space="0" w:color="auto"/>
      </w:divBdr>
    </w:div>
    <w:div w:id="1681158209">
      <w:bodyDiv w:val="1"/>
      <w:marLeft w:val="0"/>
      <w:marRight w:val="0"/>
      <w:marTop w:val="0"/>
      <w:marBottom w:val="0"/>
      <w:divBdr>
        <w:top w:val="none" w:sz="0" w:space="0" w:color="auto"/>
        <w:left w:val="none" w:sz="0" w:space="0" w:color="auto"/>
        <w:bottom w:val="none" w:sz="0" w:space="0" w:color="auto"/>
        <w:right w:val="none" w:sz="0" w:space="0" w:color="auto"/>
      </w:divBdr>
    </w:div>
    <w:div w:id="1701473280">
      <w:bodyDiv w:val="1"/>
      <w:marLeft w:val="0"/>
      <w:marRight w:val="0"/>
      <w:marTop w:val="0"/>
      <w:marBottom w:val="0"/>
      <w:divBdr>
        <w:top w:val="none" w:sz="0" w:space="0" w:color="auto"/>
        <w:left w:val="none" w:sz="0" w:space="0" w:color="auto"/>
        <w:bottom w:val="none" w:sz="0" w:space="0" w:color="auto"/>
        <w:right w:val="none" w:sz="0" w:space="0" w:color="auto"/>
      </w:divBdr>
    </w:div>
    <w:div w:id="1714844239">
      <w:bodyDiv w:val="1"/>
      <w:marLeft w:val="0"/>
      <w:marRight w:val="0"/>
      <w:marTop w:val="0"/>
      <w:marBottom w:val="0"/>
      <w:divBdr>
        <w:top w:val="none" w:sz="0" w:space="0" w:color="auto"/>
        <w:left w:val="none" w:sz="0" w:space="0" w:color="auto"/>
        <w:bottom w:val="none" w:sz="0" w:space="0" w:color="auto"/>
        <w:right w:val="none" w:sz="0" w:space="0" w:color="auto"/>
      </w:divBdr>
    </w:div>
    <w:div w:id="1781756478">
      <w:bodyDiv w:val="1"/>
      <w:marLeft w:val="0"/>
      <w:marRight w:val="0"/>
      <w:marTop w:val="0"/>
      <w:marBottom w:val="0"/>
      <w:divBdr>
        <w:top w:val="none" w:sz="0" w:space="0" w:color="auto"/>
        <w:left w:val="none" w:sz="0" w:space="0" w:color="auto"/>
        <w:bottom w:val="none" w:sz="0" w:space="0" w:color="auto"/>
        <w:right w:val="none" w:sz="0" w:space="0" w:color="auto"/>
      </w:divBdr>
      <w:divsChild>
        <w:div w:id="1737388736">
          <w:marLeft w:val="0"/>
          <w:marRight w:val="0"/>
          <w:marTop w:val="0"/>
          <w:marBottom w:val="0"/>
          <w:divBdr>
            <w:top w:val="none" w:sz="0" w:space="0" w:color="auto"/>
            <w:left w:val="none" w:sz="0" w:space="0" w:color="auto"/>
            <w:bottom w:val="none" w:sz="0" w:space="0" w:color="auto"/>
            <w:right w:val="none" w:sz="0" w:space="0" w:color="auto"/>
          </w:divBdr>
          <w:divsChild>
            <w:div w:id="1110707424">
              <w:marLeft w:val="0"/>
              <w:marRight w:val="0"/>
              <w:marTop w:val="0"/>
              <w:marBottom w:val="0"/>
              <w:divBdr>
                <w:top w:val="none" w:sz="0" w:space="0" w:color="auto"/>
                <w:left w:val="none" w:sz="0" w:space="0" w:color="auto"/>
                <w:bottom w:val="none" w:sz="0" w:space="0" w:color="auto"/>
                <w:right w:val="none" w:sz="0" w:space="0" w:color="auto"/>
              </w:divBdr>
              <w:divsChild>
                <w:div w:id="1587032202">
                  <w:marLeft w:val="0"/>
                  <w:marRight w:val="0"/>
                  <w:marTop w:val="0"/>
                  <w:marBottom w:val="0"/>
                  <w:divBdr>
                    <w:top w:val="none" w:sz="0" w:space="0" w:color="auto"/>
                    <w:left w:val="none" w:sz="0" w:space="0" w:color="auto"/>
                    <w:bottom w:val="none" w:sz="0" w:space="0" w:color="auto"/>
                    <w:right w:val="none" w:sz="0" w:space="0" w:color="auto"/>
                  </w:divBdr>
                  <w:divsChild>
                    <w:div w:id="1519853399">
                      <w:marLeft w:val="0"/>
                      <w:marRight w:val="0"/>
                      <w:marTop w:val="0"/>
                      <w:marBottom w:val="0"/>
                      <w:divBdr>
                        <w:top w:val="none" w:sz="0" w:space="0" w:color="auto"/>
                        <w:left w:val="none" w:sz="0" w:space="0" w:color="auto"/>
                        <w:bottom w:val="none" w:sz="0" w:space="0" w:color="auto"/>
                        <w:right w:val="none" w:sz="0" w:space="0" w:color="auto"/>
                      </w:divBdr>
                      <w:divsChild>
                        <w:div w:id="1563373130">
                          <w:marLeft w:val="0"/>
                          <w:marRight w:val="0"/>
                          <w:marTop w:val="0"/>
                          <w:marBottom w:val="0"/>
                          <w:divBdr>
                            <w:top w:val="none" w:sz="0" w:space="0" w:color="auto"/>
                            <w:left w:val="none" w:sz="0" w:space="0" w:color="auto"/>
                            <w:bottom w:val="none" w:sz="0" w:space="0" w:color="auto"/>
                            <w:right w:val="none" w:sz="0" w:space="0" w:color="auto"/>
                          </w:divBdr>
                          <w:divsChild>
                            <w:div w:id="1382023531">
                              <w:marLeft w:val="0"/>
                              <w:marRight w:val="0"/>
                              <w:marTop w:val="0"/>
                              <w:marBottom w:val="0"/>
                              <w:divBdr>
                                <w:top w:val="none" w:sz="0" w:space="0" w:color="auto"/>
                                <w:left w:val="none" w:sz="0" w:space="0" w:color="auto"/>
                                <w:bottom w:val="none" w:sz="0" w:space="0" w:color="auto"/>
                                <w:right w:val="none" w:sz="0" w:space="0" w:color="auto"/>
                              </w:divBdr>
                              <w:divsChild>
                                <w:div w:id="1278878671">
                                  <w:marLeft w:val="0"/>
                                  <w:marRight w:val="0"/>
                                  <w:marTop w:val="0"/>
                                  <w:marBottom w:val="0"/>
                                  <w:divBdr>
                                    <w:top w:val="none" w:sz="0" w:space="0" w:color="auto"/>
                                    <w:left w:val="none" w:sz="0" w:space="0" w:color="auto"/>
                                    <w:bottom w:val="none" w:sz="0" w:space="0" w:color="auto"/>
                                    <w:right w:val="none" w:sz="0" w:space="0" w:color="auto"/>
                                  </w:divBdr>
                                  <w:divsChild>
                                    <w:div w:id="2091778957">
                                      <w:marLeft w:val="0"/>
                                      <w:marRight w:val="0"/>
                                      <w:marTop w:val="0"/>
                                      <w:marBottom w:val="0"/>
                                      <w:divBdr>
                                        <w:top w:val="none" w:sz="0" w:space="0" w:color="auto"/>
                                        <w:left w:val="none" w:sz="0" w:space="0" w:color="auto"/>
                                        <w:bottom w:val="none" w:sz="0" w:space="0" w:color="auto"/>
                                        <w:right w:val="none" w:sz="0" w:space="0" w:color="auto"/>
                                      </w:divBdr>
                                      <w:divsChild>
                                        <w:div w:id="300813626">
                                          <w:marLeft w:val="0"/>
                                          <w:marRight w:val="0"/>
                                          <w:marTop w:val="0"/>
                                          <w:marBottom w:val="0"/>
                                          <w:divBdr>
                                            <w:top w:val="none" w:sz="0" w:space="0" w:color="auto"/>
                                            <w:left w:val="none" w:sz="0" w:space="0" w:color="auto"/>
                                            <w:bottom w:val="none" w:sz="0" w:space="0" w:color="auto"/>
                                            <w:right w:val="none" w:sz="0" w:space="0" w:color="auto"/>
                                          </w:divBdr>
                                          <w:divsChild>
                                            <w:div w:id="852455315">
                                              <w:marLeft w:val="0"/>
                                              <w:marRight w:val="0"/>
                                              <w:marTop w:val="0"/>
                                              <w:marBottom w:val="0"/>
                                              <w:divBdr>
                                                <w:top w:val="none" w:sz="0" w:space="0" w:color="auto"/>
                                                <w:left w:val="none" w:sz="0" w:space="0" w:color="auto"/>
                                                <w:bottom w:val="none" w:sz="0" w:space="0" w:color="auto"/>
                                                <w:right w:val="none" w:sz="0" w:space="0" w:color="auto"/>
                                              </w:divBdr>
                                              <w:divsChild>
                                                <w:div w:id="616331207">
                                                  <w:marLeft w:val="0"/>
                                                  <w:marRight w:val="0"/>
                                                  <w:marTop w:val="0"/>
                                                  <w:marBottom w:val="0"/>
                                                  <w:divBdr>
                                                    <w:top w:val="none" w:sz="0" w:space="0" w:color="auto"/>
                                                    <w:left w:val="none" w:sz="0" w:space="0" w:color="auto"/>
                                                    <w:bottom w:val="none" w:sz="0" w:space="0" w:color="auto"/>
                                                    <w:right w:val="none" w:sz="0" w:space="0" w:color="auto"/>
                                                  </w:divBdr>
                                                  <w:divsChild>
                                                    <w:div w:id="1023943683">
                                                      <w:marLeft w:val="0"/>
                                                      <w:marRight w:val="300"/>
                                                      <w:marTop w:val="0"/>
                                                      <w:marBottom w:val="0"/>
                                                      <w:divBdr>
                                                        <w:top w:val="none" w:sz="0" w:space="0" w:color="auto"/>
                                                        <w:left w:val="none" w:sz="0" w:space="0" w:color="auto"/>
                                                        <w:bottom w:val="none" w:sz="0" w:space="0" w:color="auto"/>
                                                        <w:right w:val="none" w:sz="0" w:space="0" w:color="auto"/>
                                                      </w:divBdr>
                                                      <w:divsChild>
                                                        <w:div w:id="1838768677">
                                                          <w:marLeft w:val="0"/>
                                                          <w:marRight w:val="0"/>
                                                          <w:marTop w:val="0"/>
                                                          <w:marBottom w:val="0"/>
                                                          <w:divBdr>
                                                            <w:top w:val="none" w:sz="0" w:space="0" w:color="auto"/>
                                                            <w:left w:val="none" w:sz="0" w:space="0" w:color="auto"/>
                                                            <w:bottom w:val="none" w:sz="0" w:space="0" w:color="auto"/>
                                                            <w:right w:val="none" w:sz="0" w:space="0" w:color="auto"/>
                                                          </w:divBdr>
                                                          <w:divsChild>
                                                            <w:div w:id="1247265">
                                                              <w:marLeft w:val="0"/>
                                                              <w:marRight w:val="0"/>
                                                              <w:marTop w:val="0"/>
                                                              <w:marBottom w:val="0"/>
                                                              <w:divBdr>
                                                                <w:top w:val="none" w:sz="0" w:space="0" w:color="auto"/>
                                                                <w:left w:val="none" w:sz="0" w:space="0" w:color="auto"/>
                                                                <w:bottom w:val="none" w:sz="0" w:space="0" w:color="auto"/>
                                                                <w:right w:val="none" w:sz="0" w:space="0" w:color="auto"/>
                                                              </w:divBdr>
                                                              <w:divsChild>
                                                                <w:div w:id="342822446">
                                                                  <w:marLeft w:val="0"/>
                                                                  <w:marRight w:val="0"/>
                                                                  <w:marTop w:val="0"/>
                                                                  <w:marBottom w:val="0"/>
                                                                  <w:divBdr>
                                                                    <w:top w:val="none" w:sz="0" w:space="0" w:color="auto"/>
                                                                    <w:left w:val="none" w:sz="0" w:space="0" w:color="auto"/>
                                                                    <w:bottom w:val="none" w:sz="0" w:space="0" w:color="auto"/>
                                                                    <w:right w:val="none" w:sz="0" w:space="0" w:color="auto"/>
                                                                  </w:divBdr>
                                                                  <w:divsChild>
                                                                    <w:div w:id="569659148">
                                                                      <w:marLeft w:val="0"/>
                                                                      <w:marRight w:val="0"/>
                                                                      <w:marTop w:val="0"/>
                                                                      <w:marBottom w:val="360"/>
                                                                      <w:divBdr>
                                                                        <w:top w:val="single" w:sz="6" w:space="0" w:color="CCCCCC"/>
                                                                        <w:left w:val="none" w:sz="0" w:space="0" w:color="auto"/>
                                                                        <w:bottom w:val="none" w:sz="0" w:space="0" w:color="auto"/>
                                                                        <w:right w:val="none" w:sz="0" w:space="0" w:color="auto"/>
                                                                      </w:divBdr>
                                                                      <w:divsChild>
                                                                        <w:div w:id="2020963484">
                                                                          <w:marLeft w:val="0"/>
                                                                          <w:marRight w:val="0"/>
                                                                          <w:marTop w:val="0"/>
                                                                          <w:marBottom w:val="0"/>
                                                                          <w:divBdr>
                                                                            <w:top w:val="none" w:sz="0" w:space="0" w:color="auto"/>
                                                                            <w:left w:val="none" w:sz="0" w:space="0" w:color="auto"/>
                                                                            <w:bottom w:val="none" w:sz="0" w:space="0" w:color="auto"/>
                                                                            <w:right w:val="none" w:sz="0" w:space="0" w:color="auto"/>
                                                                          </w:divBdr>
                                                                          <w:divsChild>
                                                                            <w:div w:id="864948942">
                                                                              <w:marLeft w:val="0"/>
                                                                              <w:marRight w:val="0"/>
                                                                              <w:marTop w:val="0"/>
                                                                              <w:marBottom w:val="0"/>
                                                                              <w:divBdr>
                                                                                <w:top w:val="none" w:sz="0" w:space="0" w:color="auto"/>
                                                                                <w:left w:val="none" w:sz="0" w:space="0" w:color="auto"/>
                                                                                <w:bottom w:val="none" w:sz="0" w:space="0" w:color="auto"/>
                                                                                <w:right w:val="none" w:sz="0" w:space="0" w:color="auto"/>
                                                                              </w:divBdr>
                                                                              <w:divsChild>
                                                                                <w:div w:id="1904025610">
                                                                                  <w:marLeft w:val="0"/>
                                                                                  <w:marRight w:val="0"/>
                                                                                  <w:marTop w:val="0"/>
                                                                                  <w:marBottom w:val="0"/>
                                                                                  <w:divBdr>
                                                                                    <w:top w:val="none" w:sz="0" w:space="0" w:color="auto"/>
                                                                                    <w:left w:val="none" w:sz="0" w:space="0" w:color="auto"/>
                                                                                    <w:bottom w:val="none" w:sz="0" w:space="0" w:color="auto"/>
                                                                                    <w:right w:val="none" w:sz="0" w:space="0" w:color="auto"/>
                                                                                  </w:divBdr>
                                                                                  <w:divsChild>
                                                                                    <w:div w:id="2076854754">
                                                                                      <w:marLeft w:val="0"/>
                                                                                      <w:marRight w:val="0"/>
                                                                                      <w:marTop w:val="0"/>
                                                                                      <w:marBottom w:val="0"/>
                                                                                      <w:divBdr>
                                                                                        <w:top w:val="none" w:sz="0" w:space="0" w:color="auto"/>
                                                                                        <w:left w:val="none" w:sz="0" w:space="0" w:color="auto"/>
                                                                                        <w:bottom w:val="none" w:sz="0" w:space="0" w:color="auto"/>
                                                                                        <w:right w:val="none" w:sz="0" w:space="0" w:color="auto"/>
                                                                                      </w:divBdr>
                                                                                      <w:divsChild>
                                                                                        <w:div w:id="1926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000210">
      <w:bodyDiv w:val="1"/>
      <w:marLeft w:val="0"/>
      <w:marRight w:val="0"/>
      <w:marTop w:val="0"/>
      <w:marBottom w:val="0"/>
      <w:divBdr>
        <w:top w:val="none" w:sz="0" w:space="0" w:color="auto"/>
        <w:left w:val="none" w:sz="0" w:space="0" w:color="auto"/>
        <w:bottom w:val="none" w:sz="0" w:space="0" w:color="auto"/>
        <w:right w:val="none" w:sz="0" w:space="0" w:color="auto"/>
      </w:divBdr>
      <w:divsChild>
        <w:div w:id="372732883">
          <w:marLeft w:val="547"/>
          <w:marRight w:val="0"/>
          <w:marTop w:val="0"/>
          <w:marBottom w:val="120"/>
          <w:divBdr>
            <w:top w:val="none" w:sz="0" w:space="0" w:color="auto"/>
            <w:left w:val="none" w:sz="0" w:space="0" w:color="auto"/>
            <w:bottom w:val="none" w:sz="0" w:space="0" w:color="auto"/>
            <w:right w:val="none" w:sz="0" w:space="0" w:color="auto"/>
          </w:divBdr>
        </w:div>
        <w:div w:id="1181318750">
          <w:marLeft w:val="547"/>
          <w:marRight w:val="0"/>
          <w:marTop w:val="0"/>
          <w:marBottom w:val="12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cid:image002.jpg@01CED6FB.E355CEF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http://projportal.worldbank.org/shared/SiteResources/ICR/DISB_CHART/P117377.png"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municipios.msal.gov.ar/h1n1/parte_influenza/parte-91-26-02-1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T_ICR_MAIN_DOC\P07775625624ICR%20-%20Sample%20Main%20WORD%20file%20for%20IL%20%20Jan%202007.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uan%20Sanguinetti\Documents\Banco%20Mundial\H1%20N1\Figur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783280348657"/>
          <c:y val="0.15437933207309401"/>
          <c:w val="0.854892065732476"/>
          <c:h val="0.68236571870644203"/>
        </c:manualLayout>
      </c:layout>
      <c:barChart>
        <c:barDir val="col"/>
        <c:grouping val="clustered"/>
        <c:varyColors val="0"/>
        <c:ser>
          <c:idx val="1"/>
          <c:order val="0"/>
          <c:tx>
            <c:v>2009</c:v>
          </c:tx>
          <c:spPr>
            <a:ln w="12700">
              <a:solidFill>
                <a:schemeClr val="tx1"/>
              </a:solidFill>
            </a:ln>
          </c:spPr>
          <c:invertIfNegative val="0"/>
          <c:val>
            <c:numRef>
              <c:f>'casos semanales'!$C$4:$C$55</c:f>
              <c:numCache>
                <c:formatCode>General</c:formatCode>
                <c:ptCount val="52"/>
                <c:pt idx="0">
                  <c:v>17000</c:v>
                </c:pt>
                <c:pt idx="1">
                  <c:v>16500</c:v>
                </c:pt>
                <c:pt idx="2">
                  <c:v>16000</c:v>
                </c:pt>
                <c:pt idx="3">
                  <c:v>15800</c:v>
                </c:pt>
                <c:pt idx="4">
                  <c:v>15750</c:v>
                </c:pt>
                <c:pt idx="5">
                  <c:v>15600</c:v>
                </c:pt>
                <c:pt idx="6">
                  <c:v>16000</c:v>
                </c:pt>
                <c:pt idx="7">
                  <c:v>16500</c:v>
                </c:pt>
                <c:pt idx="8">
                  <c:v>17000</c:v>
                </c:pt>
                <c:pt idx="9">
                  <c:v>18000</c:v>
                </c:pt>
                <c:pt idx="10">
                  <c:v>20000</c:v>
                </c:pt>
                <c:pt idx="11">
                  <c:v>19500</c:v>
                </c:pt>
                <c:pt idx="12">
                  <c:v>20000</c:v>
                </c:pt>
                <c:pt idx="13">
                  <c:v>19800</c:v>
                </c:pt>
                <c:pt idx="14">
                  <c:v>20000</c:v>
                </c:pt>
                <c:pt idx="15">
                  <c:v>20000</c:v>
                </c:pt>
                <c:pt idx="16">
                  <c:v>21000</c:v>
                </c:pt>
                <c:pt idx="17">
                  <c:v>22000</c:v>
                </c:pt>
                <c:pt idx="18">
                  <c:v>23000</c:v>
                </c:pt>
                <c:pt idx="19">
                  <c:v>24000</c:v>
                </c:pt>
                <c:pt idx="20">
                  <c:v>25000</c:v>
                </c:pt>
                <c:pt idx="21">
                  <c:v>26000</c:v>
                </c:pt>
                <c:pt idx="22">
                  <c:v>37000</c:v>
                </c:pt>
                <c:pt idx="23">
                  <c:v>50000</c:v>
                </c:pt>
                <c:pt idx="24">
                  <c:v>90000</c:v>
                </c:pt>
                <c:pt idx="25">
                  <c:v>175000</c:v>
                </c:pt>
                <c:pt idx="26">
                  <c:v>120000</c:v>
                </c:pt>
                <c:pt idx="27">
                  <c:v>80000</c:v>
                </c:pt>
                <c:pt idx="28">
                  <c:v>55000</c:v>
                </c:pt>
                <c:pt idx="29">
                  <c:v>40000</c:v>
                </c:pt>
                <c:pt idx="30">
                  <c:v>39000</c:v>
                </c:pt>
                <c:pt idx="31">
                  <c:v>39000</c:v>
                </c:pt>
                <c:pt idx="32">
                  <c:v>38000</c:v>
                </c:pt>
                <c:pt idx="33">
                  <c:v>34000</c:v>
                </c:pt>
                <c:pt idx="34">
                  <c:v>27000</c:v>
                </c:pt>
                <c:pt idx="35">
                  <c:v>22000</c:v>
                </c:pt>
                <c:pt idx="36">
                  <c:v>21000</c:v>
                </c:pt>
                <c:pt idx="37">
                  <c:v>20000</c:v>
                </c:pt>
                <c:pt idx="38">
                  <c:v>19800</c:v>
                </c:pt>
                <c:pt idx="39">
                  <c:v>19500</c:v>
                </c:pt>
                <c:pt idx="40">
                  <c:v>19000</c:v>
                </c:pt>
                <c:pt idx="41">
                  <c:v>18500</c:v>
                </c:pt>
                <c:pt idx="42">
                  <c:v>18000</c:v>
                </c:pt>
                <c:pt idx="43">
                  <c:v>17000</c:v>
                </c:pt>
                <c:pt idx="44">
                  <c:v>16500</c:v>
                </c:pt>
                <c:pt idx="45">
                  <c:v>16000</c:v>
                </c:pt>
                <c:pt idx="46">
                  <c:v>15500</c:v>
                </c:pt>
                <c:pt idx="47">
                  <c:v>15000</c:v>
                </c:pt>
                <c:pt idx="48">
                  <c:v>14000</c:v>
                </c:pt>
                <c:pt idx="49">
                  <c:v>13000</c:v>
                </c:pt>
                <c:pt idx="50">
                  <c:v>12000</c:v>
                </c:pt>
                <c:pt idx="51">
                  <c:v>10000</c:v>
                </c:pt>
              </c:numCache>
            </c:numRef>
          </c:val>
        </c:ser>
        <c:dLbls>
          <c:showLegendKey val="0"/>
          <c:showVal val="0"/>
          <c:showCatName val="0"/>
          <c:showSerName val="0"/>
          <c:showPercent val="0"/>
          <c:showBubbleSize val="0"/>
        </c:dLbls>
        <c:gapWidth val="32"/>
        <c:overlap val="100"/>
        <c:axId val="310774016"/>
        <c:axId val="310779904"/>
      </c:barChart>
      <c:lineChart>
        <c:grouping val="standard"/>
        <c:varyColors val="0"/>
        <c:ser>
          <c:idx val="0"/>
          <c:order val="1"/>
          <c:tx>
            <c:v>2010</c:v>
          </c:tx>
          <c:marker>
            <c:symbol val="diamond"/>
            <c:size val="4"/>
          </c:marker>
          <c:val>
            <c:numRef>
              <c:f>'casos semanales'!$D$4:$D$55</c:f>
              <c:numCache>
                <c:formatCode>General</c:formatCode>
                <c:ptCount val="52"/>
                <c:pt idx="0">
                  <c:v>17000</c:v>
                </c:pt>
                <c:pt idx="1">
                  <c:v>16500</c:v>
                </c:pt>
                <c:pt idx="2">
                  <c:v>16000</c:v>
                </c:pt>
                <c:pt idx="3">
                  <c:v>15800</c:v>
                </c:pt>
                <c:pt idx="4">
                  <c:v>15750</c:v>
                </c:pt>
                <c:pt idx="5">
                  <c:v>15600</c:v>
                </c:pt>
                <c:pt idx="6">
                  <c:v>16000</c:v>
                </c:pt>
                <c:pt idx="7">
                  <c:v>16500</c:v>
                </c:pt>
                <c:pt idx="8">
                  <c:v>17000</c:v>
                </c:pt>
                <c:pt idx="9">
                  <c:v>18000</c:v>
                </c:pt>
                <c:pt idx="10">
                  <c:v>20000</c:v>
                </c:pt>
                <c:pt idx="11">
                  <c:v>19500</c:v>
                </c:pt>
                <c:pt idx="12">
                  <c:v>21000</c:v>
                </c:pt>
                <c:pt idx="13">
                  <c:v>23000</c:v>
                </c:pt>
                <c:pt idx="14">
                  <c:v>24000</c:v>
                </c:pt>
                <c:pt idx="15">
                  <c:v>26000</c:v>
                </c:pt>
                <c:pt idx="16">
                  <c:v>28000</c:v>
                </c:pt>
                <c:pt idx="17">
                  <c:v>29000</c:v>
                </c:pt>
                <c:pt idx="18">
                  <c:v>30000</c:v>
                </c:pt>
                <c:pt idx="19">
                  <c:v>29000</c:v>
                </c:pt>
                <c:pt idx="20">
                  <c:v>30000</c:v>
                </c:pt>
                <c:pt idx="21">
                  <c:v>32000</c:v>
                </c:pt>
                <c:pt idx="22">
                  <c:v>34000</c:v>
                </c:pt>
                <c:pt idx="23">
                  <c:v>35000</c:v>
                </c:pt>
                <c:pt idx="24">
                  <c:v>36000</c:v>
                </c:pt>
                <c:pt idx="25">
                  <c:v>36000</c:v>
                </c:pt>
                <c:pt idx="26">
                  <c:v>35000</c:v>
                </c:pt>
                <c:pt idx="27">
                  <c:v>34800</c:v>
                </c:pt>
                <c:pt idx="28">
                  <c:v>35000</c:v>
                </c:pt>
                <c:pt idx="29">
                  <c:v>36000</c:v>
                </c:pt>
                <c:pt idx="30">
                  <c:v>36500</c:v>
                </c:pt>
                <c:pt idx="31">
                  <c:v>48000</c:v>
                </c:pt>
                <c:pt idx="32">
                  <c:v>49000</c:v>
                </c:pt>
                <c:pt idx="33">
                  <c:v>48000</c:v>
                </c:pt>
                <c:pt idx="34">
                  <c:v>39000</c:v>
                </c:pt>
                <c:pt idx="35">
                  <c:v>36000</c:v>
                </c:pt>
                <c:pt idx="36">
                  <c:v>28000</c:v>
                </c:pt>
                <c:pt idx="37">
                  <c:v>26000</c:v>
                </c:pt>
                <c:pt idx="38">
                  <c:v>27000</c:v>
                </c:pt>
                <c:pt idx="39">
                  <c:v>30000</c:v>
                </c:pt>
                <c:pt idx="40">
                  <c:v>36000</c:v>
                </c:pt>
                <c:pt idx="41">
                  <c:v>35000</c:v>
                </c:pt>
                <c:pt idx="42">
                  <c:v>34000</c:v>
                </c:pt>
                <c:pt idx="43">
                  <c:v>33000</c:v>
                </c:pt>
                <c:pt idx="44">
                  <c:v>30000</c:v>
                </c:pt>
                <c:pt idx="45">
                  <c:v>28000</c:v>
                </c:pt>
                <c:pt idx="46">
                  <c:v>26000</c:v>
                </c:pt>
                <c:pt idx="47">
                  <c:v>22000</c:v>
                </c:pt>
                <c:pt idx="48">
                  <c:v>19000</c:v>
                </c:pt>
                <c:pt idx="49">
                  <c:v>16000</c:v>
                </c:pt>
                <c:pt idx="50">
                  <c:v>14000</c:v>
                </c:pt>
                <c:pt idx="51">
                  <c:v>12000</c:v>
                </c:pt>
              </c:numCache>
            </c:numRef>
          </c:val>
          <c:smooth val="0"/>
        </c:ser>
        <c:dLbls>
          <c:showLegendKey val="0"/>
          <c:showVal val="0"/>
          <c:showCatName val="0"/>
          <c:showSerName val="0"/>
          <c:showPercent val="0"/>
          <c:showBubbleSize val="0"/>
        </c:dLbls>
        <c:marker val="1"/>
        <c:smooth val="0"/>
        <c:axId val="310774016"/>
        <c:axId val="310779904"/>
      </c:lineChart>
      <c:catAx>
        <c:axId val="310774016"/>
        <c:scaling>
          <c:orientation val="minMax"/>
        </c:scaling>
        <c:delete val="0"/>
        <c:axPos val="b"/>
        <c:majorTickMark val="out"/>
        <c:minorTickMark val="none"/>
        <c:tickLblPos val="nextTo"/>
        <c:crossAx val="310779904"/>
        <c:crosses val="autoZero"/>
        <c:auto val="1"/>
        <c:lblAlgn val="ctr"/>
        <c:lblOffset val="100"/>
        <c:noMultiLvlLbl val="0"/>
      </c:catAx>
      <c:valAx>
        <c:axId val="310779904"/>
        <c:scaling>
          <c:orientation val="minMax"/>
          <c:max val="200000"/>
          <c:min val="0"/>
        </c:scaling>
        <c:delete val="0"/>
        <c:axPos val="l"/>
        <c:majorGridlines>
          <c:spPr>
            <a:ln>
              <a:prstDash val="sysDash"/>
            </a:ln>
          </c:spPr>
        </c:majorGridlines>
        <c:numFmt formatCode="#,##0" sourceLinked="0"/>
        <c:majorTickMark val="out"/>
        <c:minorTickMark val="none"/>
        <c:tickLblPos val="nextTo"/>
        <c:crossAx val="310774016"/>
        <c:crosses val="autoZero"/>
        <c:crossBetween val="between"/>
      </c:valAx>
    </c:plotArea>
    <c:legend>
      <c:legendPos val="r"/>
      <c:layout>
        <c:manualLayout>
          <c:xMode val="edge"/>
          <c:yMode val="edge"/>
          <c:x val="0.77215188060932505"/>
          <c:y val="0.44145245577486802"/>
          <c:w val="0.17465678235486201"/>
          <c:h val="0.117095088450267"/>
        </c:manualLayout>
      </c:layout>
      <c:overlay val="0"/>
    </c:legend>
    <c:plotVisOnly val="1"/>
    <c:dispBlanksAs val="gap"/>
    <c:showDLblsOverMax val="0"/>
  </c:chart>
  <c:txPr>
    <a:bodyPr/>
    <a:lstStyle/>
    <a:p>
      <a:pPr>
        <a:defRPr sz="6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0.63614</cdr:x>
      <cdr:y>0.97855</cdr:y>
    </cdr:from>
    <cdr:to>
      <cdr:x>0.94921</cdr:x>
      <cdr:y>0.99995</cdr:y>
    </cdr:to>
    <cdr:sp macro="" textlink="">
      <cdr:nvSpPr>
        <cdr:cNvPr id="2" name="1 CuadroTexto"/>
        <cdr:cNvSpPr txBox="1"/>
      </cdr:nvSpPr>
      <cdr:spPr>
        <a:xfrm xmlns:a="http://schemas.openxmlformats.org/drawingml/2006/main">
          <a:off x="2458433" y="2085341"/>
          <a:ext cx="1209893" cy="456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AR" sz="600"/>
        </a:p>
      </cdr:txBody>
    </cdr:sp>
  </cdr:relSizeAnchor>
  <cdr:relSizeAnchor xmlns:cdr="http://schemas.openxmlformats.org/drawingml/2006/chartDrawing">
    <cdr:from>
      <cdr:x>0.0439</cdr:x>
      <cdr:y>0</cdr:y>
    </cdr:from>
    <cdr:to>
      <cdr:x>0.98068</cdr:x>
      <cdr:y>0.02612</cdr:y>
    </cdr:to>
    <cdr:sp macro="" textlink="">
      <cdr:nvSpPr>
        <cdr:cNvPr id="3" name="2 CuadroTexto"/>
        <cdr:cNvSpPr txBox="1"/>
      </cdr:nvSpPr>
      <cdr:spPr>
        <a:xfrm xmlns:a="http://schemas.openxmlformats.org/drawingml/2006/main">
          <a:off x="169656" y="0"/>
          <a:ext cx="3620290" cy="5565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endParaRPr lang="es-AR" sz="7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6D5B-9DD6-4C09-B544-30D7C8DF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P07775625624ICR - Sample Main WORD file for IL  Jan 2007.dot</Template>
  <TotalTime>1</TotalTime>
  <Pages>61</Pages>
  <Words>17286</Words>
  <Characters>103017</Characters>
  <Application>Microsoft Office Word</Application>
  <DocSecurity>0</DocSecurity>
  <Lines>858</Lines>
  <Paragraphs>240</Paragraphs>
  <ScaleCrop>false</ScaleCrop>
  <HeadingPairs>
    <vt:vector size="2" baseType="variant">
      <vt:variant>
        <vt:lpstr>Title</vt:lpstr>
      </vt:variant>
      <vt:variant>
        <vt:i4>1</vt:i4>
      </vt:variant>
    </vt:vector>
  </HeadingPairs>
  <TitlesOfParts>
    <vt:vector size="1" baseType="lpstr">
      <vt:lpstr>ICR IL</vt:lpstr>
    </vt:vector>
  </TitlesOfParts>
  <Company>The World Bank Group</Company>
  <LinksUpToDate>false</LinksUpToDate>
  <CharactersWithSpaces>120063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IL</dc:title>
  <dc:creator>SYSTEM</dc:creator>
  <cp:lastModifiedBy>Jurgita Campbell</cp:lastModifiedBy>
  <cp:revision>2</cp:revision>
  <cp:lastPrinted>2014-06-19T15:19:00Z</cp:lastPrinted>
  <dcterms:created xsi:type="dcterms:W3CDTF">2014-07-03T19:19:00Z</dcterms:created>
  <dcterms:modified xsi:type="dcterms:W3CDTF">2014-07-03T19:19:00Z</dcterms:modified>
  <cp:category>Main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
    <vt:lpwstr>BT_ICR_MAIN_DOC</vt:lpwstr>
  </property>
</Properties>
</file>